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TGP-OPS-06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Release and Change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1"/>
      </w:pPr>
      <w:hyperlink w:anchor="_Toc300000004" w:history="1">
        <w:r>
          <w:rPr>
            <w:noProof/>
          </w:rPr>
          <w:t>4.</w:t>
        </w:r>
        <w:r>
          <w:rPr>
            <w:noProof/>
          </w:rPr>
          <w:tab/>
        </w:r>
        <w:r>
          <w:rPr>
            <w:noProof/>
          </w:rPr>
          <w:t xml:space="preserve">Two kinds of change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1"/>
      </w:pPr>
      <w:hyperlink w:anchor="_Toc300000005" w:history="1">
        <w:r>
          <w:rPr>
            <w:noProof/>
          </w:rPr>
          <w:t>5.</w:t>
        </w:r>
        <w:r>
          <w:rPr>
            <w:noProof/>
          </w:rPr>
          <w:tab/>
        </w:r>
        <w:r>
          <w:rPr>
            <w:noProof/>
          </w:rPr>
          <w:t xml:space="preserve">Versioning</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6</w:t>
        </w:r>
        <w:r>
          <w:rPr>
            <w:noProof/>
            <w:webHidden/>
          </w:rPr>
          <w:fldChar w:fldCharType="end"/>
        </w:r>
      </w:hyperlink>
    </w:p>
    <w:p>
      <w:pPr>
        <w:pStyle w:val="TOC1"/>
      </w:pPr>
      <w:hyperlink w:anchor="_Toc300000006" w:history="1">
        <w:r>
          <w:rPr>
            <w:noProof/>
          </w:rPr>
          <w:t>6.</w:t>
        </w:r>
        <w:r>
          <w:rPr>
            <w:noProof/>
          </w:rPr>
          <w:tab/>
        </w:r>
        <w:r>
          <w:rPr>
            <w:noProof/>
          </w:rPr>
          <w:t xml:space="preserve">Branching</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w:t>
        </w:r>
        <w:r>
          <w:rPr>
            <w:noProof/>
            <w:webHidden/>
          </w:rPr>
          <w:fldChar w:fldCharType="end"/>
        </w:r>
      </w:hyperlink>
    </w:p>
    <w:p>
      <w:pPr>
        <w:pStyle w:val="TOC1"/>
      </w:pPr>
      <w:hyperlink w:anchor="_Toc300000007" w:history="1">
        <w:r>
          <w:rPr>
            <w:noProof/>
          </w:rPr>
          <w:t>7.</w:t>
        </w:r>
        <w:r>
          <w:rPr>
            <w:noProof/>
          </w:rPr>
          <w:tab/>
        </w:r>
        <w:r>
          <w:rPr>
            <w:noProof/>
          </w:rPr>
          <w:t xml:space="preserve">CI/CD</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7</w:t>
        </w:r>
        <w:r>
          <w:rPr>
            <w:noProof/>
            <w:webHidden/>
          </w:rPr>
          <w:fldChar w:fldCharType="end"/>
        </w:r>
      </w:hyperlink>
    </w:p>
    <w:p>
      <w:pPr>
        <w:pStyle w:val="TOC2"/>
      </w:pPr>
      <w:hyperlink w:anchor="_Toc300000008" w:history="1">
        <w:r>
          <w:rPr>
            <w:noProof/>
          </w:rPr>
          <w:t>7.1.</w:t>
        </w:r>
        <w:r>
          <w:rPr>
            <w:noProof/>
          </w:rPr>
          <w:tab/>
        </w:r>
        <w:r>
          <w:rPr>
            <w:noProof/>
          </w:rPr>
          <w:t xml:space="preserve">Gates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2"/>
      </w:pPr>
      <w:hyperlink w:anchor="_Toc300000009" w:history="1">
        <w:r>
          <w:rPr>
            <w:noProof/>
          </w:rPr>
          <w:t>7.2.</w:t>
        </w:r>
        <w:r>
          <w:rPr>
            <w:noProof/>
          </w:rPr>
          <w:tab/>
        </w:r>
        <w:r>
          <w:rPr>
            <w:noProof/>
          </w:rPr>
          <w:t xml:space="preserve">Release pipeline</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8</w:t>
        </w:r>
        <w:r>
          <w:rPr>
            <w:noProof/>
            <w:webHidden/>
          </w:rPr>
          <w:fldChar w:fldCharType="end"/>
        </w:r>
      </w:hyperlink>
    </w:p>
    <w:p>
      <w:pPr>
        <w:pStyle w:val="TOC1"/>
      </w:pPr>
      <w:hyperlink w:anchor="_Toc300000010" w:history="1">
        <w:r>
          <w:rPr>
            <w:noProof/>
          </w:rPr>
          <w:t>8.</w:t>
        </w:r>
        <w:r>
          <w:rPr>
            <w:noProof/>
          </w:rPr>
          <w:tab/>
        </w:r>
        <w:r>
          <w:rPr>
            <w:noProof/>
          </w:rPr>
          <w:t xml:space="preserve">CAB</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10</w:t>
        </w:r>
        <w:r>
          <w:rPr>
            <w:noProof/>
            <w:webHidden/>
          </w:rPr>
          <w:fldChar w:fldCharType="end"/>
        </w:r>
      </w:hyperlink>
    </w:p>
    <w:p>
      <w:pPr>
        <w:pStyle w:val="TOC1"/>
      </w:pPr>
      <w:hyperlink w:anchor="_Toc300000011" w:history="1">
        <w:r>
          <w:rPr>
            <w:noProof/>
          </w:rPr>
          <w:t>9.</w:t>
        </w:r>
        <w:r>
          <w:rPr>
            <w:noProof/>
          </w:rPr>
          <w:tab/>
        </w:r>
        <w:r>
          <w:rPr>
            <w:noProof/>
          </w:rPr>
          <w:t xml:space="preserve">Database migrations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10</w:t>
        </w:r>
        <w:r>
          <w:rPr>
            <w:noProof/>
            <w:webHidden/>
          </w:rPr>
          <w:fldChar w:fldCharType="end"/>
        </w:r>
      </w:hyperlink>
    </w:p>
    <w:p>
      <w:pPr>
        <w:pStyle w:val="TOC1"/>
      </w:pPr>
      <w:hyperlink w:anchor="_Toc300000012" w:history="1">
        <w:r>
          <w:rPr>
            <w:noProof/>
          </w:rPr>
          <w:t>10.</w:t>
        </w:r>
        <w:r>
          <w:rPr>
            <w:noProof/>
          </w:rPr>
          <w:tab/>
        </w:r>
        <w:r>
          <w:rPr>
            <w:noProof/>
          </w:rPr>
          <w:t xml:space="preserve">Feature switches through rules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11</w:t>
        </w:r>
        <w:r>
          <w:rPr>
            <w:noProof/>
            <w:webHidden/>
          </w:rPr>
          <w:fldChar w:fldCharType="end"/>
        </w:r>
      </w:hyperlink>
    </w:p>
    <w:p>
      <w:pPr>
        <w:pStyle w:val="TOC1"/>
      </w:pPr>
      <w:hyperlink w:anchor="_Toc300000013" w:history="1">
        <w:r>
          <w:rPr>
            <w:noProof/>
          </w:rPr>
          <w:t>11.</w:t>
        </w:r>
        <w:r>
          <w:rPr>
            <w:noProof/>
          </w:rPr>
          <w:tab/>
        </w:r>
        <w:r>
          <w:rPr>
            <w:noProof/>
          </w:rPr>
          <w:t xml:space="preserve">Rule change procedure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12</w:t>
        </w:r>
        <w:r>
          <w:rPr>
            <w:noProof/>
            <w:webHidden/>
          </w:rPr>
          <w:fldChar w:fldCharType="end"/>
        </w:r>
      </w:hyperlink>
    </w:p>
    <w:p>
      <w:pPr>
        <w:pStyle w:val="TOC1"/>
      </w:pPr>
      <w:hyperlink w:anchor="_Toc300000014" w:history="1">
        <w:r>
          <w:rPr>
            <w:noProof/>
          </w:rPr>
          <w:t>12.</w:t>
        </w:r>
        <w:r>
          <w:rPr>
            <w:noProof/>
          </w:rPr>
          <w:tab/>
        </w:r>
        <w:r>
          <w:rPr>
            <w:noProof/>
          </w:rPr>
          <w:t xml:space="preserve">Release notes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13</w:t>
        </w:r>
        <w:r>
          <w:rPr>
            <w:noProof/>
            <w:webHidden/>
          </w:rPr>
          <w:fldChar w:fldCharType="end"/>
        </w:r>
      </w:hyperlink>
    </w:p>
    <w:p>
      <w:pPr>
        <w:pStyle w:val="TOC1"/>
      </w:pPr>
      <w:hyperlink w:anchor="_Toc300000015" w:history="1">
        <w:r>
          <w:rPr>
            <w:noProof/>
          </w:rPr>
          <w:t>13.</w:t>
        </w:r>
        <w:r>
          <w:rPr>
            <w:noProof/>
          </w:rPr>
          <w:tab/>
        </w:r>
        <w:r>
          <w:rPr>
            <w:noProof/>
          </w:rPr>
          <w:t xml:space="preserve">Freeze calendar</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14</w:t>
        </w:r>
        <w:r>
          <w:rPr>
            <w:noProof/>
            <w:webHidden/>
          </w:rPr>
          <w:fldChar w:fldCharType="end"/>
        </w:r>
      </w:hyperlink>
    </w:p>
    <w:p>
      <w:pPr>
        <w:pStyle w:val="TOC1"/>
      </w:pPr>
      <w:hyperlink w:anchor="_Toc300000016" w:history="1">
        <w:r>
          <w:rPr>
            <w:noProof/>
          </w:rPr>
          <w:t>14.</w:t>
        </w:r>
        <w:r>
          <w:rPr>
            <w:noProof/>
          </w:rPr>
          <w:tab/>
        </w:r>
        <w:r>
          <w:rPr>
            <w:noProof/>
          </w:rPr>
          <w:t xml:space="preserve">Sign-Off</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15</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334"/>
        <w:gridCol w:w="1028"/>
        <w:gridCol w:w="1777"/>
        <w:gridCol w:w="1888"/>
        <w:gridCol w:w="1666"/>
        <w:gridCol w:w="1334"/>
      </w:tblGrid>
      <w:tr w:rsidR="002B183A" w14:paraId="4E198CD6" w14:textId="77777777" w:rsidTr="002923F3">
        <w:trPr>
          <w:cantSplit/>
          <w:trHeight w:val="440"/>
          <w:tblHeader/>
        </w:trPr>
        <w:tc>
          <w:tcPr>
            <w:tcW w:w="1334"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28"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77"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88"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666"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334"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334"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1028"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77"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Service Operations</w:t>
            </w:r>
          </w:p>
        </w:tc>
        <w:tc>
          <w:tcPr>
            <w:tcW w:w="1888"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Change Advisory Board</w:t>
            </w:r>
          </w:p>
        </w:tc>
        <w:tc>
          <w:tcPr>
            <w:tcW w:w="1666"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Head of IT</w:t>
            </w:r>
          </w:p>
        </w:tc>
        <w:tc>
          <w:tcPr>
            <w:tcW w:w="1334"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77"/>
        <w:gridCol w:w="7450"/>
      </w:tblGrid>
      <w:tr w:rsidR="002B183A" w14:paraId="388F227F" w14:textId="77777777" w:rsidTr="002923F3">
        <w:trPr>
          <w:cantSplit/>
          <w:trHeight w:val="440"/>
          <w:tblHeader/>
        </w:trPr>
        <w:tc>
          <w:tcPr>
            <w:tcW w:w="1577"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50"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ADR</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Architecture Decision Record</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CAB</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Advisory Board</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CD</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Delivery</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DBA</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Database Administrator</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DDL</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Definition Language</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Performance test environment</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Pre-production environment</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Runbook procedure</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SBOM</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Software Bill of Materials</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SOP</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Standard Operating Procedure</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77"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ZAP</w:t>
            </w:r>
          </w:p>
        </w:tc>
        <w:tc>
          <w:tcPr>
            <w:tcW w:w="7450"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Zed Attack Proxy</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document describes how changes reach production on the TASCO Growth Platform: code and configuration releases through CI/CD and the Change Advisory Board, and business rule changes through the maker-checker workflow in the rules studio. It covers versioning, branching, CI/CD gates, CAB change types, the database migration policy, rule-based feature switches, the rule change procedure, release notes and the freeze calendar.</w:t>
      </w:r>
    </w:p>
    <w:p>
      <w:pPr>
        <w:pStyle w:val="BodyText"/>
      </w:pPr>
      <w:r>
        <w:t xml:space="preserve">The audience is the release manager, CAB members, developers, rule authors and approvers. The release manager role sits with iorta TechNXT during build and hypercare and moves to TASCO IT afterwards. The CAB is chaired by the TASCO Head of IT, with the TASCO Product Owner, Compliance, Security, VETC IT (for changes that affect VETC interfaces), TASCO core IT (for changes that affect the core interface) and the iorta TechNXT Tech Lead.</w:t>
      </w:r>
    </w:p>
    <w:p>
      <w:pPr>
        <w:pStyle w:val="BodyText"/>
      </w:pPr>
      <w:r>
        <w:t xml:space="preserve">Related documents:</w:t>
      </w:r>
    </w:p>
    <w:p>
      <w:pPr>
        <w:pStyle w:val="Compact"/>
        <w:numPr>
          <w:ilvl w:val="0"/>
          <w:numId w:val="1001"/>
        </w:numPr>
      </w:pPr>
      <w:r>
        <w:t xml:space="preserve">TGP-QA-01 Test Strategy (CI gates and regression).</w:t>
      </w:r>
    </w:p>
    <w:p>
      <w:pPr>
        <w:pStyle w:val="Compact"/>
        <w:numPr>
          <w:ilvl w:val="0"/>
          <w:numId w:val="1001"/>
        </w:numPr>
      </w:pPr>
      <w:r>
        <w:t xml:space="preserve">TGP-OPS-05 Go-Live and Hypercare Plan (smoke tests and rollback levels).</w:t>
      </w:r>
    </w:p>
    <w:p>
      <w:pPr>
        <w:pStyle w:val="Compact"/>
        <w:numPr>
          <w:ilvl w:val="0"/>
          <w:numId w:val="1001"/>
        </w:numPr>
      </w:pPr>
      <w:r>
        <w:t xml:space="preserve">TGP-OPS-01 Runbook and Support Guide.</w:t>
      </w:r>
    </w:p>
    <w:p>
      <w:pPr>
        <w:pStyle w:val="Compact"/>
        <w:numPr>
          <w:ilvl w:val="0"/>
          <w:numId w:val="1001"/>
        </w:numPr>
      </w:pPr>
      <w:r>
        <w:t xml:space="preserve">TGP-ARC-07 Architecture Decision Records (ADR-003 rules engine and maker-checker, ADR-013 TASCO core as rating master).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Two kinds of change</w:t>
      </w:r>
      <w:bookmarkEnd w:id="8"/>
    </w:p>
    <w:p>
      <w:pPr>
        <w:pStyle w:val="FirstParagraph"/>
      </w:pPr>
      <w:r>
        <w:t xml:space="preserve">The platform separates code from business rules. They carry different risks and follow different paths.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84"/>
        <w:gridCol w:w="4234"/>
        <w:gridCol w:w="3609"/>
      </w:tblGrid>
      <w:tr>
        <w:trPr>
          <w:cantSplit/>
          <w:tblHeader/>
        </w:trPr>
        <w:tc>
          <w:tcPr>
            <w:tcW w:w="1184" w:type="dxa"/>
            <w:shd w:val="clear" w:color="auto" w:fill="0F4761"/>
            <w:vAlign w:val="center"/>
          </w:tcPr>
          <w:p>
            <w:pPr>
              <w:pStyle w:val="TableHeading"/>
            </w:pPr>
          </w:p>
        </w:tc>
        <w:tc>
          <w:tcPr>
            <w:tcW w:w="4234" w:type="dxa"/>
            <w:shd w:val="clear" w:color="auto" w:fill="0F4761"/>
            <w:vAlign w:val="center"/>
          </w:tcPr>
          <w:p>
            <w:pPr>
              <w:pStyle w:val="TableHeading"/>
              <w:jc w:val="left"/>
            </w:pPr>
            <w:r>
              <w:rPr>
                <w:color w:val="FFFFFF"/>
              </w:rPr>
              <w:t xml:space="preserve">Code or configuration</w:t>
            </w:r>
          </w:p>
        </w:tc>
        <w:tc>
          <w:tcPr>
            <w:tcW w:w="3609" w:type="dxa"/>
            <w:shd w:val="clear" w:color="auto" w:fill="0F4761"/>
            <w:vAlign w:val="center"/>
          </w:tcPr>
          <w:p>
            <w:pPr>
              <w:pStyle w:val="TableHeading"/>
              <w:jc w:val="left"/>
            </w:pPr>
            <w:r>
              <w:rPr>
                <w:color w:val="FFFFFF"/>
              </w:rPr>
              <w:t xml:space="preserve">Business rule</w:t>
            </w:r>
          </w:p>
        </w:tc>
      </w:tr>
      <w:tr>
        <w:trPr>
          <w:cantSplit/>
        </w:trPr>
        <w:tc>
          <w:tcPr>
            <w:tcW w:w="1184" w:type="dxa"/>
            <w:vAlign w:val="top"/>
          </w:tcPr>
          <w:p>
            <w:pPr>
              <w:pStyle w:val="TableText"/>
              <w:jc w:val="left"/>
            </w:pPr>
            <w:r>
              <w:t xml:space="preserve">What</w:t>
            </w:r>
          </w:p>
        </w:tc>
        <w:tc>
          <w:tcPr>
            <w:tcW w:w="4234" w:type="dxa"/>
            <w:vAlign w:val="top"/>
          </w:tcPr>
          <w:p>
            <w:pPr>
              <w:pStyle w:val="TableText"/>
              <w:jc w:val="left"/>
            </w:pPr>
            <w:r>
              <w:t xml:space="preserve">Source code, database migrations, security configuration (</w:t>
            </w:r>
            <w:r>
              <w:rPr>
                <w:rStyle w:val="CodeChar"/>
              </w:rPr>
              <w:t xml:space="preserve">config/security/rbac.json</w:t>
            </w:r>
            <w:r>
              <w:t xml:space="preserve">), container and deployment files, environment settings and secrets, dependencies</w:t>
            </w:r>
          </w:p>
        </w:tc>
        <w:tc>
          <w:tcPr>
            <w:tcW w:w="3609" w:type="dxa"/>
            <w:vAlign w:val="top"/>
          </w:tcPr>
          <w:p>
            <w:pPr>
              <w:pStyle w:val="TableText"/>
              <w:jc w:val="left"/>
            </w:pPr>
            <w:r>
              <w:t xml:space="preserve">Any of the 21 rule kinds stored in the database: scoring, next best action, journeys, triggers, benefits, contact policy, copy guard, message templates, voice script, products, TNDS tariffs, rating tables, commission, enrichment, access policy, retention, costs, referral and service levels</w:t>
            </w:r>
          </w:p>
        </w:tc>
      </w:tr>
      <w:tr>
        <w:trPr>
          <w:cantSplit/>
        </w:trPr>
        <w:tc>
          <w:tcPr>
            <w:tcW w:w="1184" w:type="dxa"/>
            <w:shd w:val="clear" w:color="auto" w:fill="F4F7FB"/>
            <w:vAlign w:val="top"/>
          </w:tcPr>
          <w:p>
            <w:pPr>
              <w:pStyle w:val="TableText"/>
              <w:jc w:val="left"/>
            </w:pPr>
            <w:r>
              <w:t xml:space="preserve">Path</w:t>
            </w:r>
          </w:p>
        </w:tc>
        <w:tc>
          <w:tcPr>
            <w:tcW w:w="4234" w:type="dxa"/>
            <w:shd w:val="clear" w:color="auto" w:fill="F4F7FB"/>
            <w:vAlign w:val="top"/>
          </w:tcPr>
          <w:p>
            <w:pPr>
              <w:pStyle w:val="TableText"/>
              <w:jc w:val="left"/>
            </w:pPr>
            <w:r>
              <w:t xml:space="preserve">Pull request, CI gates, release tag, CAB, deployment</w:t>
            </w:r>
          </w:p>
        </w:tc>
        <w:tc>
          <w:tcPr>
            <w:tcW w:w="3609" w:type="dxa"/>
            <w:shd w:val="clear" w:color="auto" w:fill="F4F7FB"/>
            <w:vAlign w:val="top"/>
          </w:tcPr>
          <w:p>
            <w:pPr>
              <w:pStyle w:val="TableText"/>
              <w:jc w:val="left"/>
            </w:pPr>
            <w:r>
              <w:t xml:space="preserve">Rules studio: draft, validate, simulate, submit, approval by a different person, active within 15 seconds on all servers</w:t>
            </w:r>
          </w:p>
        </w:tc>
      </w:tr>
      <w:tr>
        <w:trPr>
          <w:cantSplit/>
        </w:trPr>
        <w:tc>
          <w:tcPr>
            <w:tcW w:w="1184" w:type="dxa"/>
            <w:vAlign w:val="top"/>
          </w:tcPr>
          <w:p>
            <w:pPr>
              <w:pStyle w:val="TableText"/>
              <w:jc w:val="left"/>
            </w:pPr>
            <w:r>
              <w:t xml:space="preserve">Who</w:t>
            </w:r>
          </w:p>
        </w:tc>
        <w:tc>
          <w:tcPr>
            <w:tcW w:w="4234" w:type="dxa"/>
            <w:vAlign w:val="top"/>
          </w:tcPr>
          <w:p>
            <w:pPr>
              <w:pStyle w:val="TableText"/>
              <w:jc w:val="left"/>
            </w:pPr>
            <w:r>
              <w:t xml:space="preserve">Developers; the release manager deploys</w:t>
            </w:r>
          </w:p>
        </w:tc>
        <w:tc>
          <w:tcPr>
            <w:tcW w:w="3609" w:type="dxa"/>
            <w:vAlign w:val="top"/>
          </w:tcPr>
          <w:p>
            <w:pPr>
              <w:pStyle w:val="TableText"/>
              <w:jc w:val="left"/>
            </w:pPr>
            <w:r>
              <w:t xml:space="preserve">A rule author drafts; a rule approver or compliance officer (MFA) approves. Access policy, copy guard, contact policy, commission and retention can only be approved by a compliance officer</w:t>
            </w:r>
          </w:p>
        </w:tc>
      </w:tr>
      <w:tr>
        <w:trPr>
          <w:cantSplit/>
        </w:trPr>
        <w:tc>
          <w:tcPr>
            <w:tcW w:w="1184" w:type="dxa"/>
            <w:shd w:val="clear" w:color="auto" w:fill="F4F7FB"/>
            <w:vAlign w:val="top"/>
          </w:tcPr>
          <w:p>
            <w:pPr>
              <w:pStyle w:val="TableText"/>
              <w:jc w:val="left"/>
            </w:pPr>
            <w:r>
              <w:t xml:space="preserve">Evidence</w:t>
            </w:r>
          </w:p>
        </w:tc>
        <w:tc>
          <w:tcPr>
            <w:tcW w:w="4234" w:type="dxa"/>
            <w:shd w:val="clear" w:color="auto" w:fill="F4F7FB"/>
            <w:vAlign w:val="top"/>
          </w:tcPr>
          <w:p>
            <w:pPr>
              <w:pStyle w:val="TableText"/>
              <w:jc w:val="left"/>
            </w:pPr>
            <w:r>
              <w:t xml:space="preserve">Code review, CI results, release notes</w:t>
            </w:r>
          </w:p>
        </w:tc>
        <w:tc>
          <w:tcPr>
            <w:tcW w:w="3609" w:type="dxa"/>
            <w:shd w:val="clear" w:color="auto" w:fill="F4F7FB"/>
            <w:vAlign w:val="top"/>
          </w:tcPr>
          <w:p>
            <w:pPr>
              <w:pStyle w:val="TableText"/>
              <w:jc w:val="left"/>
            </w:pPr>
            <w:r>
              <w:t xml:space="preserve">Audit trail (draft, submit, approve or reject), checksum, simulation result, approval comment</w:t>
            </w:r>
          </w:p>
        </w:tc>
      </w:tr>
      <w:tr>
        <w:trPr>
          <w:cantSplit/>
        </w:trPr>
        <w:tc>
          <w:tcPr>
            <w:tcW w:w="1184" w:type="dxa"/>
            <w:vAlign w:val="top"/>
          </w:tcPr>
          <w:p>
            <w:pPr>
              <w:pStyle w:val="TableText"/>
              <w:jc w:val="left"/>
            </w:pPr>
            <w:r>
              <w:t xml:space="preserve">Rollback</w:t>
            </w:r>
          </w:p>
        </w:tc>
        <w:tc>
          <w:tcPr>
            <w:tcW w:w="4234" w:type="dxa"/>
            <w:vAlign w:val="top"/>
          </w:tcPr>
          <w:p>
            <w:pPr>
              <w:pStyle w:val="TableText"/>
              <w:jc w:val="left"/>
            </w:pPr>
            <w:r>
              <w:t xml:space="preserve">Redeploy the previous image (level R3 in TGP-OPS-05)</w:t>
            </w:r>
          </w:p>
        </w:tc>
        <w:tc>
          <w:tcPr>
            <w:tcW w:w="3609" w:type="dxa"/>
            <w:vAlign w:val="top"/>
          </w:tcPr>
          <w:p>
            <w:pPr>
              <w:pStyle w:val="TableText"/>
              <w:jc w:val="left"/>
            </w:pPr>
            <w:r>
              <w:t xml:space="preserve">Roll back to the previous version, which creates a new draft for approval</w:t>
            </w:r>
          </w:p>
        </w:tc>
      </w:tr>
      <w:tr>
        <w:trPr>
          <w:cantSplit/>
        </w:trPr>
        <w:tc>
          <w:tcPr>
            <w:tcW w:w="1184" w:type="dxa"/>
            <w:shd w:val="clear" w:color="auto" w:fill="F4F7FB"/>
            <w:vAlign w:val="top"/>
          </w:tcPr>
          <w:p>
            <w:pPr>
              <w:pStyle w:val="TableText"/>
              <w:jc w:val="left"/>
            </w:pPr>
            <w:r>
              <w:t xml:space="preserve">CAB</w:t>
            </w:r>
          </w:p>
        </w:tc>
        <w:tc>
          <w:tcPr>
            <w:tcW w:w="4234" w:type="dxa"/>
            <w:shd w:val="clear" w:color="auto" w:fill="F4F7FB"/>
            <w:vAlign w:val="top"/>
          </w:tcPr>
          <w:p>
            <w:pPr>
              <w:pStyle w:val="TableText"/>
              <w:jc w:val="left"/>
            </w:pPr>
            <w:r>
              <w:t xml:space="preserve">Yes: standard, normal or emergency</w:t>
            </w:r>
          </w:p>
        </w:tc>
        <w:tc>
          <w:tcPr>
            <w:tcW w:w="3609" w:type="dxa"/>
            <w:shd w:val="clear" w:color="auto" w:fill="F4F7FB"/>
            <w:vAlign w:val="top"/>
          </w:tcPr>
          <w:p>
            <w:pPr>
              <w:pStyle w:val="TableText"/>
              <w:jc w:val="left"/>
            </w:pPr>
            <w:r>
              <w:t xml:space="preserve">Not for routine changes; maker-checker is the control and CAB sees a weekly list of activations. Contact policy, copy guard, access policy, commission, tariffs, retention and anything pending legal review need CAB and Compliance approval first</w:t>
            </w:r>
          </w:p>
        </w:tc>
      </w:tr>
    </w:tbl>
    <w:p>
      <w:pPr>
        <w:pStyle w:val="BodyText"/>
        <w:spacing w:before="160"/>
      </w:pPr>
      <w:r>
        <w:t xml:space="preserve">Product catalogue changes from TASCO core follow the rule path. The nightly catalogue sync proposes a new products version as</w:t>
      </w:r>
      <w:r>
        <w:t xml:space="preserve"> </w:t>
      </w:r>
      <w:r>
        <w:rPr>
          <w:rStyle w:val="CodeChar"/>
        </w:rPr>
        <w:t xml:space="preserve">system:catalogue-sync</w:t>
      </w:r>
      <w:r>
        <w:t xml:space="preserve">; a person with the approver role reviews and approves it. Nothing is activated automatically, and new products stay off sale until their channels are configured.</w:t>
      </w:r>
    </w:p>
    <w:p>
      <w:pPr>
        <w:pStyle w:val="BodyText"/>
      </w:pPr>
      <w:r>
        <w:t xml:space="preserve">The files in</w:t>
      </w:r>
      <w:r>
        <w:t xml:space="preserve"> </w:t>
      </w:r>
      <w:r>
        <w:rPr>
          <w:rStyle w:val="CodeChar"/>
        </w:rPr>
        <w:t xml:space="preserve">config/rules</w:t>
      </w:r>
      <w:r>
        <w:t xml:space="preserve"> </w:t>
      </w:r>
      <w:r>
        <w:t xml:space="preserve">only seed an empty database. Editing them does not change production rules once seeded. When a production rule change should also become the default for new environments, it is mirrored into git with a pull request that references the rule version and checksum.</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Versioning</w:t>
      </w:r>
      <w:bookmarkEnd w:id="9"/>
    </w:p>
    <w:p>
      <w:pPr>
        <w:pStyle w:val="Compact"/>
        <w:numPr>
          <w:ilvl w:val="0"/>
          <w:numId w:val="1002"/>
        </w:numPr>
      </w:pPr>
      <w:r>
        <w:t xml:space="preserve">The application follows semantic versioning, shown in the metadata endpoint and the OpenAPI document. MAJOR is a breaking change to a public contract (partner API, customer API used by the VETC app, events consumed outside the platform). A breaking partner change means a new</w:t>
      </w:r>
      <w:r>
        <w:t xml:space="preserve"> </w:t>
      </w:r>
      <w:r>
        <w:rPr>
          <w:rStyle w:val="CodeChar"/>
        </w:rPr>
        <w:t xml:space="preserve">/v2/</w:t>
      </w:r>
      <w:r>
        <w:t xml:space="preserve"> </w:t>
      </w:r>
      <w:r>
        <w:t xml:space="preserve">path alongside</w:t>
      </w:r>
      <w:r>
        <w:t xml:space="preserve"> </w:t>
      </w:r>
      <w:r>
        <w:rPr>
          <w:rStyle w:val="CodeChar"/>
        </w:rPr>
        <w:t xml:space="preserve">/v1/</w:t>
      </w:r>
      <w:r>
        <w:t xml:space="preserve">, with at least 6 months’ notice. MINOR adds compatible features, endpoints, optional fields or additive migrations. PATCH is a fix or security patch with no contract change.</w:t>
      </w:r>
    </w:p>
    <w:p>
      <w:pPr>
        <w:pStyle w:val="Compact"/>
        <w:numPr>
          <w:ilvl w:val="0"/>
          <w:numId w:val="1002"/>
        </w:numPr>
      </w:pPr>
      <w:r>
        <w:t xml:space="preserve">Images are tagged with the version and the commit; deployments reference the immutable digest.</w:t>
      </w:r>
    </w:p>
    <w:p>
      <w:pPr>
        <w:pStyle w:val="Compact"/>
        <w:numPr>
          <w:ilvl w:val="0"/>
          <w:numId w:val="1002"/>
        </w:numPr>
      </w:pPr>
      <w:r>
        <w:t xml:space="preserve">Rule sets are versioned separately as</w:t>
      </w:r>
      <w:r>
        <w:t xml:space="preserve"> </w:t>
      </w:r>
      <w:r>
        <w:rPr>
          <w:rStyle w:val="CodeChar"/>
        </w:rPr>
        <w:t xml:space="preserve">&lt;kind&gt;@&lt;n&gt;</w:t>
      </w:r>
      <w:r>
        <w:t xml:space="preserve"> </w:t>
      </w:r>
      <w:r>
        <w:t xml:space="preserve">with a checksum. Operations status lists the active version and checksum per kind, and release notes record the versions validated with each release.</w:t>
      </w:r>
    </w:p>
    <w:p>
      <w:pPr>
        <w:pStyle w:val="Compact"/>
        <w:numPr>
          <w:ilvl w:val="0"/>
          <w:numId w:val="1002"/>
        </w:numPr>
      </w:pPr>
      <w:r>
        <w:t xml:space="preserve">Database migrations are numbered files recorded in</w:t>
      </w:r>
      <w:r>
        <w:t xml:space="preserve"> </w:t>
      </w:r>
      <w:r>
        <w:rPr>
          <w:rStyle w:val="CodeChar"/>
        </w:rPr>
        <w:t xml:space="preserve">schema_migrations</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0" w:name="_Toc300000006"/>
      <w:r>
        <w:rPr>
          <w:rStyle w:val="BookTitle"/>
          <w:bCs w:val="0"/>
          <w:i w:val="0"/>
          <w:iCs w:val="0"/>
          <w:spacing w:val="0"/>
        </w:rPr>
        <w:t xml:space="preserve">Branching</w:t>
      </w:r>
      <w:bookmarkEnd w:id="10"/>
    </w:p>
    <w:p>
      <w:pPr>
        <w:pStyle w:val="FirstParagraph"/>
      </w:pPr>
      <w:r>
        <w:t xml:space="preserve">Development is trunk-based with short-lived branches.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954"/>
        <w:gridCol w:w="2161"/>
        <w:gridCol w:w="3912"/>
      </w:tblGrid>
      <w:tr>
        <w:trPr>
          <w:cantSplit/>
          <w:tblHeader/>
        </w:trPr>
        <w:tc>
          <w:tcPr>
            <w:tcW w:w="2954" w:type="dxa"/>
            <w:shd w:val="clear" w:color="auto" w:fill="0F4761"/>
            <w:vAlign w:val="center"/>
          </w:tcPr>
          <w:p>
            <w:pPr>
              <w:pStyle w:val="TableHeading"/>
              <w:jc w:val="left"/>
            </w:pPr>
            <w:r>
              <w:rPr>
                <w:color w:val="FFFFFF"/>
              </w:rPr>
              <w:t xml:space="preserve">Branch</w:t>
            </w:r>
          </w:p>
        </w:tc>
        <w:tc>
          <w:tcPr>
            <w:tcW w:w="2161" w:type="dxa"/>
            <w:shd w:val="clear" w:color="auto" w:fill="0F4761"/>
            <w:vAlign w:val="center"/>
          </w:tcPr>
          <w:p>
            <w:pPr>
              <w:pStyle w:val="TableHeading"/>
              <w:jc w:val="left"/>
            </w:pPr>
            <w:r>
              <w:rPr>
                <w:color w:val="FFFFFF"/>
              </w:rPr>
              <w:t xml:space="preserve">Purpose</w:t>
            </w:r>
          </w:p>
        </w:tc>
        <w:tc>
          <w:tcPr>
            <w:tcW w:w="3912" w:type="dxa"/>
            <w:shd w:val="clear" w:color="auto" w:fill="0F4761"/>
            <w:vAlign w:val="center"/>
          </w:tcPr>
          <w:p>
            <w:pPr>
              <w:pStyle w:val="TableHeading"/>
              <w:jc w:val="left"/>
            </w:pPr>
            <w:r>
              <w:rPr>
                <w:color w:val="FFFFFF"/>
              </w:rPr>
              <w:t xml:space="preserve">Rules</w:t>
            </w:r>
          </w:p>
        </w:tc>
      </w:tr>
      <w:tr>
        <w:trPr>
          <w:cantSplit/>
        </w:trPr>
        <w:tc>
          <w:tcPr>
            <w:tcW w:w="2954" w:type="dxa"/>
            <w:vAlign w:val="top"/>
          </w:tcPr>
          <w:p>
            <w:pPr>
              <w:pStyle w:val="TableText"/>
              <w:jc w:val="left"/>
            </w:pPr>
            <w:r>
              <w:rPr>
                <w:rStyle w:val="CodeChar"/>
              </w:rPr>
              <w:t xml:space="preserve">main</w:t>
            </w:r>
          </w:p>
        </w:tc>
        <w:tc>
          <w:tcPr>
            <w:tcW w:w="2161" w:type="dxa"/>
            <w:vAlign w:val="top"/>
          </w:tcPr>
          <w:p>
            <w:pPr>
              <w:pStyle w:val="TableText"/>
              <w:jc w:val="left"/>
            </w:pPr>
            <w:r>
              <w:t xml:space="preserve">Always releasable</w:t>
            </w:r>
          </w:p>
        </w:tc>
        <w:tc>
          <w:tcPr>
            <w:tcW w:w="3912" w:type="dxa"/>
            <w:vAlign w:val="top"/>
          </w:tcPr>
          <w:p>
            <w:pPr>
              <w:pStyle w:val="TableText"/>
              <w:jc w:val="left"/>
            </w:pPr>
            <w:r>
              <w:t xml:space="preserve">Protected; at least one approving review (two for identity, access policy, encryption, security configuration and migrations); all CI gates green; linear history</w:t>
            </w:r>
          </w:p>
        </w:tc>
      </w:tr>
      <w:tr>
        <w:trPr>
          <w:cantSplit/>
        </w:trPr>
        <w:tc>
          <w:tcPr>
            <w:tcW w:w="2954" w:type="dxa"/>
            <w:shd w:val="clear" w:color="auto" w:fill="F4F7FB"/>
            <w:vAlign w:val="top"/>
          </w:tcPr>
          <w:p>
            <w:pPr>
              <w:pStyle w:val="TableText"/>
              <w:jc w:val="left"/>
            </w:pPr>
            <w:r>
              <w:rPr>
                <w:rStyle w:val="CodeChar"/>
              </w:rPr>
              <w:t xml:space="preserve">feature/&lt;ticket&gt;-&lt;slug&gt;</w:t>
            </w:r>
          </w:p>
        </w:tc>
        <w:tc>
          <w:tcPr>
            <w:tcW w:w="2161" w:type="dxa"/>
            <w:shd w:val="clear" w:color="auto" w:fill="F4F7FB"/>
            <w:vAlign w:val="top"/>
          </w:tcPr>
          <w:p>
            <w:pPr>
              <w:pStyle w:val="TableText"/>
              <w:jc w:val="left"/>
            </w:pPr>
            <w:r>
              <w:t xml:space="preserve">Work in progress</w:t>
            </w:r>
          </w:p>
        </w:tc>
        <w:tc>
          <w:tcPr>
            <w:tcW w:w="3912" w:type="dxa"/>
            <w:shd w:val="clear" w:color="auto" w:fill="F4F7FB"/>
            <w:vAlign w:val="top"/>
          </w:tcPr>
          <w:p>
            <w:pPr>
              <w:pStyle w:val="TableText"/>
              <w:jc w:val="left"/>
            </w:pPr>
            <w:r>
              <w:t xml:space="preserve">Rebased on</w:t>
            </w:r>
            <w:r>
              <w:t xml:space="preserve"> </w:t>
            </w:r>
            <w:r>
              <w:rPr>
                <w:rStyle w:val="CodeChar"/>
              </w:rPr>
              <w:t xml:space="preserve">main</w:t>
            </w:r>
            <w:r>
              <w:t xml:space="preserve">; lives 3 days or less; unfinished features hidden behind rule switches</w:t>
            </w:r>
          </w:p>
        </w:tc>
      </w:tr>
      <w:tr>
        <w:trPr>
          <w:cantSplit/>
        </w:trPr>
        <w:tc>
          <w:tcPr>
            <w:tcW w:w="2954" w:type="dxa"/>
            <w:vAlign w:val="top"/>
          </w:tcPr>
          <w:p>
            <w:pPr>
              <w:pStyle w:val="TableText"/>
              <w:jc w:val="left"/>
            </w:pPr>
            <w:r>
              <w:rPr>
                <w:rStyle w:val="CodeChar"/>
              </w:rPr>
              <w:t xml:space="preserve">release/X.Y</w:t>
            </w:r>
          </w:p>
        </w:tc>
        <w:tc>
          <w:tcPr>
            <w:tcW w:w="2161" w:type="dxa"/>
            <w:vAlign w:val="top"/>
          </w:tcPr>
          <w:p>
            <w:pPr>
              <w:pStyle w:val="TableText"/>
              <w:jc w:val="left"/>
            </w:pPr>
            <w:r>
              <w:t xml:space="preserve">Stabilisation for go-live or a freeze</w:t>
            </w:r>
          </w:p>
        </w:tc>
        <w:tc>
          <w:tcPr>
            <w:tcW w:w="3912" w:type="dxa"/>
            <w:vAlign w:val="top"/>
          </w:tcPr>
          <w:p>
            <w:pPr>
              <w:pStyle w:val="TableText"/>
              <w:jc w:val="left"/>
            </w:pPr>
            <w:r>
              <w:t xml:space="preserve">Cut from</w:t>
            </w:r>
            <w:r>
              <w:t xml:space="preserve"> </w:t>
            </w:r>
            <w:r>
              <w:rPr>
                <w:rStyle w:val="CodeChar"/>
              </w:rPr>
              <w:t xml:space="preserve">main</w:t>
            </w:r>
            <w:r>
              <w:t xml:space="preserve">; fixes cherry-picked from</w:t>
            </w:r>
            <w:r>
              <w:t xml:space="preserve"> </w:t>
            </w:r>
            <w:r>
              <w:rPr>
                <w:rStyle w:val="CodeChar"/>
              </w:rPr>
              <w:t xml:space="preserve">main</w:t>
            </w:r>
          </w:p>
        </w:tc>
      </w:tr>
      <w:tr>
        <w:trPr>
          <w:cantSplit/>
        </w:trPr>
        <w:tc>
          <w:tcPr>
            <w:tcW w:w="2954" w:type="dxa"/>
            <w:shd w:val="clear" w:color="auto" w:fill="F4F7FB"/>
            <w:vAlign w:val="top"/>
          </w:tcPr>
          <w:p>
            <w:pPr>
              <w:pStyle w:val="TableText"/>
              <w:jc w:val="left"/>
            </w:pPr>
            <w:r>
              <w:rPr>
                <w:rStyle w:val="CodeChar"/>
              </w:rPr>
              <w:t xml:space="preserve">hotfix/X.Y.Z</w:t>
            </w:r>
          </w:p>
        </w:tc>
        <w:tc>
          <w:tcPr>
            <w:tcW w:w="2161" w:type="dxa"/>
            <w:shd w:val="clear" w:color="auto" w:fill="F4F7FB"/>
            <w:vAlign w:val="top"/>
          </w:tcPr>
          <w:p>
            <w:pPr>
              <w:pStyle w:val="TableText"/>
              <w:jc w:val="left"/>
            </w:pPr>
            <w:r>
              <w:t xml:space="preserve">Emergency fix on a released version</w:t>
            </w:r>
          </w:p>
        </w:tc>
        <w:tc>
          <w:tcPr>
            <w:tcW w:w="3912" w:type="dxa"/>
            <w:shd w:val="clear" w:color="auto" w:fill="F4F7FB"/>
            <w:vAlign w:val="top"/>
          </w:tcPr>
          <w:p>
            <w:pPr>
              <w:pStyle w:val="TableText"/>
              <w:jc w:val="left"/>
            </w:pPr>
            <w:r>
              <w:t xml:space="preserve">From the release tag; merged back to</w:t>
            </w:r>
            <w:r>
              <w:t xml:space="preserve"> </w:t>
            </w:r>
            <w:r>
              <w:rPr>
                <w:rStyle w:val="CodeChar"/>
              </w:rPr>
              <w:t xml:space="preserve">main</w:t>
            </w:r>
          </w:p>
        </w:tc>
      </w:tr>
    </w:tbl>
    <w:p>
      <w:pPr>
        <w:pStyle w:val="BodyText"/>
        <w:spacing w:before="160"/>
      </w:pPr>
      <w:r>
        <w:t xml:space="preserve">Commits reference the ticket. Pull requests include the test evidence and, for migrations, the compatibility note.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 w:name="_Toc300000007"/>
      <w:r>
        <w:rPr>
          <w:rStyle w:val="BookTitle"/>
          <w:bCs w:val="0"/>
          <w:i w:val="0"/>
          <w:iCs w:val="0"/>
          <w:spacing w:val="0"/>
        </w:rPr>
        <w:t xml:space="preserve">CI/CD</w:t>
      </w:r>
      <w:bookmarkEnd w:id="11"/>
    </w:p>
    <w:p>
      <w:pPr>
        <w:pStyle w:val="Heading2"/>
      </w:pPr>
      <w:bookmarkStart w:id="12" w:name="_Toc300000008"/>
      <w:r>
        <w:t xml:space="preserve">Gates</w:t>
      </w:r>
      <w:bookmarkEnd w:id="12"/>
    </w:p>
    <w:p>
      <w:pPr>
        <w:pStyle w:val="FirstParagraph"/>
      </w:pPr>
      <w:r>
        <w:t xml:space="preserve">The CI workflow runs on every pull request and on pushes to</w:t>
      </w:r>
      <w:r>
        <w:t xml:space="preserve"> </w:t>
      </w:r>
      <w:r>
        <w:rPr>
          <w:rStyle w:val="CodeChar"/>
        </w:rPr>
        <w:t xml:space="preserve">main</w:t>
      </w:r>
      <w:r>
        <w:t xml:space="preserve"> </w:t>
      </w:r>
      <w:r>
        <w:t xml:space="preserve">and</w:t>
      </w:r>
      <w:r>
        <w:t xml:space="preserve"> </w:t>
      </w:r>
      <w:r>
        <w:rPr>
          <w:rStyle w:val="CodeChar"/>
        </w:rPr>
        <w:t xml:space="preserve">release/**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26"/>
        <w:gridCol w:w="3398"/>
        <w:gridCol w:w="3803"/>
      </w:tblGrid>
      <w:tr>
        <w:trPr>
          <w:cantSplit/>
          <w:tblHeader/>
        </w:trPr>
        <w:tc>
          <w:tcPr>
            <w:tcW w:w="1826" w:type="dxa"/>
            <w:shd w:val="clear" w:color="auto" w:fill="0F4761"/>
            <w:vAlign w:val="center"/>
          </w:tcPr>
          <w:p>
            <w:pPr>
              <w:pStyle w:val="TableHeading"/>
              <w:jc w:val="left"/>
            </w:pPr>
            <w:r>
              <w:rPr>
                <w:color w:val="FFFFFF"/>
              </w:rPr>
              <w:t xml:space="preserve">Stage</w:t>
            </w:r>
          </w:p>
        </w:tc>
        <w:tc>
          <w:tcPr>
            <w:tcW w:w="3398" w:type="dxa"/>
            <w:shd w:val="clear" w:color="auto" w:fill="0F4761"/>
            <w:vAlign w:val="center"/>
          </w:tcPr>
          <w:p>
            <w:pPr>
              <w:pStyle w:val="TableHeading"/>
              <w:jc w:val="left"/>
            </w:pPr>
            <w:r>
              <w:rPr>
                <w:color w:val="FFFFFF"/>
              </w:rPr>
              <w:t xml:space="preserve">Command or tool</w:t>
            </w:r>
          </w:p>
        </w:tc>
        <w:tc>
          <w:tcPr>
            <w:tcW w:w="3803" w:type="dxa"/>
            <w:shd w:val="clear" w:color="auto" w:fill="0F4761"/>
            <w:vAlign w:val="center"/>
          </w:tcPr>
          <w:p>
            <w:pPr>
              <w:pStyle w:val="TableHeading"/>
              <w:jc w:val="left"/>
            </w:pPr>
            <w:r>
              <w:rPr>
                <w:color w:val="FFFFFF"/>
              </w:rPr>
              <w:t xml:space="preserve">Gate</w:t>
            </w:r>
          </w:p>
        </w:tc>
      </w:tr>
      <w:tr>
        <w:trPr>
          <w:cantSplit/>
        </w:trPr>
        <w:tc>
          <w:tcPr>
            <w:tcW w:w="1826" w:type="dxa"/>
            <w:vAlign w:val="top"/>
          </w:tcPr>
          <w:p>
            <w:pPr>
              <w:pStyle w:val="TableText"/>
              <w:jc w:val="left"/>
            </w:pPr>
            <w:r>
              <w:t xml:space="preserve">Install</w:t>
            </w:r>
          </w:p>
        </w:tc>
        <w:tc>
          <w:tcPr>
            <w:tcW w:w="3398" w:type="dxa"/>
            <w:vAlign w:val="top"/>
          </w:tcPr>
          <w:p>
            <w:pPr>
              <w:pStyle w:val="TableText"/>
              <w:jc w:val="left"/>
            </w:pPr>
            <w:r>
              <w:rPr>
                <w:rStyle w:val="CodeChar"/>
              </w:rPr>
              <w:t xml:space="preserve">npm ci</w:t>
            </w:r>
            <w:r>
              <w:t xml:space="preserve"> </w:t>
            </w:r>
            <w:r>
              <w:t xml:space="preserve">with the lockfile</w:t>
            </w:r>
          </w:p>
        </w:tc>
        <w:tc>
          <w:tcPr>
            <w:tcW w:w="3803" w:type="dxa"/>
            <w:vAlign w:val="top"/>
          </w:tcPr>
          <w:p>
            <w:pPr>
              <w:pStyle w:val="TableText"/>
              <w:jc w:val="left"/>
            </w:pPr>
            <w:r>
              <w:t xml:space="preserve">—</w:t>
            </w:r>
          </w:p>
        </w:tc>
      </w:tr>
      <w:tr>
        <w:trPr>
          <w:cantSplit/>
        </w:trPr>
        <w:tc>
          <w:tcPr>
            <w:tcW w:w="1826" w:type="dxa"/>
            <w:shd w:val="clear" w:color="auto" w:fill="F4F7FB"/>
            <w:vAlign w:val="top"/>
          </w:tcPr>
          <w:p>
            <w:pPr>
              <w:pStyle w:val="TableText"/>
              <w:jc w:val="left"/>
            </w:pPr>
            <w:r>
              <w:t xml:space="preserve">Lint</w:t>
            </w:r>
          </w:p>
        </w:tc>
        <w:tc>
          <w:tcPr>
            <w:tcW w:w="3398" w:type="dxa"/>
            <w:shd w:val="clear" w:color="auto" w:fill="F4F7FB"/>
            <w:vAlign w:val="top"/>
          </w:tcPr>
          <w:p>
            <w:pPr>
              <w:pStyle w:val="TableText"/>
              <w:jc w:val="left"/>
            </w:pPr>
            <w:r>
              <w:rPr>
                <w:rStyle w:val="CodeChar"/>
              </w:rPr>
              <w:t xml:space="preserve">npm run lint</w:t>
            </w:r>
          </w:p>
        </w:tc>
        <w:tc>
          <w:tcPr>
            <w:tcW w:w="3803" w:type="dxa"/>
            <w:shd w:val="clear" w:color="auto" w:fill="F4F7FB"/>
            <w:vAlign w:val="top"/>
          </w:tcPr>
          <w:p>
            <w:pPr>
              <w:pStyle w:val="TableText"/>
              <w:jc w:val="left"/>
            </w:pPr>
            <w:r>
              <w:t xml:space="preserve">No errors</w:t>
            </w:r>
          </w:p>
        </w:tc>
      </w:tr>
      <w:tr>
        <w:trPr>
          <w:cantSplit/>
        </w:trPr>
        <w:tc>
          <w:tcPr>
            <w:tcW w:w="1826" w:type="dxa"/>
            <w:vAlign w:val="top"/>
          </w:tcPr>
          <w:p>
            <w:pPr>
              <w:pStyle w:val="TableText"/>
              <w:jc w:val="left"/>
            </w:pPr>
            <w:r>
              <w:t xml:space="preserve">Tests with coverage</w:t>
            </w:r>
          </w:p>
        </w:tc>
        <w:tc>
          <w:tcPr>
            <w:tcW w:w="3398" w:type="dxa"/>
            <w:vAlign w:val="top"/>
          </w:tcPr>
          <w:p>
            <w:pPr>
              <w:pStyle w:val="TableText"/>
              <w:jc w:val="left"/>
            </w:pPr>
            <w:r>
              <w:rPr>
                <w:rStyle w:val="CodeChar"/>
              </w:rPr>
              <w:t xml:space="preserve">npm run test:coverage</w:t>
            </w:r>
            <w:r>
              <w:t xml:space="preserve"> </w:t>
            </w:r>
            <w:r>
              <w:t xml:space="preserve">(unit, integration, API, security, functional)</w:t>
            </w:r>
          </w:p>
        </w:tc>
        <w:tc>
          <w:tcPr>
            <w:tcW w:w="3803" w:type="dxa"/>
            <w:vAlign w:val="top"/>
          </w:tcPr>
          <w:p>
            <w:pPr>
              <w:pStyle w:val="TableText"/>
              <w:jc w:val="left"/>
            </w:pPr>
            <w:r>
              <w:t xml:space="preserve">All pass; lines and functions at least 80 %, branches at least 70 %</w:t>
            </w:r>
          </w:p>
        </w:tc>
      </w:tr>
      <w:tr>
        <w:trPr>
          <w:cantSplit/>
        </w:trPr>
        <w:tc>
          <w:tcPr>
            <w:tcW w:w="1826" w:type="dxa"/>
            <w:shd w:val="clear" w:color="auto" w:fill="F4F7FB"/>
            <w:vAlign w:val="top"/>
          </w:tcPr>
          <w:p>
            <w:pPr>
              <w:pStyle w:val="TableText"/>
              <w:jc w:val="left"/>
            </w:pPr>
            <w:r>
              <w:t xml:space="preserve">PostgreSQL tests</w:t>
            </w:r>
          </w:p>
        </w:tc>
        <w:tc>
          <w:tcPr>
            <w:tcW w:w="3398" w:type="dxa"/>
            <w:shd w:val="clear" w:color="auto" w:fill="F4F7FB"/>
            <w:vAlign w:val="top"/>
          </w:tcPr>
          <w:p>
            <w:pPr>
              <w:pStyle w:val="TableText"/>
              <w:jc w:val="left"/>
            </w:pPr>
            <w:r>
              <w:rPr>
                <w:rStyle w:val="CodeChar"/>
              </w:rPr>
              <w:t xml:space="preserve">npm run test:pg</w:t>
            </w:r>
            <w:r>
              <w:t xml:space="preserve"> </w:t>
            </w:r>
            <w:r>
              <w:t xml:space="preserve">against PostgreSQL 16</w:t>
            </w:r>
          </w:p>
        </w:tc>
        <w:tc>
          <w:tcPr>
            <w:tcW w:w="3803" w:type="dxa"/>
            <w:shd w:val="clear" w:color="auto" w:fill="F4F7FB"/>
            <w:vAlign w:val="top"/>
          </w:tcPr>
          <w:p>
            <w:pPr>
              <w:pStyle w:val="TableText"/>
              <w:jc w:val="left"/>
            </w:pPr>
            <w:r>
              <w:t xml:space="preserve">All pass</w:t>
            </w:r>
          </w:p>
        </w:tc>
      </w:tr>
      <w:tr>
        <w:trPr>
          <w:cantSplit/>
        </w:trPr>
        <w:tc>
          <w:tcPr>
            <w:tcW w:w="1826" w:type="dxa"/>
            <w:vAlign w:val="top"/>
          </w:tcPr>
          <w:p>
            <w:pPr>
              <w:pStyle w:val="TableText"/>
              <w:jc w:val="left"/>
            </w:pPr>
            <w:r>
              <w:t xml:space="preserve">Static analysis</w:t>
            </w:r>
          </w:p>
        </w:tc>
        <w:tc>
          <w:tcPr>
            <w:tcW w:w="3398" w:type="dxa"/>
            <w:vAlign w:val="top"/>
          </w:tcPr>
          <w:p>
            <w:pPr>
              <w:pStyle w:val="TableText"/>
              <w:jc w:val="left"/>
            </w:pPr>
            <w:r>
              <w:t xml:space="preserve">CodeQL</w:t>
            </w:r>
          </w:p>
        </w:tc>
        <w:tc>
          <w:tcPr>
            <w:tcW w:w="3803" w:type="dxa"/>
            <w:vAlign w:val="top"/>
          </w:tcPr>
          <w:p>
            <w:pPr>
              <w:pStyle w:val="TableText"/>
              <w:jc w:val="left"/>
            </w:pPr>
            <w:r>
              <w:t xml:space="preserve">No new high or critical</w:t>
            </w:r>
          </w:p>
        </w:tc>
      </w:tr>
      <w:tr>
        <w:trPr>
          <w:cantSplit/>
        </w:trPr>
        <w:tc>
          <w:tcPr>
            <w:tcW w:w="1826" w:type="dxa"/>
            <w:shd w:val="clear" w:color="auto" w:fill="F4F7FB"/>
            <w:vAlign w:val="top"/>
          </w:tcPr>
          <w:p>
            <w:pPr>
              <w:pStyle w:val="TableText"/>
              <w:jc w:val="left"/>
            </w:pPr>
            <w:r>
              <w:t xml:space="preserve">Dependencies</w:t>
            </w:r>
          </w:p>
        </w:tc>
        <w:tc>
          <w:tcPr>
            <w:tcW w:w="3398" w:type="dxa"/>
            <w:shd w:val="clear" w:color="auto" w:fill="F4F7FB"/>
            <w:vAlign w:val="top"/>
          </w:tcPr>
          <w:p>
            <w:pPr>
              <w:pStyle w:val="TableText"/>
              <w:jc w:val="left"/>
            </w:pPr>
            <w:r>
              <w:rPr>
                <w:rStyle w:val="CodeChar"/>
              </w:rPr>
              <w:t xml:space="preserve">npm run audit</w:t>
            </w:r>
          </w:p>
        </w:tc>
        <w:tc>
          <w:tcPr>
            <w:tcW w:w="3803" w:type="dxa"/>
            <w:shd w:val="clear" w:color="auto" w:fill="F4F7FB"/>
            <w:vAlign w:val="top"/>
          </w:tcPr>
          <w:p>
            <w:pPr>
              <w:pStyle w:val="TableText"/>
              <w:jc w:val="left"/>
            </w:pPr>
            <w:r>
              <w:t xml:space="preserve">No high or critical in production dependencies</w:t>
            </w:r>
          </w:p>
        </w:tc>
      </w:tr>
      <w:tr>
        <w:trPr>
          <w:cantSplit/>
        </w:trPr>
        <w:tc>
          <w:tcPr>
            <w:tcW w:w="1826" w:type="dxa"/>
            <w:vAlign w:val="top"/>
          </w:tcPr>
          <w:p>
            <w:pPr>
              <w:pStyle w:val="TableText"/>
              <w:jc w:val="left"/>
            </w:pPr>
            <w:r>
              <w:t xml:space="preserve">Secrets</w:t>
            </w:r>
          </w:p>
        </w:tc>
        <w:tc>
          <w:tcPr>
            <w:tcW w:w="3398" w:type="dxa"/>
            <w:vAlign w:val="top"/>
          </w:tcPr>
          <w:p>
            <w:pPr>
              <w:pStyle w:val="TableText"/>
              <w:jc w:val="left"/>
            </w:pPr>
            <w:r>
              <w:t xml:space="preserve">gitleaks</w:t>
            </w:r>
          </w:p>
        </w:tc>
        <w:tc>
          <w:tcPr>
            <w:tcW w:w="3803" w:type="dxa"/>
            <w:vAlign w:val="top"/>
          </w:tcPr>
          <w:p>
            <w:pPr>
              <w:pStyle w:val="TableText"/>
              <w:jc w:val="left"/>
            </w:pPr>
            <w:r>
              <w:t xml:space="preserve">No findings</w:t>
            </w:r>
          </w:p>
        </w:tc>
      </w:tr>
      <w:tr>
        <w:trPr>
          <w:cantSplit/>
        </w:trPr>
        <w:tc>
          <w:tcPr>
            <w:tcW w:w="1826" w:type="dxa"/>
            <w:shd w:val="clear" w:color="auto" w:fill="F4F7FB"/>
            <w:vAlign w:val="top"/>
          </w:tcPr>
          <w:p>
            <w:pPr>
              <w:pStyle w:val="TableText"/>
              <w:jc w:val="left"/>
            </w:pPr>
            <w:r>
              <w:t xml:space="preserve">Container</w:t>
            </w:r>
          </w:p>
        </w:tc>
        <w:tc>
          <w:tcPr>
            <w:tcW w:w="3398" w:type="dxa"/>
            <w:shd w:val="clear" w:color="auto" w:fill="F4F7FB"/>
            <w:vAlign w:val="top"/>
          </w:tcPr>
          <w:p>
            <w:pPr>
              <w:pStyle w:val="TableText"/>
              <w:jc w:val="left"/>
            </w:pPr>
            <w:r>
              <w:t xml:space="preserve">Image build and Trivy scan</w:t>
            </w:r>
          </w:p>
        </w:tc>
        <w:tc>
          <w:tcPr>
            <w:tcW w:w="3803" w:type="dxa"/>
            <w:shd w:val="clear" w:color="auto" w:fill="F4F7FB"/>
            <w:vAlign w:val="top"/>
          </w:tcPr>
          <w:p>
            <w:pPr>
              <w:pStyle w:val="TableText"/>
              <w:jc w:val="left"/>
            </w:pPr>
            <w:r>
              <w:t xml:space="preserve">No high or critical</w:t>
            </w:r>
          </w:p>
        </w:tc>
      </w:tr>
      <w:tr>
        <w:trPr>
          <w:cantSplit/>
        </w:trPr>
        <w:tc>
          <w:tcPr>
            <w:tcW w:w="1826" w:type="dxa"/>
            <w:vAlign w:val="top"/>
          </w:tcPr>
          <w:p>
            <w:pPr>
              <w:pStyle w:val="TableText"/>
              <w:jc w:val="left"/>
            </w:pPr>
            <w:r>
              <w:t xml:space="preserve">SBOM</w:t>
            </w:r>
          </w:p>
        </w:tc>
        <w:tc>
          <w:tcPr>
            <w:tcW w:w="3398" w:type="dxa"/>
            <w:vAlign w:val="top"/>
          </w:tcPr>
          <w:p>
            <w:pPr>
              <w:pStyle w:val="TableText"/>
              <w:jc w:val="left"/>
            </w:pPr>
            <w:r>
              <w:t xml:space="preserve">CycloneDX</w:t>
            </w:r>
          </w:p>
        </w:tc>
        <w:tc>
          <w:tcPr>
            <w:tcW w:w="3803" w:type="dxa"/>
            <w:vAlign w:val="top"/>
          </w:tcPr>
          <w:p>
            <w:pPr>
              <w:pStyle w:val="TableText"/>
              <w:jc w:val="left"/>
            </w:pPr>
            <w:r>
              <w:t xml:space="preserve">Attached to the build</w:t>
            </w:r>
          </w:p>
        </w:tc>
      </w:tr>
      <w:tr>
        <w:trPr>
          <w:cantSplit/>
        </w:trPr>
        <w:tc>
          <w:tcPr>
            <w:tcW w:w="1826" w:type="dxa"/>
            <w:shd w:val="clear" w:color="auto" w:fill="F4F7FB"/>
            <w:vAlign w:val="top"/>
          </w:tcPr>
          <w:p>
            <w:pPr>
              <w:pStyle w:val="TableText"/>
              <w:jc w:val="left"/>
            </w:pPr>
            <w:r>
              <w:t xml:space="preserve">Dynamic scan</w:t>
            </w:r>
          </w:p>
        </w:tc>
        <w:tc>
          <w:tcPr>
            <w:tcW w:w="3398" w:type="dxa"/>
            <w:shd w:val="clear" w:color="auto" w:fill="F4F7FB"/>
            <w:vAlign w:val="top"/>
          </w:tcPr>
          <w:p>
            <w:pPr>
              <w:pStyle w:val="TableText"/>
              <w:jc w:val="left"/>
            </w:pPr>
            <w:r>
              <w:t xml:space="preserve">ZAP baseline against the built image</w:t>
            </w:r>
          </w:p>
        </w:tc>
        <w:tc>
          <w:tcPr>
            <w:tcW w:w="3803" w:type="dxa"/>
            <w:shd w:val="clear" w:color="auto" w:fill="F4F7FB"/>
            <w:vAlign w:val="top"/>
          </w:tcPr>
          <w:p>
            <w:pPr>
              <w:pStyle w:val="TableText"/>
              <w:jc w:val="left"/>
            </w:pPr>
            <w:r>
              <w:t xml:space="preserve">Report only in CI; no high alert accepted for a release tag</w:t>
            </w:r>
          </w:p>
        </w:tc>
      </w:tr>
      <w:tr>
        <w:trPr>
          <w:cantSplit/>
        </w:trPr>
        <w:tc>
          <w:tcPr>
            <w:tcW w:w="1826" w:type="dxa"/>
            <w:vAlign w:val="top"/>
          </w:tcPr>
          <w:p>
            <w:pPr>
              <w:pStyle w:val="TableText"/>
              <w:jc w:val="left"/>
            </w:pPr>
            <w:r>
              <w:t xml:space="preserve">Contract</w:t>
            </w:r>
          </w:p>
        </w:tc>
        <w:tc>
          <w:tcPr>
            <w:tcW w:w="3398" w:type="dxa"/>
            <w:vAlign w:val="top"/>
          </w:tcPr>
          <w:p>
            <w:pPr>
              <w:pStyle w:val="TableText"/>
              <w:jc w:val="left"/>
            </w:pPr>
            <w:r>
              <w:t xml:space="preserve">Regenerate the OpenAPI document and compare with the committed copy</w:t>
            </w:r>
          </w:p>
        </w:tc>
        <w:tc>
          <w:tcPr>
            <w:tcW w:w="3803" w:type="dxa"/>
            <w:vAlign w:val="top"/>
          </w:tcPr>
          <w:p>
            <w:pPr>
              <w:pStyle w:val="TableText"/>
              <w:jc w:val="left"/>
            </w:pPr>
            <w:r>
              <w:t xml:space="preserve">Fails if stale. A change to the partner API needs reviewer sign-off and a partner notice</w:t>
            </w:r>
          </w:p>
        </w:tc>
      </w:tr>
      <w:tr>
        <w:trPr>
          <w:cantSplit/>
        </w:trPr>
        <w:tc>
          <w:tcPr>
            <w:tcW w:w="1826" w:type="dxa"/>
            <w:shd w:val="clear" w:color="auto" w:fill="F4F7FB"/>
            <w:vAlign w:val="top"/>
          </w:tcPr>
          <w:p>
            <w:pPr>
              <w:pStyle w:val="TableText"/>
              <w:jc w:val="left"/>
            </w:pPr>
            <w:r>
              <w:t xml:space="preserve">Migration immutability</w:t>
            </w:r>
          </w:p>
        </w:tc>
        <w:tc>
          <w:tcPr>
            <w:tcW w:w="3398" w:type="dxa"/>
            <w:shd w:val="clear" w:color="auto" w:fill="F4F7FB"/>
            <w:vAlign w:val="top"/>
          </w:tcPr>
          <w:p>
            <w:pPr>
              <w:pStyle w:val="TableText"/>
              <w:jc w:val="left"/>
            </w:pPr>
            <w:r>
              <w:t xml:space="preserve">DBA review: an applied migration file is never edited (an automated check is recommended)</w:t>
            </w:r>
          </w:p>
        </w:tc>
        <w:tc>
          <w:tcPr>
            <w:tcW w:w="3803" w:type="dxa"/>
            <w:shd w:val="clear" w:color="auto" w:fill="F4F7FB"/>
            <w:vAlign w:val="top"/>
          </w:tcPr>
          <w:p>
            <w:pPr>
              <w:pStyle w:val="TableText"/>
              <w:jc w:val="left"/>
            </w:pPr>
            <w:r>
              <w:t xml:space="preserve">Hard rule</w:t>
            </w:r>
          </w:p>
        </w:tc>
      </w:tr>
      <w:tr>
        <w:trPr>
          <w:cantSplit/>
        </w:trPr>
        <w:tc>
          <w:tcPr>
            <w:tcW w:w="1826" w:type="dxa"/>
            <w:vAlign w:val="top"/>
          </w:tcPr>
          <w:p>
            <w:pPr>
              <w:pStyle w:val="TableText"/>
              <w:jc w:val="left"/>
            </w:pPr>
            <w:r>
              <w:t xml:space="preserve">Performance smoke</w:t>
            </w:r>
          </w:p>
        </w:tc>
        <w:tc>
          <w:tcPr>
            <w:tcW w:w="3398" w:type="dxa"/>
            <w:vAlign w:val="top"/>
          </w:tcPr>
          <w:p>
            <w:pPr>
              <w:pStyle w:val="TableText"/>
              <w:jc w:val="left"/>
            </w:pPr>
            <w:r>
              <w:rPr>
                <w:rStyle w:val="CodeChar"/>
              </w:rPr>
              <w:t xml:space="preserve">npm run test:perf</w:t>
            </w:r>
            <w:r>
              <w:t xml:space="preserve"> </w:t>
            </w:r>
            <w:r>
              <w:t xml:space="preserve">(15 s, 25 concurrent)</w:t>
            </w:r>
          </w:p>
        </w:tc>
        <w:tc>
          <w:tcPr>
            <w:tcW w:w="3803" w:type="dxa"/>
            <w:vAlign w:val="top"/>
          </w:tcPr>
          <w:p>
            <w:pPr>
              <w:pStyle w:val="TableText"/>
              <w:jc w:val="left"/>
            </w:pPr>
            <w:r>
              <w:t xml:space="preserve">p95 at most 300 ms and errors at most 1 %; release candidates also run PERF-S1, within 120 % of the previous baseline</w:t>
            </w:r>
          </w:p>
        </w:tc>
      </w:tr>
    </w:tbl>
    <w:p>
      <w:pPr>
        <w:pStyle w:val="Heading2"/>
      </w:pPr>
      <w:bookmarkStart w:id="13" w:name="_Toc300000009"/>
      <w:r>
        <w:t xml:space="preserve">Release pipeline</w:t>
      </w:r>
      <w:bookmarkEnd w:id="13"/>
    </w:p>
    <w:p>
      <w:pPr>
        <w:pStyle w:val="FirstParagraph"/>
      </w:pPr>
      <w:r>
        <w:t xml:space="preserve">A code change passes the CI gates, is promoted with the same image digest through SIT, UAT and PREPROD, and reaches production only after CAB approval and passing smoke tests. The first diagram covers preparation and testing, the second the release and its verification.</w:t>
      </w:r>
    </w:p>
    <w:p xmlns:a="http://schemas.openxmlformats.org/drawingml/2006/main" xmlns:pic="http://schemas.openxmlformats.org/drawingml/2006/picture">
      <w:pPr>
        <w:pStyle w:val="Figure"/>
      </w:pPr>
      <w:r>
        <w:drawing>
          <wp:inline>
            <wp:extent cx="2138399" cy="6479999"/>
            <wp:effectExtent b="0" l="0" r="0" t="0"/>
            <wp:docPr descr="Release pipeline, part 1: prepare and test" title="" id="5002" name="Picture"/>
            <a:graphic>
              <a:graphicData uri="http://schemas.openxmlformats.org/drawingml/2006/picture">
                <pic:pic>
                  <pic:nvPicPr>
                    <pic:cNvPr descr="/home/user/TASCO/tools/docs-source/gen/.cache/mermaid/eea5388103940b0a.png" id="27" name="Picture"/>
                    <pic:cNvPicPr>
                      <a:picLocks noChangeArrowheads="1" noChangeAspect="1"/>
                    </pic:cNvPicPr>
                  </pic:nvPicPr>
                  <pic:blipFill>
                    <a:blip r:embed="rIdG1"/>
                    <a:stretch>
                      <a:fillRect/>
                    </a:stretch>
                  </pic:blipFill>
                  <pic:spPr bwMode="auto">
                    <a:xfrm>
                      <a:off x="0" y="0"/>
                      <a:ext cx="2138399" cy="6479999"/>
                    </a:xfrm>
                    <a:prstGeom prst="rect">
                      <a:avLst/>
                    </a:prstGeom>
                    <a:noFill/>
                    <a:ln w="9525">
                      <a:noFill/>
                      <a:headEnd/>
                      <a:tailEnd/>
                    </a:ln>
                  </pic:spPr>
                </pic:pic>
              </a:graphicData>
            </a:graphic>
          </wp:inline>
        </w:drawing>
      </w:r>
    </w:p>
    <w:p>
      <w:pPr>
        <w:pStyle w:val="Caption"/>
      </w:pPr>
      <w:r>
        <w:t xml:space="preserve">Figure 1 – Release pipeline, part 1: prepare and test</w:t>
      </w:r>
    </w:p>
    <w:p xmlns:a="http://schemas.openxmlformats.org/drawingml/2006/main" xmlns:pic="http://schemas.openxmlformats.org/drawingml/2006/picture">
      <w:pPr>
        <w:pStyle w:val="Figure"/>
      </w:pPr>
      <w:r>
        <w:drawing>
          <wp:inline>
            <wp:extent cx="3553199" cy="4467599"/>
            <wp:effectExtent b="0" l="0" r="0" t="0"/>
            <wp:docPr descr="Release pipeline, part 2: release and verify" title="" id="5003" name="Picture"/>
            <a:graphic>
              <a:graphicData uri="http://schemas.openxmlformats.org/drawingml/2006/picture">
                <pic:pic>
                  <pic:nvPicPr>
                    <pic:cNvPr descr="/home/user/TASCO/tools/docs-source/gen/.cache/mermaid/f9ec5fa1b9a72d42.png" id="30" name="Picture"/>
                    <pic:cNvPicPr>
                      <a:picLocks noChangeArrowheads="1" noChangeAspect="1"/>
                    </pic:cNvPicPr>
                  </pic:nvPicPr>
                  <pic:blipFill>
                    <a:blip r:embed="rIdG2"/>
                    <a:stretch>
                      <a:fillRect/>
                    </a:stretch>
                  </pic:blipFill>
                  <pic:spPr bwMode="auto">
                    <a:xfrm>
                      <a:off x="0" y="0"/>
                      <a:ext cx="3553199" cy="4467599"/>
                    </a:xfrm>
                    <a:prstGeom prst="rect">
                      <a:avLst/>
                    </a:prstGeom>
                    <a:noFill/>
                    <a:ln w="9525">
                      <a:noFill/>
                      <a:headEnd/>
                      <a:tailEnd/>
                    </a:ln>
                  </pic:spPr>
                </pic:pic>
              </a:graphicData>
            </a:graphic>
          </wp:inline>
        </w:drawing>
      </w:r>
    </w:p>
    <w:p>
      <w:pPr>
        <w:pStyle w:val="Caption"/>
      </w:pPr>
      <w:r>
        <w:t xml:space="preserve">Figure 2 – Release pipeline, part 2: release and verify</w:t>
      </w:r>
    </w:p>
    <w:p>
      <w:pPr>
        <w:pStyle w:val="BodyText"/>
      </w:pPr>
      <w:r>
        <w:t xml:space="preserve">Production deployment steps:</w:t>
      </w:r>
    </w:p>
    <w:p>
      <w:pPr>
        <w:pStyle w:val="Compact"/>
        <w:numPr>
          <w:ilvl w:val="0"/>
          <w:numId w:val="1003"/>
        </w:numPr>
      </w:pPr>
      <w:r>
        <w:t xml:space="preserve">CAB approval recorded.</w:t>
      </w:r>
    </w:p>
    <w:p>
      <w:pPr>
        <w:pStyle w:val="Compact"/>
        <w:numPr>
          <w:ilvl w:val="0"/>
          <w:numId w:val="1003"/>
        </w:numPr>
      </w:pPr>
      <w:r>
        <w:t xml:space="preserve">Migration job runs with a separate database role that has DDL rights.</w:t>
      </w:r>
    </w:p>
    <w:p>
      <w:pPr>
        <w:pStyle w:val="Compact"/>
        <w:numPr>
          <w:ilvl w:val="0"/>
          <w:numId w:val="1003"/>
        </w:numPr>
      </w:pPr>
      <w:r>
        <w:t xml:space="preserve">Rolling update with no unavailable pods and one surge pod. Readiness gates traffic; old pods drain within 25 seconds of</w:t>
      </w:r>
      <w:r>
        <w:t xml:space="preserve"> </w:t>
      </w:r>
      <w:r>
        <w:rPr>
          <w:rStyle w:val="CodeChar"/>
        </w:rPr>
        <w:t xml:space="preserve">SIGTERM</w:t>
      </w:r>
      <w:r>
        <w:t xml:space="preserve">.</w:t>
      </w:r>
    </w:p>
    <w:p>
      <w:pPr>
        <w:pStyle w:val="Compact"/>
        <w:numPr>
          <w:ilvl w:val="0"/>
          <w:numId w:val="1003"/>
        </w:numPr>
      </w:pPr>
      <w:r>
        <w:t xml:space="preserve">Smoke tests from TGP-OPS-05, including the integration status check for TASCO core.</w:t>
      </w:r>
    </w:p>
    <w:p>
      <w:pPr>
        <w:pStyle w:val="Compact"/>
        <w:numPr>
          <w:ilvl w:val="0"/>
          <w:numId w:val="1003"/>
        </w:numPr>
      </w:pPr>
      <w:r>
        <w:t xml:space="preserve">Dashboards D1 to D3 watched for 30 minutes, then the change is closed.</w:t>
      </w:r>
    </w:p>
    <w:p>
      <w:pPr>
        <w:pStyle w:val="FirstParagraph"/>
      </w:pPr>
      <w:r>
        <w:t xml:space="preserve">Deployments run Tuesday to Thursday, 21:00 to 23:00, outside marketing contact hours and well before the 08:15 journey run. There are no deployments on the day before a public holiday, during the Tết freeze or in month-end renewal peaks, except emergencies. The hosted UAT on Railway deploys from the same</w:t>
      </w:r>
      <w:r>
        <w:t xml:space="preserve"> </w:t>
      </w:r>
      <w:r>
        <w:rPr>
          <w:rStyle w:val="CodeChar"/>
        </w:rPr>
        <w:t xml:space="preserve">Dockerfile</w:t>
      </w:r>
      <w:r>
        <w:t xml:space="preserve">;</w:t>
      </w:r>
      <w:r>
        <w:t xml:space="preserve"> </w:t>
      </w:r>
      <w:r>
        <w:rPr>
          <w:rStyle w:val="CodeChar"/>
        </w:rPr>
        <w:t xml:space="preserve">railway.json</w:t>
      </w:r>
      <w:r>
        <w:t xml:space="preserve"> </w:t>
      </w:r>
      <w:r>
        <w:t xml:space="preserve">runs the migration as a pre-deploy step and gates traffic on readiness.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CAB</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84"/>
        <w:gridCol w:w="3517"/>
        <w:gridCol w:w="2142"/>
        <w:gridCol w:w="1384"/>
      </w:tblGrid>
      <w:tr>
        <w:trPr>
          <w:cantSplit/>
          <w:tblHeader/>
        </w:trPr>
        <w:tc>
          <w:tcPr>
            <w:tcW w:w="1984" w:type="dxa"/>
            <w:shd w:val="clear" w:color="auto" w:fill="0F4761"/>
            <w:vAlign w:val="center"/>
          </w:tcPr>
          <w:p>
            <w:pPr>
              <w:pStyle w:val="TableHeading"/>
              <w:jc w:val="left"/>
            </w:pPr>
            <w:r>
              <w:rPr>
                <w:color w:val="FFFFFF"/>
              </w:rPr>
              <w:t xml:space="preserve">Change type</w:t>
            </w:r>
          </w:p>
        </w:tc>
        <w:tc>
          <w:tcPr>
            <w:tcW w:w="3517" w:type="dxa"/>
            <w:shd w:val="clear" w:color="auto" w:fill="0F4761"/>
            <w:vAlign w:val="center"/>
          </w:tcPr>
          <w:p>
            <w:pPr>
              <w:pStyle w:val="TableHeading"/>
              <w:jc w:val="left"/>
            </w:pPr>
            <w:r>
              <w:rPr>
                <w:color w:val="FFFFFF"/>
              </w:rPr>
              <w:t xml:space="preserve">Examples</w:t>
            </w:r>
          </w:p>
        </w:tc>
        <w:tc>
          <w:tcPr>
            <w:tcW w:w="2142" w:type="dxa"/>
            <w:shd w:val="clear" w:color="auto" w:fill="0F4761"/>
            <w:vAlign w:val="center"/>
          </w:tcPr>
          <w:p>
            <w:pPr>
              <w:pStyle w:val="TableHeading"/>
              <w:jc w:val="left"/>
            </w:pPr>
            <w:r>
              <w:rPr>
                <w:color w:val="FFFFFF"/>
              </w:rPr>
              <w:t xml:space="preserve">Approval</w:t>
            </w:r>
          </w:p>
        </w:tc>
        <w:tc>
          <w:tcPr>
            <w:tcW w:w="1384" w:type="dxa"/>
            <w:shd w:val="clear" w:color="auto" w:fill="0F4761"/>
            <w:vAlign w:val="center"/>
          </w:tcPr>
          <w:p>
            <w:pPr>
              <w:pStyle w:val="TableHeading"/>
              <w:jc w:val="left"/>
            </w:pPr>
            <w:r>
              <w:rPr>
                <w:color w:val="FFFFFF"/>
              </w:rPr>
              <w:t xml:space="preserve">Lead time</w:t>
            </w:r>
          </w:p>
        </w:tc>
      </w:tr>
      <w:tr>
        <w:trPr>
          <w:cantSplit/>
        </w:trPr>
        <w:tc>
          <w:tcPr>
            <w:tcW w:w="1984" w:type="dxa"/>
            <w:vAlign w:val="top"/>
          </w:tcPr>
          <w:p>
            <w:pPr>
              <w:pStyle w:val="TableText"/>
              <w:jc w:val="left"/>
            </w:pPr>
            <w:r>
              <w:t xml:space="preserve">Standard (pre-approved, low risk)</w:t>
            </w:r>
          </w:p>
        </w:tc>
        <w:tc>
          <w:tcPr>
            <w:tcW w:w="3517" w:type="dxa"/>
            <w:vAlign w:val="top"/>
          </w:tcPr>
          <w:p>
            <w:pPr>
              <w:pStyle w:val="TableText"/>
              <w:jc w:val="left"/>
            </w:pPr>
            <w:r>
              <w:t xml:space="preserve">Patch release passing all gates with no migration; scaling within autoscaler limits; certificate renewal; partner key issue or revocation (SOP-04); offboarding (SOP-03)</w:t>
            </w:r>
          </w:p>
        </w:tc>
        <w:tc>
          <w:tcPr>
            <w:tcW w:w="2142" w:type="dxa"/>
            <w:vAlign w:val="top"/>
          </w:tcPr>
          <w:p>
            <w:pPr>
              <w:pStyle w:val="TableText"/>
              <w:jc w:val="left"/>
            </w:pPr>
            <w:r>
              <w:t xml:space="preserve">Release manager; logged</w:t>
            </w:r>
          </w:p>
        </w:tc>
        <w:tc>
          <w:tcPr>
            <w:tcW w:w="1384" w:type="dxa"/>
            <w:vAlign w:val="top"/>
          </w:tcPr>
          <w:p>
            <w:pPr>
              <w:pStyle w:val="TableText"/>
              <w:jc w:val="left"/>
            </w:pPr>
            <w:r>
              <w:t xml:space="preserve">Same day</w:t>
            </w:r>
          </w:p>
        </w:tc>
      </w:tr>
      <w:tr>
        <w:trPr>
          <w:cantSplit/>
        </w:trPr>
        <w:tc>
          <w:tcPr>
            <w:tcW w:w="1984" w:type="dxa"/>
            <w:shd w:val="clear" w:color="auto" w:fill="F4F7FB"/>
            <w:vAlign w:val="top"/>
          </w:tcPr>
          <w:p>
            <w:pPr>
              <w:pStyle w:val="TableText"/>
              <w:jc w:val="left"/>
            </w:pPr>
            <w:r>
              <w:t xml:space="preserve">Normal</w:t>
            </w:r>
          </w:p>
        </w:tc>
        <w:tc>
          <w:tcPr>
            <w:tcW w:w="3517" w:type="dxa"/>
            <w:shd w:val="clear" w:color="auto" w:fill="F4F7FB"/>
            <w:vAlign w:val="top"/>
          </w:tcPr>
          <w:p>
            <w:pPr>
              <w:pStyle w:val="TableText"/>
              <w:jc w:val="left"/>
            </w:pPr>
            <w:r>
              <w:t xml:space="preserve">Minor or major release; any migration; configuration or secret change (SOP-01, SOP-02, TASCO core credentials); access control changes; infrastructure; new partner integration; change of rating mode</w:t>
            </w:r>
          </w:p>
        </w:tc>
        <w:tc>
          <w:tcPr>
            <w:tcW w:w="2142" w:type="dxa"/>
            <w:shd w:val="clear" w:color="auto" w:fill="F4F7FB"/>
            <w:vAlign w:val="top"/>
          </w:tcPr>
          <w:p>
            <w:pPr>
              <w:pStyle w:val="TableText"/>
              <w:jc w:val="left"/>
            </w:pPr>
            <w:r>
              <w:t xml:space="preserve">Weekly CAB, Wednesday 14:00</w:t>
            </w:r>
          </w:p>
        </w:tc>
        <w:tc>
          <w:tcPr>
            <w:tcW w:w="1384" w:type="dxa"/>
            <w:shd w:val="clear" w:color="auto" w:fill="F4F7FB"/>
            <w:vAlign w:val="top"/>
          </w:tcPr>
          <w:p>
            <w:pPr>
              <w:pStyle w:val="TableText"/>
              <w:jc w:val="left"/>
            </w:pPr>
            <w:r>
              <w:t xml:space="preserve">3 business days or more</w:t>
            </w:r>
          </w:p>
        </w:tc>
      </w:tr>
      <w:tr>
        <w:trPr>
          <w:cantSplit/>
        </w:trPr>
        <w:tc>
          <w:tcPr>
            <w:tcW w:w="1984" w:type="dxa"/>
            <w:vAlign w:val="top"/>
          </w:tcPr>
          <w:p>
            <w:pPr>
              <w:pStyle w:val="TableText"/>
              <w:jc w:val="left"/>
            </w:pPr>
            <w:r>
              <w:t xml:space="preserve">Emergency</w:t>
            </w:r>
          </w:p>
        </w:tc>
        <w:tc>
          <w:tcPr>
            <w:tcW w:w="3517" w:type="dxa"/>
            <w:vAlign w:val="top"/>
          </w:tcPr>
          <w:p>
            <w:pPr>
              <w:pStyle w:val="TableText"/>
              <w:jc w:val="left"/>
            </w:pPr>
            <w:r>
              <w:t xml:space="preserve">Sev 1 or 2 fix; patch for an actively exploited vulnerability; rotation of a compromised secret</w:t>
            </w:r>
          </w:p>
        </w:tc>
        <w:tc>
          <w:tcPr>
            <w:tcW w:w="2142" w:type="dxa"/>
            <w:vAlign w:val="top"/>
          </w:tcPr>
          <w:p>
            <w:pPr>
              <w:pStyle w:val="TableText"/>
              <w:jc w:val="left"/>
            </w:pPr>
            <w:r>
              <w:t xml:space="preserve">Emergency CAB: TASCO Head of IT and Product Owner, plus Compliance when customer contact is affected; ratified at the next CAB</w:t>
            </w:r>
          </w:p>
        </w:tc>
        <w:tc>
          <w:tcPr>
            <w:tcW w:w="1384" w:type="dxa"/>
            <w:vAlign w:val="top"/>
          </w:tcPr>
          <w:p>
            <w:pPr>
              <w:pStyle w:val="TableText"/>
              <w:jc w:val="left"/>
            </w:pPr>
            <w:r>
              <w:t xml:space="preserve">Immediate</w:t>
            </w:r>
          </w:p>
        </w:tc>
      </w:tr>
    </w:tbl>
    <w:p>
      <w:pPr>
        <w:pStyle w:val="BodyText"/>
        <w:spacing w:before="160"/>
      </w:pPr>
      <w:r>
        <w:t xml:space="preserve">A change record holds the description, risk and impact, tickets, release notes, test evidence, migration plan and compatibility, deployment and rollback steps, verification, communication plan and window.</w:t>
      </w:r>
    </w:p>
    <w:p>
      <w:pPr>
        <w:pStyle w:val="BodyText"/>
      </w:pPr>
      <w:r>
        <w:t xml:space="preserve">A change of</w:t>
      </w:r>
      <w:r>
        <w:t xml:space="preserve"> </w:t>
      </w:r>
      <w:r>
        <w:rPr>
          <w:rStyle w:val="CodeChar"/>
        </w:rPr>
        <w:t xml:space="preserve">RATING_SOURCE</w:t>
      </w:r>
      <w:r>
        <w:t xml:space="preserve"> </w:t>
      </w:r>
      <w:r>
        <w:t xml:space="preserve">is always a normal change with TASCO Business Owner approval. Setting</w:t>
      </w:r>
      <w:r>
        <w:t xml:space="preserve"> </w:t>
      </w:r>
      <w:r>
        <w:rPr>
          <w:rStyle w:val="CodeChar"/>
        </w:rPr>
        <w:t xml:space="preserve">ALLOW_LOCAL_RATING</w:t>
      </w:r>
      <w:r>
        <w:t xml:space="preserve"> </w:t>
      </w:r>
      <w:r>
        <w:t xml:space="preserve">in production also needs TASCO’s explicit written approval.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Database migrations</w:t>
      </w:r>
      <w:bookmarkEnd w:id="15"/>
    </w:p>
    <w:p>
      <w:pPr>
        <w:pStyle w:val="Compact"/>
        <w:numPr>
          <w:ilvl w:val="0"/>
          <w:numId w:val="1004"/>
        </w:numPr>
      </w:pPr>
      <w:r>
        <w:t xml:space="preserve">Never edit a migration applied to any shared environment, even for whitespace. The file name is its identity in</w:t>
      </w:r>
      <w:r>
        <w:t xml:space="preserve"> </w:t>
      </w:r>
      <w:r>
        <w:rPr>
          <w:rStyle w:val="CodeChar"/>
        </w:rPr>
        <w:t xml:space="preserve">schema_migrations</w:t>
      </w:r>
      <w:r>
        <w:t xml:space="preserve">, so an edit is skipped where already applied and diverges elsewhere. Add a new numbered file instead (</w:t>
      </w:r>
      <w:r>
        <w:rPr>
          <w:rStyle w:val="CodeChar"/>
        </w:rPr>
        <w:t xml:space="preserve">003_dsar_requests.sql</w:t>
      </w:r>
      <w:r>
        <w:t xml:space="preserve">, which adds the data-request register, is the latest). DBA review enforces this, and the header of</w:t>
      </w:r>
      <w:r>
        <w:t xml:space="preserve"> </w:t>
      </w:r>
      <w:r>
        <w:rPr>
          <w:rStyle w:val="CodeChar"/>
        </w:rPr>
        <w:t xml:space="preserve">001_init.sql</w:t>
      </w:r>
      <w:r>
        <w:t xml:space="preserve"> </w:t>
      </w:r>
      <w:r>
        <w:t xml:space="preserve">states it.</w:t>
      </w:r>
    </w:p>
    <w:p>
      <w:pPr>
        <w:pStyle w:val="Compact"/>
        <w:numPr>
          <w:ilvl w:val="0"/>
          <w:numId w:val="1004"/>
        </w:numPr>
      </w:pPr>
      <w:r>
        <w:t xml:space="preserve">Migrations take a PostgreSQL advisory lock, so two migrators started together run one after the other (KI-30 fixed). Rule activation is transactional.</w:t>
      </w:r>
    </w:p>
    <w:p>
      <w:pPr>
        <w:pStyle w:val="Compact"/>
        <w:numPr>
          <w:ilvl w:val="0"/>
          <w:numId w:val="1004"/>
        </w:numPr>
      </w:pPr>
      <w:r>
        <w:t xml:space="preserve">Migrations are forward-only and follow expand and contract, so an application rollback never needs a schema rollback. Expand: add tables, nullable columns and indexes. Large concurrent index builds are a manual DBA step referenced by the change, because each migration file runs in a transaction. Move data in batches by a job, not in the DDL migration. Contract (drop or rename) only in a later release, when no running version uses the old structure.</w:t>
      </w:r>
    </w:p>
    <w:p>
      <w:pPr>
        <w:pStyle w:val="Compact"/>
        <w:numPr>
          <w:ilvl w:val="0"/>
          <w:numId w:val="1004"/>
        </w:numPr>
      </w:pPr>
      <w:r>
        <w:rPr>
          <w:rStyle w:val="CodeChar"/>
        </w:rPr>
        <w:t xml:space="preserve">schema.js</w:t>
      </w:r>
      <w:r>
        <w:t xml:space="preserve"> </w:t>
      </w:r>
      <w:r>
        <w:t xml:space="preserve">must match the SQL; a unit test checks parity (</w:t>
      </w:r>
      <w:r>
        <w:t xml:space="preserve">“</w:t>
      </w:r>
      <w:r>
        <w:t xml:space="preserve">schema drift guard</w:t>
      </w:r>
      <w:r>
        <w:t xml:space="preserve">”</w:t>
      </w:r>
      <w:r>
        <w:t xml:space="preserve">).</w:t>
      </w:r>
    </w:p>
    <w:p>
      <w:pPr>
        <w:pStyle w:val="Compact"/>
        <w:numPr>
          <w:ilvl w:val="0"/>
          <w:numId w:val="1004"/>
        </w:numPr>
      </w:pPr>
      <w:r>
        <w:t xml:space="preserve">Migrations are idempotent where possible, reviewed by the DBA, timed on PERF data, and run by the migration job before rollout (</w:t>
      </w:r>
      <w:r>
        <w:rPr>
          <w:rStyle w:val="CodeChar"/>
        </w:rPr>
        <w:t xml:space="preserve">MIGRATE_ON_START=false</w:t>
      </w:r>
      <w:r>
        <w:t xml:space="preserve"> </w:t>
      </w:r>
      <w:r>
        <w:t xml:space="preserve">in Kubernetes).</w:t>
      </w:r>
    </w:p>
    <w:p>
      <w:pPr>
        <w:pStyle w:val="Compact"/>
        <w:numPr>
          <w:ilvl w:val="0"/>
          <w:numId w:val="1004"/>
        </w:numPr>
      </w:pPr>
      <w:r>
        <w:t xml:space="preserve">Destructive data changes, such as deletes or updates touching personal data, record a fresh point-in-time restore point in the change and involve the DPO where personal data is affected.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Feature switches through rules</w:t>
      </w:r>
      <w:bookmarkEnd w:id="16"/>
    </w:p>
    <w:p>
      <w:pPr>
        <w:pStyle w:val="FirstParagraph"/>
      </w:pPr>
      <w:r>
        <w:t xml:space="preserve">There is no separate feature-flag service. Exposure is controlled by rule sets, which are versioned, simulated, approved and audited.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29"/>
        <w:gridCol w:w="3636"/>
        <w:gridCol w:w="3262"/>
      </w:tblGrid>
      <w:tr>
        <w:trPr>
          <w:cantSplit/>
          <w:tblHeader/>
        </w:trPr>
        <w:tc>
          <w:tcPr>
            <w:tcW w:w="2129" w:type="dxa"/>
            <w:shd w:val="clear" w:color="auto" w:fill="0F4761"/>
            <w:vAlign w:val="center"/>
          </w:tcPr>
          <w:p>
            <w:pPr>
              <w:pStyle w:val="TableHeading"/>
              <w:jc w:val="left"/>
            </w:pPr>
            <w:r>
              <w:rPr>
                <w:color w:val="FFFFFF"/>
              </w:rPr>
              <w:t xml:space="preserve">Need</w:t>
            </w:r>
          </w:p>
        </w:tc>
        <w:tc>
          <w:tcPr>
            <w:tcW w:w="3636" w:type="dxa"/>
            <w:shd w:val="clear" w:color="auto" w:fill="0F4761"/>
            <w:vAlign w:val="center"/>
          </w:tcPr>
          <w:p>
            <w:pPr>
              <w:pStyle w:val="TableHeading"/>
              <w:jc w:val="left"/>
            </w:pPr>
            <w:r>
              <w:rPr>
                <w:color w:val="FFFFFF"/>
              </w:rPr>
              <w:t xml:space="preserve">Rule kind and field</w:t>
            </w:r>
          </w:p>
        </w:tc>
        <w:tc>
          <w:tcPr>
            <w:tcW w:w="3262" w:type="dxa"/>
            <w:shd w:val="clear" w:color="auto" w:fill="0F4761"/>
            <w:vAlign w:val="center"/>
          </w:tcPr>
          <w:p>
            <w:pPr>
              <w:pStyle w:val="TableHeading"/>
              <w:jc w:val="left"/>
            </w:pPr>
            <w:r>
              <w:rPr>
                <w:color w:val="FFFFFF"/>
              </w:rPr>
              <w:t xml:space="preserve">Example</w:t>
            </w:r>
          </w:p>
        </w:tc>
      </w:tr>
      <w:tr>
        <w:trPr>
          <w:cantSplit/>
        </w:trPr>
        <w:tc>
          <w:tcPr>
            <w:tcW w:w="2129" w:type="dxa"/>
            <w:vAlign w:val="top"/>
          </w:tcPr>
          <w:p>
            <w:pPr>
              <w:pStyle w:val="TableText"/>
              <w:jc w:val="left"/>
            </w:pPr>
            <w:r>
              <w:t xml:space="preserve">Product on or off, or per channel</w:t>
            </w:r>
          </w:p>
        </w:tc>
        <w:tc>
          <w:tcPr>
            <w:tcW w:w="3636" w:type="dxa"/>
            <w:vAlign w:val="top"/>
          </w:tcPr>
          <w:p>
            <w:pPr>
              <w:pStyle w:val="TableText"/>
              <w:jc w:val="left"/>
            </w:pPr>
            <w:r>
              <w:t xml:space="preserve">Products: status and channels</w:t>
            </w:r>
          </w:p>
        </w:tc>
        <w:tc>
          <w:tcPr>
            <w:tcW w:w="3262" w:type="dxa"/>
            <w:vAlign w:val="top"/>
          </w:tcPr>
          <w:p>
            <w:pPr>
              <w:pStyle w:val="TableText"/>
              <w:jc w:val="left"/>
            </w:pPr>
            <w:r>
              <w:t xml:space="preserve">Keep physical damage cover off the partner channel until the inspection flow is live</w:t>
            </w:r>
          </w:p>
        </w:tc>
      </w:tr>
      <w:tr>
        <w:trPr>
          <w:cantSplit/>
        </w:trPr>
        <w:tc>
          <w:tcPr>
            <w:tcW w:w="2129" w:type="dxa"/>
            <w:shd w:val="clear" w:color="auto" w:fill="F4F7FB"/>
            <w:vAlign w:val="top"/>
          </w:tcPr>
          <w:p>
            <w:pPr>
              <w:pStyle w:val="TableText"/>
              <w:jc w:val="left"/>
            </w:pPr>
            <w:r>
              <w:t xml:space="preserve">New product from TASCO core</w:t>
            </w:r>
          </w:p>
        </w:tc>
        <w:tc>
          <w:tcPr>
            <w:tcW w:w="3636" w:type="dxa"/>
            <w:shd w:val="clear" w:color="auto" w:fill="F4F7FB"/>
            <w:vAlign w:val="top"/>
          </w:tcPr>
          <w:p>
            <w:pPr>
              <w:pStyle w:val="TableText"/>
              <w:jc w:val="left"/>
            </w:pPr>
            <w:r>
              <w:t xml:space="preserve">Products: channels (empty after sync)</w:t>
            </w:r>
          </w:p>
        </w:tc>
        <w:tc>
          <w:tcPr>
            <w:tcW w:w="3262" w:type="dxa"/>
            <w:shd w:val="clear" w:color="auto" w:fill="F4F7FB"/>
            <w:vAlign w:val="top"/>
          </w:tcPr>
          <w:p>
            <w:pPr>
              <w:pStyle w:val="TableText"/>
              <w:jc w:val="left"/>
            </w:pPr>
            <w:r>
              <w:t xml:space="preserve">Configure channels when the business is ready to sell it</w:t>
            </w:r>
          </w:p>
        </w:tc>
      </w:tr>
      <w:tr>
        <w:trPr>
          <w:cantSplit/>
        </w:trPr>
        <w:tc>
          <w:tcPr>
            <w:tcW w:w="2129" w:type="dxa"/>
            <w:vAlign w:val="top"/>
          </w:tcPr>
          <w:p>
            <w:pPr>
              <w:pStyle w:val="TableText"/>
              <w:jc w:val="left"/>
            </w:pPr>
            <w:r>
              <w:t xml:space="preserve">Bundles</w:t>
            </w:r>
          </w:p>
        </w:tc>
        <w:tc>
          <w:tcPr>
            <w:tcW w:w="3636" w:type="dxa"/>
            <w:vAlign w:val="top"/>
          </w:tcPr>
          <w:p>
            <w:pPr>
              <w:pStyle w:val="TableText"/>
              <w:jc w:val="left"/>
            </w:pPr>
            <w:r>
              <w:t xml:space="preserve">Products: bundle status</w:t>
            </w:r>
          </w:p>
        </w:tc>
        <w:tc>
          <w:tcPr>
            <w:tcW w:w="3262" w:type="dxa"/>
            <w:vAlign w:val="top"/>
          </w:tcPr>
          <w:p>
            <w:pPr>
              <w:pStyle w:val="TableText"/>
              <w:jc w:val="left"/>
            </w:pPr>
            <w:r>
              <w:t xml:space="preserve">Activate a TNDS and personal accident bundle</w:t>
            </w:r>
          </w:p>
        </w:tc>
      </w:tr>
      <w:tr>
        <w:trPr>
          <w:cantSplit/>
        </w:trPr>
        <w:tc>
          <w:tcPr>
            <w:tcW w:w="2129" w:type="dxa"/>
            <w:shd w:val="clear" w:color="auto" w:fill="F4F7FB"/>
            <w:vAlign w:val="top"/>
          </w:tcPr>
          <w:p>
            <w:pPr>
              <w:pStyle w:val="TableText"/>
              <w:jc w:val="left"/>
            </w:pPr>
            <w:r>
              <w:t xml:space="preserve">Benefits shown to customers</w:t>
            </w:r>
          </w:p>
        </w:tc>
        <w:tc>
          <w:tcPr>
            <w:tcW w:w="3636" w:type="dxa"/>
            <w:shd w:val="clear" w:color="auto" w:fill="F4F7FB"/>
            <w:vAlign w:val="top"/>
          </w:tcPr>
          <w:p>
            <w:pPr>
              <w:pStyle w:val="TableText"/>
              <w:jc w:val="left"/>
            </w:pPr>
            <w:r>
              <w:t xml:space="preserve">Benefits: legal status (only approved items reach customers) and availability</w:t>
            </w:r>
          </w:p>
        </w:tc>
        <w:tc>
          <w:tcPr>
            <w:tcW w:w="3262" w:type="dxa"/>
            <w:shd w:val="clear" w:color="auto" w:fill="F4F7FB"/>
            <w:vAlign w:val="top"/>
          </w:tcPr>
          <w:p>
            <w:pPr>
              <w:pStyle w:val="TableText"/>
              <w:jc w:val="left"/>
            </w:pPr>
            <w:r>
              <w:t xml:space="preserve">Loyalty points stay pending legal review</w:t>
            </w:r>
          </w:p>
        </w:tc>
      </w:tr>
      <w:tr>
        <w:trPr>
          <w:cantSplit/>
        </w:trPr>
        <w:tc>
          <w:tcPr>
            <w:tcW w:w="2129" w:type="dxa"/>
            <w:vAlign w:val="top"/>
          </w:tcPr>
          <w:p>
            <w:pPr>
              <w:pStyle w:val="TableText"/>
              <w:jc w:val="left"/>
            </w:pPr>
            <w:r>
              <w:t xml:space="preserve">Referral programme</w:t>
            </w:r>
          </w:p>
        </w:tc>
        <w:tc>
          <w:tcPr>
            <w:tcW w:w="3636" w:type="dxa"/>
            <w:vAlign w:val="top"/>
          </w:tcPr>
          <w:p>
            <w:pPr>
              <w:pStyle w:val="TableText"/>
              <w:jc w:val="left"/>
            </w:pPr>
            <w:r>
              <w:t xml:space="preserve">Referral: enabled</w:t>
            </w:r>
          </w:p>
        </w:tc>
        <w:tc>
          <w:tcPr>
            <w:tcW w:w="3262" w:type="dxa"/>
            <w:vAlign w:val="top"/>
          </w:tcPr>
          <w:p>
            <w:pPr>
              <w:pStyle w:val="TableText"/>
              <w:jc w:val="left"/>
            </w:pPr>
            <w:r>
              <w:t xml:space="preserve">Off until legal approval</w:t>
            </w:r>
          </w:p>
        </w:tc>
      </w:tr>
      <w:tr>
        <w:trPr>
          <w:cantSplit/>
        </w:trPr>
        <w:tc>
          <w:tcPr>
            <w:tcW w:w="2129" w:type="dxa"/>
            <w:shd w:val="clear" w:color="auto" w:fill="F4F7FB"/>
            <w:vAlign w:val="top"/>
          </w:tcPr>
          <w:p>
            <w:pPr>
              <w:pStyle w:val="TableText"/>
              <w:jc w:val="left"/>
            </w:pPr>
            <w:r>
              <w:t xml:space="preserve">Journey targeting and regional roll-out</w:t>
            </w:r>
          </w:p>
        </w:tc>
        <w:tc>
          <w:tcPr>
            <w:tcW w:w="3636" w:type="dxa"/>
            <w:shd w:val="clear" w:color="auto" w:fill="F4F7FB"/>
            <w:vAlign w:val="top"/>
          </w:tcPr>
          <w:p>
            <w:pPr>
              <w:pStyle w:val="TableText"/>
              <w:jc w:val="left"/>
            </w:pPr>
            <w:r>
              <w:t xml:space="preserve">Journeys: audience, steps, tiers</w:t>
            </w:r>
          </w:p>
        </w:tc>
        <w:tc>
          <w:tcPr>
            <w:tcW w:w="3262" w:type="dxa"/>
            <w:shd w:val="clear" w:color="auto" w:fill="F4F7FB"/>
            <w:vAlign w:val="top"/>
          </w:tcPr>
          <w:p>
            <w:pPr>
              <w:pStyle w:val="TableText"/>
              <w:jc w:val="left"/>
            </w:pPr>
            <w:r>
              <w:t xml:space="preserve">Pilot audience restricted to the pilot provinces</w:t>
            </w:r>
          </w:p>
        </w:tc>
      </w:tr>
      <w:tr>
        <w:trPr>
          <w:cantSplit/>
        </w:trPr>
        <w:tc>
          <w:tcPr>
            <w:tcW w:w="2129" w:type="dxa"/>
            <w:vAlign w:val="top"/>
          </w:tcPr>
          <w:p>
            <w:pPr>
              <w:pStyle w:val="TableText"/>
              <w:jc w:val="left"/>
            </w:pPr>
            <w:r>
              <w:t xml:space="preserve">Event triggers</w:t>
            </w:r>
          </w:p>
        </w:tc>
        <w:tc>
          <w:tcPr>
            <w:tcW w:w="3636" w:type="dxa"/>
            <w:vAlign w:val="top"/>
          </w:tcPr>
          <w:p>
            <w:pPr>
              <w:pStyle w:val="TableText"/>
              <w:jc w:val="left"/>
            </w:pPr>
            <w:r>
              <w:t xml:space="preserve">Triggers</w:t>
            </w:r>
          </w:p>
        </w:tc>
        <w:tc>
          <w:tcPr>
            <w:tcW w:w="3262" w:type="dxa"/>
            <w:vAlign w:val="top"/>
          </w:tcPr>
          <w:p>
            <w:pPr>
              <w:pStyle w:val="TableText"/>
              <w:jc w:val="left"/>
            </w:pPr>
            <w:r>
              <w:t xml:space="preserve">Enable the long-trip trigger in the scale phase</w:t>
            </w:r>
          </w:p>
        </w:tc>
      </w:tr>
      <w:tr>
        <w:trPr>
          <w:cantSplit/>
        </w:trPr>
        <w:tc>
          <w:tcPr>
            <w:tcW w:w="2129" w:type="dxa"/>
            <w:shd w:val="clear" w:color="auto" w:fill="F4F7FB"/>
            <w:vAlign w:val="top"/>
          </w:tcPr>
          <w:p>
            <w:pPr>
              <w:pStyle w:val="TableText"/>
              <w:jc w:val="left"/>
            </w:pPr>
            <w:r>
              <w:t xml:space="preserve">Contact intensity</w:t>
            </w:r>
          </w:p>
        </w:tc>
        <w:tc>
          <w:tcPr>
            <w:tcW w:w="3636" w:type="dxa"/>
            <w:shd w:val="clear" w:color="auto" w:fill="F4F7FB"/>
            <w:vAlign w:val="top"/>
          </w:tcPr>
          <w:p>
            <w:pPr>
              <w:pStyle w:val="TableText"/>
              <w:jc w:val="left"/>
            </w:pPr>
            <w:r>
              <w:t xml:space="preserve">Contact policy caps</w:t>
            </w:r>
          </w:p>
        </w:tc>
        <w:tc>
          <w:tcPr>
            <w:tcW w:w="3262" w:type="dxa"/>
            <w:shd w:val="clear" w:color="auto" w:fill="F4F7FB"/>
            <w:vAlign w:val="top"/>
          </w:tcPr>
          <w:p>
            <w:pPr>
              <w:pStyle w:val="TableText"/>
              <w:jc w:val="left"/>
            </w:pPr>
            <w:r>
              <w:t xml:space="preserve">Emergency marketing stop: daily cap 0</w:t>
            </w:r>
          </w:p>
        </w:tc>
      </w:tr>
      <w:tr>
        <w:trPr>
          <w:cantSplit/>
        </w:trPr>
        <w:tc>
          <w:tcPr>
            <w:tcW w:w="2129" w:type="dxa"/>
            <w:vAlign w:val="top"/>
          </w:tcPr>
          <w:p>
            <w:pPr>
              <w:pStyle w:val="TableText"/>
              <w:jc w:val="left"/>
            </w:pPr>
            <w:r>
              <w:t xml:space="preserve">Quick renewal</w:t>
            </w:r>
          </w:p>
        </w:tc>
        <w:tc>
          <w:tcPr>
            <w:tcW w:w="3636" w:type="dxa"/>
            <w:vAlign w:val="top"/>
          </w:tcPr>
          <w:p>
            <w:pPr>
              <w:pStyle w:val="TableText"/>
              <w:jc w:val="left"/>
            </w:pPr>
            <w:r>
              <w:t xml:space="preserve">Service levels:</w:t>
            </w:r>
            <w:r>
              <w:t xml:space="preserve"> </w:t>
            </w:r>
            <w:r>
              <w:rPr>
                <w:rStyle w:val="CodeChar"/>
              </w:rPr>
              <w:t xml:space="preserve">quickRenewal</w:t>
            </w:r>
            <w:r>
              <w:t xml:space="preserve"> </w:t>
            </w:r>
            <w:r>
              <w:t xml:space="preserve">(enabled, journeys, confirmed vehicle and its maximum age, add-ons, wallet balance)</w:t>
            </w:r>
          </w:p>
        </w:tc>
        <w:tc>
          <w:tcPr>
            <w:tcW w:w="3262" w:type="dxa"/>
            <w:vAlign w:val="top"/>
          </w:tcPr>
          <w:p>
            <w:pPr>
              <w:pStyle w:val="TableText"/>
              <w:jc w:val="left"/>
            </w:pPr>
            <w:r>
              <w:t xml:space="preserve">Turn quick renewal off, or widen it to other journeys; the full flow stays available</w:t>
            </w:r>
          </w:p>
        </w:tc>
      </w:tr>
      <w:tr>
        <w:trPr>
          <w:cantSplit/>
        </w:trPr>
        <w:tc>
          <w:tcPr>
            <w:tcW w:w="2129" w:type="dxa"/>
            <w:shd w:val="clear" w:color="auto" w:fill="F4F7FB"/>
            <w:vAlign w:val="top"/>
          </w:tcPr>
          <w:p>
            <w:pPr>
              <w:pStyle w:val="TableText"/>
              <w:jc w:val="left"/>
            </w:pPr>
            <w:r>
              <w:t xml:space="preserve">Data-request response time</w:t>
            </w:r>
          </w:p>
        </w:tc>
        <w:tc>
          <w:tcPr>
            <w:tcW w:w="3636" w:type="dxa"/>
            <w:shd w:val="clear" w:color="auto" w:fill="F4F7FB"/>
            <w:vAlign w:val="top"/>
          </w:tcPr>
          <w:p>
            <w:pPr>
              <w:pStyle w:val="TableText"/>
              <w:jc w:val="left"/>
            </w:pPr>
            <w:r>
              <w:t xml:space="preserve">Service levels:</w:t>
            </w:r>
            <w:r>
              <w:t xml:space="preserve"> </w:t>
            </w:r>
            <w:r>
              <w:rPr>
                <w:rStyle w:val="CodeChar"/>
              </w:rPr>
              <w:t xml:space="preserve">dsarResponseHours</w:t>
            </w:r>
          </w:p>
        </w:tc>
        <w:tc>
          <w:tcPr>
            <w:tcW w:w="3262" w:type="dxa"/>
            <w:shd w:val="clear" w:color="auto" w:fill="F4F7FB"/>
            <w:vAlign w:val="top"/>
          </w:tcPr>
          <w:p>
            <w:pPr>
              <w:pStyle w:val="TableText"/>
              <w:jc w:val="left"/>
            </w:pPr>
            <w:r>
              <w:t xml:space="preserve">Set to the period TASCO legal confirms</w:t>
            </w:r>
          </w:p>
        </w:tc>
      </w:tr>
      <w:tr>
        <w:trPr>
          <w:cantSplit/>
        </w:trPr>
        <w:tc>
          <w:tcPr>
            <w:tcW w:w="2129" w:type="dxa"/>
            <w:vAlign w:val="top"/>
          </w:tcPr>
          <w:p>
            <w:pPr>
              <w:pStyle w:val="TableText"/>
              <w:jc w:val="left"/>
            </w:pPr>
            <w:r>
              <w:t xml:space="preserve">Voice script</w:t>
            </w:r>
          </w:p>
        </w:tc>
        <w:tc>
          <w:tcPr>
            <w:tcW w:w="3636" w:type="dxa"/>
            <w:vAlign w:val="top"/>
          </w:tcPr>
          <w:p>
            <w:pPr>
              <w:pStyle w:val="TableText"/>
              <w:jc w:val="left"/>
            </w:pPr>
            <w:r>
              <w:t xml:space="preserve">Voice script content</w:t>
            </w:r>
          </w:p>
        </w:tc>
        <w:tc>
          <w:tcPr>
            <w:tcW w:w="3262" w:type="dxa"/>
            <w:vAlign w:val="top"/>
          </w:tcPr>
          <w:p>
            <w:pPr>
              <w:pStyle w:val="TableText"/>
              <w:jc w:val="left"/>
            </w:pPr>
            <w:r>
              <w:t xml:space="preserve">Prompt wording and intents</w:t>
            </w:r>
          </w:p>
        </w:tc>
      </w:tr>
      <w:tr>
        <w:trPr>
          <w:cantSplit/>
        </w:trPr>
        <w:tc>
          <w:tcPr>
            <w:tcW w:w="2129" w:type="dxa"/>
            <w:shd w:val="clear" w:color="auto" w:fill="F4F7FB"/>
            <w:vAlign w:val="top"/>
          </w:tcPr>
          <w:p>
            <w:pPr>
              <w:pStyle w:val="TableText"/>
              <w:jc w:val="left"/>
            </w:pPr>
            <w:r>
              <w:t xml:space="preserve">Access attributes</w:t>
            </w:r>
          </w:p>
        </w:tc>
        <w:tc>
          <w:tcPr>
            <w:tcW w:w="3636" w:type="dxa"/>
            <w:shd w:val="clear" w:color="auto" w:fill="F4F7FB"/>
            <w:vAlign w:val="top"/>
          </w:tcPr>
          <w:p>
            <w:pPr>
              <w:pStyle w:val="TableText"/>
              <w:jc w:val="left"/>
            </w:pPr>
            <w:r>
              <w:t xml:space="preserve">Access policy</w:t>
            </w:r>
          </w:p>
        </w:tc>
        <w:tc>
          <w:tcPr>
            <w:tcW w:w="3262" w:type="dxa"/>
            <w:shd w:val="clear" w:color="auto" w:fill="F4F7FB"/>
            <w:vAlign w:val="top"/>
          </w:tcPr>
          <w:p>
            <w:pPr>
              <w:pStyle w:val="TableText"/>
              <w:jc w:val="left"/>
            </w:pPr>
            <w:r>
              <w:t xml:space="preserve">Regional restriction (CAB-reviewed)</w:t>
            </w:r>
          </w:p>
        </w:tc>
      </w:tr>
    </w:tbl>
    <w:p>
      <w:pPr>
        <w:pStyle w:val="BodyText"/>
        <w:spacing w:before="160"/>
      </w:pPr>
      <w:r>
        <w:t xml:space="preserve">Code that is not ready is not merged enabled: it sits behind one of these switches or is not routed. Demo-only routes are disabled whenever demo mode is off.</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Rule change procedure</w:t>
      </w:r>
      <w:bookmarkEnd w:id="17"/>
    </w:p>
    <w:p>
      <w:pPr>
        <w:pStyle w:val="FirstParagraph"/>
      </w:pPr>
      <w:r>
        <w:t xml:space="preserve">The rule path has its own approval loop and needs no deployment; catalogue proposals from TASCO core enter the same loop.</w:t>
      </w:r>
    </w:p>
    <w:p xmlns:a="http://schemas.openxmlformats.org/drawingml/2006/main" xmlns:pic="http://schemas.openxmlformats.org/drawingml/2006/picture">
      <w:pPr>
        <w:pStyle w:val="Figure"/>
      </w:pPr>
      <w:r>
        <w:drawing>
          <wp:inline>
            <wp:extent cx="4427999" cy="5561999"/>
            <wp:effectExtent b="0" l="0" r="0" t="0"/>
            <wp:docPr descr="Rule change procedure, with no deployment needed" title="" id="5004" name="Picture"/>
            <a:graphic>
              <a:graphicData uri="http://schemas.openxmlformats.org/drawingml/2006/picture">
                <pic:pic>
                  <pic:nvPicPr>
                    <pic:cNvPr descr="/home/user/TASCO/tools/docs-source/gen/.cache/mermaid/8a19ae65bb850b2b.png" id="38" name="Picture"/>
                    <pic:cNvPicPr>
                      <a:picLocks noChangeArrowheads="1" noChangeAspect="1"/>
                    </pic:cNvPicPr>
                  </pic:nvPicPr>
                  <pic:blipFill>
                    <a:blip r:embed="rIdG3"/>
                    <a:stretch>
                      <a:fillRect/>
                    </a:stretch>
                  </pic:blipFill>
                  <pic:spPr bwMode="auto">
                    <a:xfrm>
                      <a:off x="0" y="0"/>
                      <a:ext cx="4427999" cy="5561999"/>
                    </a:xfrm>
                    <a:prstGeom prst="rect">
                      <a:avLst/>
                    </a:prstGeom>
                    <a:noFill/>
                    <a:ln w="9525">
                      <a:noFill/>
                      <a:headEnd/>
                      <a:tailEnd/>
                    </a:ln>
                  </pic:spPr>
                </pic:pic>
              </a:graphicData>
            </a:graphic>
          </wp:inline>
        </w:drawing>
      </w:r>
    </w:p>
    <w:p>
      <w:pPr>
        <w:pStyle w:val="Caption"/>
      </w:pPr>
      <w:r>
        <w:t xml:space="preserve">Figure 3 – Rule change procedure, with no deployment needed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15"/>
        <w:gridCol w:w="1810"/>
        <w:gridCol w:w="2446"/>
        <w:gridCol w:w="3456"/>
      </w:tblGrid>
      <w:tr>
        <w:trPr>
          <w:cantSplit/>
          <w:tblHeader/>
        </w:trPr>
        <w:tc>
          <w:tcPr>
            <w:tcW w:w="1315" w:type="dxa"/>
            <w:shd w:val="clear" w:color="auto" w:fill="0F4761"/>
            <w:vAlign w:val="center"/>
          </w:tcPr>
          <w:p>
            <w:pPr>
              <w:pStyle w:val="TableHeading"/>
              <w:jc w:val="left"/>
            </w:pPr>
            <w:r>
              <w:rPr>
                <w:color w:val="FFFFFF"/>
              </w:rPr>
              <w:t xml:space="preserve">Step</w:t>
            </w:r>
          </w:p>
        </w:tc>
        <w:tc>
          <w:tcPr>
            <w:tcW w:w="1810" w:type="dxa"/>
            <w:shd w:val="clear" w:color="auto" w:fill="0F4761"/>
            <w:vAlign w:val="center"/>
          </w:tcPr>
          <w:p>
            <w:pPr>
              <w:pStyle w:val="TableHeading"/>
              <w:jc w:val="left"/>
            </w:pPr>
            <w:r>
              <w:rPr>
                <w:color w:val="FFFFFF"/>
              </w:rPr>
              <w:t xml:space="preserve">Who</w:t>
            </w:r>
          </w:p>
        </w:tc>
        <w:tc>
          <w:tcPr>
            <w:tcW w:w="2446" w:type="dxa"/>
            <w:shd w:val="clear" w:color="auto" w:fill="0F4761"/>
            <w:vAlign w:val="center"/>
          </w:tcPr>
          <w:p>
            <w:pPr>
              <w:pStyle w:val="TableHeading"/>
              <w:jc w:val="left"/>
            </w:pPr>
            <w:r>
              <w:rPr>
                <w:color w:val="FFFFFF"/>
              </w:rPr>
              <w:t xml:space="preserve">How</w:t>
            </w:r>
          </w:p>
        </w:tc>
        <w:tc>
          <w:tcPr>
            <w:tcW w:w="3456" w:type="dxa"/>
            <w:shd w:val="clear" w:color="auto" w:fill="0F4761"/>
            <w:vAlign w:val="center"/>
          </w:tcPr>
          <w:p>
            <w:pPr>
              <w:pStyle w:val="TableHeading"/>
              <w:jc w:val="left"/>
            </w:pPr>
            <w:r>
              <w:rPr>
                <w:color w:val="FFFFFF"/>
              </w:rPr>
              <w:t xml:space="preserve">Control</w:t>
            </w:r>
          </w:p>
        </w:tc>
      </w:tr>
      <w:tr>
        <w:trPr>
          <w:cantSplit/>
        </w:trPr>
        <w:tc>
          <w:tcPr>
            <w:tcW w:w="1315" w:type="dxa"/>
            <w:vAlign w:val="top"/>
          </w:tcPr>
          <w:p>
            <w:pPr>
              <w:pStyle w:val="TableText"/>
              <w:jc w:val="left"/>
            </w:pPr>
            <w:r>
              <w:t xml:space="preserve">1 Draft</w:t>
            </w:r>
          </w:p>
        </w:tc>
        <w:tc>
          <w:tcPr>
            <w:tcW w:w="1810" w:type="dxa"/>
            <w:vAlign w:val="top"/>
          </w:tcPr>
          <w:p>
            <w:pPr>
              <w:pStyle w:val="TableText"/>
              <w:jc w:val="left"/>
            </w:pPr>
            <w:r>
              <w:t xml:space="preserve">Rule author</w:t>
            </w:r>
          </w:p>
        </w:tc>
        <w:tc>
          <w:tcPr>
            <w:tcW w:w="2446" w:type="dxa"/>
            <w:vAlign w:val="top"/>
          </w:tcPr>
          <w:p>
            <w:pPr>
              <w:pStyle w:val="TableText"/>
              <w:jc w:val="left"/>
            </w:pPr>
            <w:r>
              <w:t xml:space="preserve">Rules studio form (Advanced JSON view for technical users)</w:t>
            </w:r>
          </w:p>
        </w:tc>
        <w:tc>
          <w:tcPr>
            <w:tcW w:w="3456" w:type="dxa"/>
            <w:vAlign w:val="top"/>
          </w:tcPr>
          <w:p>
            <w:pPr>
              <w:pStyle w:val="TableText"/>
              <w:jc w:val="left"/>
            </w:pPr>
            <w:r>
              <w:t xml:space="preserve">Content validated: allowed operators only, decision tables, kind-specific checks (weights sum to 100, commission within the statutory cap), copy guard on messages and benefits. Invalid drafts are refused</w:t>
            </w:r>
          </w:p>
        </w:tc>
      </w:tr>
      <w:tr>
        <w:trPr>
          <w:cantSplit/>
        </w:trPr>
        <w:tc>
          <w:tcPr>
            <w:tcW w:w="1315" w:type="dxa"/>
            <w:shd w:val="clear" w:color="auto" w:fill="F4F7FB"/>
            <w:vAlign w:val="top"/>
          </w:tcPr>
          <w:p>
            <w:pPr>
              <w:pStyle w:val="TableText"/>
              <w:jc w:val="left"/>
            </w:pPr>
            <w:r>
              <w:t xml:space="preserve">2 Validate and simulate</w:t>
            </w:r>
          </w:p>
        </w:tc>
        <w:tc>
          <w:tcPr>
            <w:tcW w:w="1810" w:type="dxa"/>
            <w:shd w:val="clear" w:color="auto" w:fill="F4F7FB"/>
            <w:vAlign w:val="top"/>
          </w:tcPr>
          <w:p>
            <w:pPr>
              <w:pStyle w:val="TableText"/>
              <w:jc w:val="left"/>
            </w:pPr>
            <w:r>
              <w:t xml:space="preserve">Author</w:t>
            </w:r>
          </w:p>
        </w:tc>
        <w:tc>
          <w:tcPr>
            <w:tcW w:w="2446" w:type="dxa"/>
            <w:shd w:val="clear" w:color="auto" w:fill="F4F7FB"/>
            <w:vAlign w:val="top"/>
          </w:tcPr>
          <w:p>
            <w:pPr>
              <w:pStyle w:val="TableText"/>
              <w:jc w:val="left"/>
            </w:pPr>
            <w:r>
              <w:t xml:space="preserve">Simulation on the reference profiles for scoring, next best action, journeys and benefits</w:t>
            </w:r>
          </w:p>
        </w:tc>
        <w:tc>
          <w:tcPr>
            <w:tcW w:w="3456" w:type="dxa"/>
            <w:shd w:val="clear" w:color="auto" w:fill="F4F7FB"/>
            <w:vAlign w:val="top"/>
          </w:tcPr>
          <w:p>
            <w:pPr>
              <w:pStyle w:val="TableText"/>
              <w:jc w:val="left"/>
            </w:pPr>
            <w:r>
              <w:t xml:space="preserve">Evidence attached to the change note</w:t>
            </w:r>
          </w:p>
        </w:tc>
      </w:tr>
      <w:tr>
        <w:trPr>
          <w:cantSplit/>
        </w:trPr>
        <w:tc>
          <w:tcPr>
            <w:tcW w:w="1315" w:type="dxa"/>
            <w:vAlign w:val="top"/>
          </w:tcPr>
          <w:p>
            <w:pPr>
              <w:pStyle w:val="TableText"/>
              <w:jc w:val="left"/>
            </w:pPr>
            <w:r>
              <w:t xml:space="preserve">3 Submit</w:t>
            </w:r>
          </w:p>
        </w:tc>
        <w:tc>
          <w:tcPr>
            <w:tcW w:w="1810" w:type="dxa"/>
            <w:vAlign w:val="top"/>
          </w:tcPr>
          <w:p>
            <w:pPr>
              <w:pStyle w:val="TableText"/>
              <w:jc w:val="left"/>
            </w:pPr>
            <w:r>
              <w:t xml:space="preserve">Author only</w:t>
            </w:r>
          </w:p>
        </w:tc>
        <w:tc>
          <w:tcPr>
            <w:tcW w:w="2446" w:type="dxa"/>
            <w:vAlign w:val="top"/>
          </w:tcPr>
          <w:p>
            <w:pPr>
              <w:pStyle w:val="TableText"/>
              <w:jc w:val="left"/>
            </w:pPr>
            <w:r>
              <w:t xml:space="preserve">Submit for approval</w:t>
            </w:r>
          </w:p>
        </w:tc>
        <w:tc>
          <w:tcPr>
            <w:tcW w:w="3456" w:type="dxa"/>
            <w:vAlign w:val="top"/>
          </w:tcPr>
          <w:p>
            <w:pPr>
              <w:pStyle w:val="TableText"/>
              <w:jc w:val="left"/>
            </w:pPr>
            <w:r>
              <w:t xml:space="preserve">Only drafts; only by their author</w:t>
            </w:r>
          </w:p>
        </w:tc>
      </w:tr>
      <w:tr>
        <w:trPr>
          <w:cantSplit/>
        </w:trPr>
        <w:tc>
          <w:tcPr>
            <w:tcW w:w="1315" w:type="dxa"/>
            <w:shd w:val="clear" w:color="auto" w:fill="F4F7FB"/>
            <w:vAlign w:val="top"/>
          </w:tcPr>
          <w:p>
            <w:pPr>
              <w:pStyle w:val="TableText"/>
              <w:jc w:val="left"/>
            </w:pPr>
            <w:r>
              <w:t xml:space="preserve">4 Approve or reject</w:t>
            </w:r>
          </w:p>
        </w:tc>
        <w:tc>
          <w:tcPr>
            <w:tcW w:w="1810" w:type="dxa"/>
            <w:shd w:val="clear" w:color="auto" w:fill="F4F7FB"/>
            <w:vAlign w:val="top"/>
          </w:tcPr>
          <w:p>
            <w:pPr>
              <w:pStyle w:val="TableText"/>
              <w:jc w:val="left"/>
            </w:pPr>
            <w:r>
              <w:t xml:space="preserve">Rule approver or compliance officer, never the author, with MFA</w:t>
            </w:r>
          </w:p>
        </w:tc>
        <w:tc>
          <w:tcPr>
            <w:tcW w:w="2446" w:type="dxa"/>
            <w:shd w:val="clear" w:color="auto" w:fill="F4F7FB"/>
            <w:vAlign w:val="top"/>
          </w:tcPr>
          <w:p>
            <w:pPr>
              <w:pStyle w:val="TableText"/>
              <w:jc w:val="left"/>
            </w:pPr>
            <w:r>
              <w:t xml:space="preserve">Approve or reject with a comment</w:t>
            </w:r>
          </w:p>
        </w:tc>
        <w:tc>
          <w:tcPr>
            <w:tcW w:w="3456" w:type="dxa"/>
            <w:shd w:val="clear" w:color="auto" w:fill="F4F7FB"/>
            <w:vAlign w:val="top"/>
          </w:tcPr>
          <w:p>
            <w:pPr>
              <w:pStyle w:val="TableText"/>
              <w:jc w:val="left"/>
            </w:pPr>
            <w:r>
              <w:t xml:space="preserve">Self-approval refused (maker-checker)</w:t>
            </w:r>
          </w:p>
        </w:tc>
      </w:tr>
      <w:tr>
        <w:trPr>
          <w:cantSplit/>
        </w:trPr>
        <w:tc>
          <w:tcPr>
            <w:tcW w:w="1315" w:type="dxa"/>
            <w:vAlign w:val="top"/>
          </w:tcPr>
          <w:p>
            <w:pPr>
              <w:pStyle w:val="TableText"/>
              <w:jc w:val="left"/>
            </w:pPr>
            <w:r>
              <w:t xml:space="preserve">5 Activate</w:t>
            </w:r>
          </w:p>
        </w:tc>
        <w:tc>
          <w:tcPr>
            <w:tcW w:w="1810" w:type="dxa"/>
            <w:vAlign w:val="top"/>
          </w:tcPr>
          <w:p>
            <w:pPr>
              <w:pStyle w:val="TableText"/>
              <w:jc w:val="left"/>
            </w:pPr>
            <w:r>
              <w:t xml:space="preserve">System</w:t>
            </w:r>
          </w:p>
        </w:tc>
        <w:tc>
          <w:tcPr>
            <w:tcW w:w="2446" w:type="dxa"/>
            <w:vAlign w:val="top"/>
          </w:tcPr>
          <w:p>
            <w:pPr>
              <w:pStyle w:val="TableText"/>
              <w:jc w:val="left"/>
            </w:pPr>
            <w:r>
              <w:t xml:space="preserve">Previous version retired; activation event; caches refreshed; all servers within 15 seconds</w:t>
            </w:r>
          </w:p>
        </w:tc>
        <w:tc>
          <w:tcPr>
            <w:tcW w:w="3456" w:type="dxa"/>
            <w:vAlign w:val="top"/>
          </w:tcPr>
          <w:p>
            <w:pPr>
              <w:pStyle w:val="TableText"/>
              <w:jc w:val="left"/>
            </w:pPr>
            <w:r>
              <w:t xml:space="preserve">Audit entry with the superseded version</w:t>
            </w:r>
          </w:p>
        </w:tc>
      </w:tr>
      <w:tr>
        <w:trPr>
          <w:cantSplit/>
        </w:trPr>
        <w:tc>
          <w:tcPr>
            <w:tcW w:w="1315" w:type="dxa"/>
            <w:shd w:val="clear" w:color="auto" w:fill="F4F7FB"/>
            <w:vAlign w:val="top"/>
          </w:tcPr>
          <w:p>
            <w:pPr>
              <w:pStyle w:val="TableText"/>
              <w:jc w:val="left"/>
            </w:pPr>
            <w:r>
              <w:t xml:space="preserve">6 Verify</w:t>
            </w:r>
          </w:p>
        </w:tc>
        <w:tc>
          <w:tcPr>
            <w:tcW w:w="1810" w:type="dxa"/>
            <w:shd w:val="clear" w:color="auto" w:fill="F4F7FB"/>
            <w:vAlign w:val="top"/>
          </w:tcPr>
          <w:p>
            <w:pPr>
              <w:pStyle w:val="TableText"/>
              <w:jc w:val="left"/>
            </w:pPr>
            <w:r>
              <w:t xml:space="preserve">Author and approver</w:t>
            </w:r>
          </w:p>
        </w:tc>
        <w:tc>
          <w:tcPr>
            <w:tcW w:w="2446" w:type="dxa"/>
            <w:shd w:val="clear" w:color="auto" w:fill="F4F7FB"/>
            <w:vAlign w:val="top"/>
          </w:tcPr>
          <w:p>
            <w:pPr>
              <w:pStyle w:val="TableText"/>
              <w:jc w:val="left"/>
            </w:pPr>
            <w:r>
              <w:t xml:space="preserve">Operations status shows the new version and checksum; dashboards D4 and D5 watched for 24 hours</w:t>
            </w:r>
          </w:p>
        </w:tc>
        <w:tc>
          <w:tcPr>
            <w:tcW w:w="3456" w:type="dxa"/>
            <w:shd w:val="clear" w:color="auto" w:fill="F4F7FB"/>
            <w:vAlign w:val="top"/>
          </w:tcPr>
          <w:p>
            <w:pPr>
              <w:pStyle w:val="TableText"/>
              <w:jc w:val="left"/>
            </w:pPr>
            <w:r>
              <w:t xml:space="preserve">—</w:t>
            </w:r>
          </w:p>
        </w:tc>
      </w:tr>
      <w:tr>
        <w:trPr>
          <w:cantSplit/>
        </w:trPr>
        <w:tc>
          <w:tcPr>
            <w:tcW w:w="1315" w:type="dxa"/>
            <w:vAlign w:val="top"/>
          </w:tcPr>
          <w:p>
            <w:pPr>
              <w:pStyle w:val="TableText"/>
              <w:jc w:val="left"/>
            </w:pPr>
            <w:r>
              <w:t xml:space="preserve">7 Record</w:t>
            </w:r>
          </w:p>
        </w:tc>
        <w:tc>
          <w:tcPr>
            <w:tcW w:w="1810" w:type="dxa"/>
            <w:vAlign w:val="top"/>
          </w:tcPr>
          <w:p>
            <w:pPr>
              <w:pStyle w:val="TableText"/>
              <w:jc w:val="left"/>
            </w:pPr>
            <w:r>
              <w:t xml:space="preserve">Author</w:t>
            </w:r>
          </w:p>
        </w:tc>
        <w:tc>
          <w:tcPr>
            <w:tcW w:w="2446" w:type="dxa"/>
            <w:vAlign w:val="top"/>
          </w:tcPr>
          <w:p>
            <w:pPr>
              <w:pStyle w:val="TableText"/>
              <w:jc w:val="left"/>
            </w:pPr>
            <w:r>
              <w:t xml:space="preserve">Weekly rule change log to CAB: kind, version, checksum, purpose, approver</w:t>
            </w:r>
          </w:p>
        </w:tc>
        <w:tc>
          <w:tcPr>
            <w:tcW w:w="3456" w:type="dxa"/>
            <w:vAlign w:val="top"/>
          </w:tcPr>
          <w:p>
            <w:pPr>
              <w:pStyle w:val="TableText"/>
              <w:jc w:val="left"/>
            </w:pPr>
            <w:r>
              <w:t xml:space="preserve">—</w:t>
            </w:r>
          </w:p>
        </w:tc>
      </w:tr>
    </w:tbl>
    <w:p>
      <w:pPr>
        <w:pStyle w:val="BodyText"/>
        <w:spacing w:before="160"/>
      </w:pPr>
      <w:r>
        <w:t xml:space="preserve">Customer-facing rule changes are made outside contact hours or before the 08:15 journey run, unless urgent, so that a whole run uses one version.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Release notes</w:t>
      </w:r>
      <w:bookmarkEnd w:id="18"/>
    </w:p>
    <w:p>
      <w:pPr>
        <w:pStyle w:val="FirstParagraph"/>
      </w:pPr>
      <w:r>
        <w:t xml:space="preserve">Every release has notes in this form:</w:t>
      </w:r>
    </w:p>
    <w:p>
      <w:pPr>
        <w:pStyle w:val="CodeBlock"/>
      </w:pPr>
      <w:r>
        <w:t xml:space="preserve"># Release vX.Y.Z (DD/MM/YYYY)</w:t>
      </w:r>
      <w:r>
        <w:br/>
      </w:r>
      <w:r>
        <w:br/>
      </w:r>
      <w:r>
        <w:t xml:space="preserve">## Summary</w:t>
      </w:r>
      <w:r>
        <w:br/>
      </w:r>
      <w:r>
        <w:t xml:space="preserve">One paragraph in business terms.</w:t>
      </w:r>
      <w:r>
        <w:br/>
      </w:r>
      <w:r>
        <w:br/>
      </w:r>
      <w:r>
        <w:t xml:space="preserve">## Changes</w:t>
      </w:r>
      <w:r>
        <w:br/>
      </w:r>
      <w:r>
        <w:t xml:space="preserve">| Ticket | Type | Description | Customer or partner impact |</w:t>
      </w:r>
      <w:r>
        <w:br/>
      </w:r>
      <w:r>
        <w:t xml:space="preserve">|---|---|---|---|</w:t>
      </w:r>
      <w:r>
        <w:br/>
      </w:r>
      <w:r>
        <w:br/>
      </w:r>
      <w:r>
        <w:t xml:space="preserve">## API and contract changes</w:t>
      </w:r>
      <w:r>
        <w:br/>
      </w:r>
      <w:r>
        <w:t xml:space="preserve">- OpenAPI difference: none, or link. Partner API impact and notice date.</w:t>
      </w:r>
      <w:r>
        <w:br/>
      </w:r>
      <w:r>
        <w:t xml:space="preserve">- Event payload changes.</w:t>
      </w:r>
      <w:r>
        <w:br/>
      </w:r>
      <w:r>
        <w:t xml:space="preserve">- TASCO core interface changes, agreed with TASCO core IT.</w:t>
      </w:r>
      <w:r>
        <w:br/>
      </w:r>
      <w:r>
        <w:br/>
      </w:r>
      <w:r>
        <w:t xml:space="preserve">## Database migrations</w:t>
      </w:r>
      <w:r>
        <w:br/>
      </w:r>
      <w:r>
        <w:t xml:space="preserve">| File | Purpose | Compatible with the previous release | Estimated duration |</w:t>
      </w:r>
      <w:r>
        <w:br/>
      </w:r>
      <w:r>
        <w:t xml:space="preserve">|---|---|---|---|</w:t>
      </w:r>
      <w:r>
        <w:br/>
      </w:r>
      <w:r>
        <w:br/>
      </w:r>
      <w:r>
        <w:t xml:space="preserve">## Configuration and secrets</w:t>
      </w:r>
      <w:r>
        <w:br/>
      </w:r>
      <w:r>
        <w:t xml:space="preserve">- New or changed settings, defaults, required in production.</w:t>
      </w:r>
      <w:r>
        <w:br/>
      </w:r>
      <w:r>
        <w:t xml:space="preserve">- Secret rotations.</w:t>
      </w:r>
      <w:r>
        <w:br/>
      </w:r>
      <w:r>
        <w:br/>
      </w:r>
      <w:r>
        <w:t xml:space="preserve">## Rule sets validated with this release</w:t>
      </w:r>
      <w:r>
        <w:br/>
      </w:r>
      <w:r>
        <w:t xml:space="preserve">| Kind | Version | Checksum |</w:t>
      </w:r>
      <w:r>
        <w:br/>
      </w:r>
      <w:r>
        <w:t xml:space="preserve">|---|---|---|</w:t>
      </w:r>
      <w:r>
        <w:br/>
      </w:r>
      <w:r>
        <w:br/>
      </w:r>
      <w:r>
        <w:t xml:space="preserve">## Known issues</w:t>
      </w:r>
      <w:r>
        <w:br/>
      </w:r>
      <w:r>
        <w:t xml:space="preserve">- KI-xx: status or workaround.</w:t>
      </w:r>
      <w:r>
        <w:br/>
      </w:r>
      <w:r>
        <w:br/>
      </w:r>
      <w:r>
        <w:t xml:space="preserve">## Test evidence</w:t>
      </w:r>
      <w:r>
        <w:br/>
      </w:r>
      <w:r>
        <w:t xml:space="preserve">- CI run, SIT and UAT results, performance smoke against the baseline.</w:t>
      </w:r>
      <w:r>
        <w:br/>
      </w:r>
      <w:r>
        <w:br/>
      </w:r>
      <w:r>
        <w:t xml:space="preserve">## Deployment and rollback</w:t>
      </w:r>
      <w:r>
        <w:br/>
      </w:r>
      <w:r>
        <w:t xml:space="preserve">- Window; migration job, rollout, smoke tests.</w:t>
      </w:r>
      <w:r>
        <w:br/>
      </w:r>
      <w:r>
        <w:t xml:space="preserve">- Previous image for rollback; rule rollback if any.</w:t>
      </w:r>
      <w:r>
        <w:br/>
      </w:r>
      <w:r>
        <w:br/>
      </w:r>
      <w:r>
        <w:t xml:space="preserve">## Approvals</w:t>
      </w:r>
      <w:r>
        <w:br/>
      </w:r>
      <w:r>
        <w:t xml:space="preserve">- CAB reference and date; Compliance if customer-facing.</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Freeze calendar</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524"/>
        <w:gridCol w:w="5503"/>
      </w:tblGrid>
      <w:tr>
        <w:trPr>
          <w:cantSplit/>
          <w:tblHeader/>
        </w:trPr>
        <w:tc>
          <w:tcPr>
            <w:tcW w:w="3524" w:type="dxa"/>
            <w:shd w:val="clear" w:color="auto" w:fill="0F4761"/>
            <w:vAlign w:val="center"/>
          </w:tcPr>
          <w:p>
            <w:pPr>
              <w:pStyle w:val="TableHeading"/>
              <w:jc w:val="left"/>
            </w:pPr>
            <w:r>
              <w:rPr>
                <w:color w:val="FFFFFF"/>
              </w:rPr>
              <w:t xml:space="preserve">Period</w:t>
            </w:r>
          </w:p>
        </w:tc>
        <w:tc>
          <w:tcPr>
            <w:tcW w:w="5503" w:type="dxa"/>
            <w:shd w:val="clear" w:color="auto" w:fill="0F4761"/>
            <w:vAlign w:val="center"/>
          </w:tcPr>
          <w:p>
            <w:pPr>
              <w:pStyle w:val="TableHeading"/>
              <w:jc w:val="left"/>
            </w:pPr>
            <w:r>
              <w:rPr>
                <w:color w:val="FFFFFF"/>
              </w:rPr>
              <w:t xml:space="preserve">Rule</w:t>
            </w:r>
          </w:p>
        </w:tc>
      </w:tr>
      <w:tr>
        <w:trPr>
          <w:cantSplit/>
        </w:trPr>
        <w:tc>
          <w:tcPr>
            <w:tcW w:w="3524" w:type="dxa"/>
            <w:vAlign w:val="top"/>
          </w:tcPr>
          <w:p>
            <w:pPr>
              <w:pStyle w:val="TableText"/>
              <w:jc w:val="left"/>
            </w:pPr>
            <w:r>
              <w:t xml:space="preserve">Go-live release candidate (11 to 26 January 2027)</w:t>
            </w:r>
          </w:p>
        </w:tc>
        <w:tc>
          <w:tcPr>
            <w:tcW w:w="5503" w:type="dxa"/>
            <w:vAlign w:val="top"/>
          </w:tcPr>
          <w:p>
            <w:pPr>
              <w:pStyle w:val="TableText"/>
              <w:jc w:val="left"/>
            </w:pPr>
            <w:r>
              <w:t xml:space="preserve">Fixes only, on</w:t>
            </w:r>
            <w:r>
              <w:t xml:space="preserve"> </w:t>
            </w:r>
            <w:r>
              <w:rPr>
                <w:rStyle w:val="CodeChar"/>
              </w:rPr>
              <w:t xml:space="preserve">release/1.0</w:t>
            </w:r>
          </w:p>
        </w:tc>
      </w:tr>
      <w:tr>
        <w:trPr>
          <w:cantSplit/>
        </w:trPr>
        <w:tc>
          <w:tcPr>
            <w:tcW w:w="3524" w:type="dxa"/>
            <w:shd w:val="clear" w:color="auto" w:fill="F4F7FB"/>
            <w:vAlign w:val="top"/>
          </w:tcPr>
          <w:p>
            <w:pPr>
              <w:pStyle w:val="TableText"/>
              <w:jc w:val="left"/>
            </w:pPr>
            <w:r>
              <w:t xml:space="preserve">Tết (1 to 14 February 2027)</w:t>
            </w:r>
          </w:p>
        </w:tc>
        <w:tc>
          <w:tcPr>
            <w:tcW w:w="5503" w:type="dxa"/>
            <w:shd w:val="clear" w:color="auto" w:fill="F4F7FB"/>
            <w:vAlign w:val="top"/>
          </w:tcPr>
          <w:p>
            <w:pPr>
              <w:pStyle w:val="TableText"/>
              <w:jc w:val="left"/>
            </w:pPr>
            <w:r>
              <w:t xml:space="preserve">No deployments and no rule changes except emergency rollback (RB-10) or the kill switch (SOP-07)</w:t>
            </w:r>
          </w:p>
        </w:tc>
      </w:tr>
      <w:tr>
        <w:trPr>
          <w:cantSplit/>
        </w:trPr>
        <w:tc>
          <w:tcPr>
            <w:tcW w:w="3524" w:type="dxa"/>
            <w:vAlign w:val="top"/>
          </w:tcPr>
          <w:p>
            <w:pPr>
              <w:pStyle w:val="TableText"/>
              <w:jc w:val="left"/>
            </w:pPr>
            <w:r>
              <w:t xml:space="preserve">First week of each scale-up step</w:t>
            </w:r>
          </w:p>
        </w:tc>
        <w:tc>
          <w:tcPr>
            <w:tcW w:w="5503" w:type="dxa"/>
            <w:vAlign w:val="top"/>
          </w:tcPr>
          <w:p>
            <w:pPr>
              <w:pStyle w:val="TableText"/>
              <w:jc w:val="left"/>
            </w:pPr>
            <w:r>
              <w:t xml:space="preserve">Emergency changes only</w:t>
            </w:r>
          </w:p>
        </w:tc>
      </w:tr>
      <w:tr>
        <w:trPr>
          <w:cantSplit/>
        </w:trPr>
        <w:tc>
          <w:tcPr>
            <w:tcW w:w="3524" w:type="dxa"/>
            <w:shd w:val="clear" w:color="auto" w:fill="F4F7FB"/>
            <w:vAlign w:val="top"/>
          </w:tcPr>
          <w:p>
            <w:pPr>
              <w:pStyle w:val="TableText"/>
              <w:jc w:val="left"/>
            </w:pPr>
            <w:r>
              <w:t xml:space="preserve">Month end (last 2 business days)</w:t>
            </w:r>
          </w:p>
        </w:tc>
        <w:tc>
          <w:tcPr>
            <w:tcW w:w="5503" w:type="dxa"/>
            <w:shd w:val="clear" w:color="auto" w:fill="F4F7FB"/>
            <w:vAlign w:val="top"/>
          </w:tcPr>
          <w:p>
            <w:pPr>
              <w:pStyle w:val="TableText"/>
              <w:jc w:val="left"/>
            </w:pPr>
            <w:r>
              <w:t xml:space="preserve">No normal changes affecting sales, rating or journeys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Sign-Off</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174"/>
        <w:gridCol w:w="190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17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90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17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CAB membership, meeting slot and emergency approvers confirmed</w:t>
            </w:r>
          </w:p>
        </w:tc>
        <w:tc>
          <w:tcPr>
            <w:tcW w:w="190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Head of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17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Rule kinds that need Compliance pre-approval before activation confirmed by TASCO legal</w:t>
            </w:r>
          </w:p>
        </w:tc>
        <w:tc>
          <w:tcPr>
            <w:tcW w:w="190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17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Partner notice period for API contract changes agreed in the partner agreement</w:t>
            </w:r>
          </w:p>
        </w:tc>
        <w:tc>
          <w:tcPr>
            <w:tcW w:w="190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Partner Manager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90"/>
        <w:gridCol w:w="1715"/>
        <w:gridCol w:w="2688"/>
        <w:gridCol w:w="3534"/>
      </w:tblGrid>
      <w:tr w:rsidR="002B183A" w14:paraId="731A77C7" w14:textId="77777777" w:rsidTr="002923F3">
        <w:trPr>
          <w:cantSplit/>
          <w:trHeight w:val="440"/>
          <w:tblHeader/>
        </w:trPr>
        <w:tc>
          <w:tcPr>
            <w:tcW w:w="1090"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15"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8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534"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9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1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8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53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Head of IT</w:t>
            </w:r>
          </w:p>
        </w:tc>
      </w:tr>
      <w:tr w:rsidR="002B183A" w:rsidRPr="00BB346A" w14:paraId="2AD1806B" w14:textId="77777777" w:rsidTr="002923F3">
        <w:trPr>
          <w:cantSplit/>
          <w:trHeight w:val="760"/>
        </w:trPr>
        <w:tc>
          <w:tcPr>
            <w:tcW w:w="109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1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8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53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Advisory Board</w:t>
            </w:r>
          </w:p>
        </w:tc>
      </w:tr>
      <w:tr w:rsidR="002B183A" w:rsidRPr="00BB346A" w14:paraId="2AD1806B" w14:textId="77777777" w:rsidTr="002923F3">
        <w:trPr>
          <w:cantSplit/>
          <w:trHeight w:val="760"/>
        </w:trPr>
        <w:tc>
          <w:tcPr>
            <w:tcW w:w="109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1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8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53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Operations</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and Change Management</dc:title>
  <dc:subject>TGP-OPS-06</dc:subject>
  <dc:creator>iorta TechNXT</dc:creator>
  <cp:keywords>TGP-OPS-06; TASCO Insurance; iorta TechNXT</cp:keywords>
  <dc:description>TASCO Motor Insurance Growth Platform</dc:description>
  <cp:lastModifiedBy>iorta TechNXT</cp:lastModifiedBy>
  <cp:revision>1</cp:revision>
  <dcterms:created xsi:type="dcterms:W3CDTF">2026-10-08T03:55:04Z</dcterms:created>
  <dcterms:modified xsi:type="dcterms:W3CDTF">2026-10-08T03:55:04Z</dcterms:modified>
</cp:coreProperties>
</file>