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 Documentation — TASCO Growth Platform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Architecture documentation index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t xml:space="preserve">TASCO Insurance × VETC motor insurance growth platform (new business, renewals, partners, claims FNOL), built by iorta TechNXT.</w:t>
      </w:r>
      <w:r>
        <w:t xml:space="preserve"> </w:t>
      </w:r>
      <w:r>
        <w:t xml:space="preserve">Runtime: Node.js 22, PostgreSQL 16 (an in-memory store is available for development and demonstrations only; production refuses to start 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), one runtime dependency (</w:t>
      </w:r>
      <w:r>
        <w:rPr>
          <w:rStyle w:val="VerbatimChar"/>
        </w:rPr>
        <w:t xml:space="preserve">pg</w:t>
      </w:r>
      <w:r>
        <w:t xml:space="preserve">).</w:t>
      </w:r>
    </w:p>
    <w:p>
      <w:pPr>
        <w:pStyle w:val="BodyText"/>
      </w:pPr>
      <w:r>
        <w:t xml:space="preserve">Every document in this set is written from the source code. Each document cites the files it describes, so a reviewer can check every claim. Where the platform currently uses a</w:t>
      </w:r>
      <w:r>
        <w:t xml:space="preserve"> </w:t>
      </w:r>
      <w:r>
        <w:rPr>
          <w:bCs/>
          <w:b/>
        </w:rPr>
        <w:t xml:space="preserve">sandbox</w:t>
      </w:r>
      <w:r>
        <w:t xml:space="preserve"> </w:t>
      </w:r>
      <w:r>
        <w:t xml:space="preserve">adapter rather than a production integration, the document says so. Regulatory statements are flagged</w:t>
      </w:r>
      <w:r>
        <w:t xml:space="preserve"> </w:t>
      </w:r>
      <w:r>
        <w:rPr>
          <w:bCs/>
          <w:b/>
        </w:rPr>
        <w:t xml:space="preserve">"confirm with TASCO legal"</w:t>
      </w:r>
      <w:r>
        <w:t xml:space="preserve">.</w:t>
      </w:r>
    </w:p>
    <w:bookmarkStart w:id="40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Audience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What it answers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0">
              <w:r>
                <w:rPr>
                  <w:rStyle w:val="Hyperlink"/>
                </w:rPr>
                <w:t xml:space="preserve">Solution Architecture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CTO, architects, delivery leads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Principles, C4 views, hexagonal layering, key flows, event catalogue, configurability, scaling to 6 M vehicles, roadmap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Architecture decision records (see the ADR index below)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Architects, tech leads, auditors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12 decisions that shape the platform, with alternatives and consequences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1">
              <w:r>
                <w:rPr>
                  <w:rStyle w:val="Hyperlink"/>
                </w:rPr>
                <w:t xml:space="preserve">Integration Architecture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Integration teams (VETC, TASCO core, Zalo, telco, voice-AI vendor, partners)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port: contract, protocol, authentication, idempotency, resilience, SLA, sandbox vs production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2">
              <w:r>
                <w:rPr>
                  <w:rStyle w:val="Hyperlink"/>
                </w:rPr>
                <w:t xml:space="preserve">Deployment and Infrastructure Architecture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Platform/SRE, InfoSec, finance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Environments, Kubernetes topology, network zones, PostgreSQL HA, secrets, CI/CD, capacity and cost, observability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3">
              <w:r>
                <w:rPr>
                  <w:rStyle w:val="Hyperlink"/>
                </w:rPr>
                <w:t xml:space="preserve">Data Architecture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office, DPO, data stewards, BI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ERD, data dictionary, MDM/golden record, data quality, lineage, retention, migration, analytics feed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4">
              <w:r>
                <w:rPr>
                  <w:rStyle w:val="Hyperlink"/>
                </w:rPr>
                <w:t xml:space="preserve">Security Architecture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CISO, InfoSec, penetration testers, auditors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STRIDE threat model, OWASP Top 10 and ASVS L2 mapping, RBAC/ABAC, cryptography and keys, findings register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hyperlink r:id="rId25">
              <w:r>
                <w:rPr>
                  <w:rStyle w:val="Hyperlink"/>
                </w:rPr>
                <w:t xml:space="preserve">AI and Prompt Governance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Compliance, model risk, CX, product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principles, script lifecycle, lead-score model risk, LLM policy, monitoring, RACI</w:t>
            </w:r>
          </w:p>
        </w:tc>
      </w:tr>
    </w:tbl>
    <w:bookmarkStart w:id="39" w:name="adr-index"/>
    <w:p>
      <w:pPr>
        <w:pStyle w:val="Heading3"/>
      </w:pPr>
      <w:r>
        <w:t xml:space="preserve">ADR index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ADR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Decision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26">
              <w:r>
                <w:rPr>
                  <w:rStyle w:val="Hyperlink"/>
                </w:rPr>
                <w:t xml:space="preserve">ADR-001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Hexagonal / Clean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27">
              <w:r>
                <w:rPr>
                  <w:rStyle w:val="Hyperlink"/>
                </w:rPr>
                <w:t xml:space="preserve">ADR-002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Node.js 22, minimal dependencies (</w:t>
            </w:r>
            <w:r>
              <w:rPr>
                <w:rStyle w:val="VerbatimChar"/>
                <w:sz w:val="18"/>
              </w:rPr>
              <w:t xml:space="preserve">pg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at runtime), JavaScript + JSDoc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28">
              <w:r>
                <w:rPr>
                  <w:rStyle w:val="Hyperlink"/>
                </w:rPr>
                <w:t xml:space="preserve">ADR-003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JSON Logic rules engine with maker-checker governance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29">
              <w:r>
                <w:rPr>
                  <w:rStyle w:val="Hyperlink"/>
                </w:rPr>
                <w:t xml:space="preserve">ADR-004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 document + indexed-columns pattern; in-memory adapter with the same behaviour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0">
              <w:r>
                <w:rPr>
                  <w:rStyle w:val="Hyperlink"/>
                </w:rPr>
                <w:t xml:space="preserve">ADR-005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Outbox table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relay now, message broker later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 (gaps noted)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1">
              <w:r>
                <w:rPr>
                  <w:rStyle w:val="Hyperlink"/>
                </w:rPr>
                <w:t xml:space="preserve">ADR-006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Field-level AES-256-GCM encryption + HMAC blind index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2">
              <w:r>
                <w:rPr>
                  <w:rStyle w:val="Hyperlink"/>
                </w:rPr>
                <w:t xml:space="preserve">ADR-007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Local JWT + TOTP (self-enrolment, replay protection) now; OIDC federation to the TASCO IdP as target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 (interim)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3">
              <w:r>
                <w:rPr>
                  <w:rStyle w:val="Hyperlink"/>
                </w:rPr>
                <w:t xml:space="preserve">ADR-008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Hash-chained, append-only audit log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4">
              <w:r>
                <w:rPr>
                  <w:rStyle w:val="Hyperlink"/>
                </w:rPr>
                <w:t xml:space="preserve">ADR-009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Deterministic voice bot dialogue with a governed script; LLM only as an optional classifier behind a port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5">
              <w:r>
                <w:rPr>
                  <w:rStyle w:val="Hyperlink"/>
                </w:rPr>
                <w:t xml:space="preserve">ADR-010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API-first route table that generates OpenAPI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6">
              <w:r>
                <w:rPr>
                  <w:rStyle w:val="Hyperlink"/>
                </w:rPr>
                <w:t xml:space="preserve">ADR-011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Vanilla JS SPA + design tokens (no framework, strict CSP)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7">
              <w:r>
                <w:rPr>
                  <w:rStyle w:val="Hyperlink"/>
                </w:rPr>
                <w:t xml:space="preserve">ADR-012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Containers; Kubernetes as primary target; Railway for pilots and UAT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hyperlink r:id="rId38">
              <w:r>
                <w:rPr>
                  <w:rStyle w:val="Hyperlink"/>
                </w:rPr>
                <w:t xml:space="preserve">ADR-013</w:t>
              </w:r>
            </w:hyperlink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TASCO core as the master for products and rating; CoreRating and ProductCatalogue ports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Accepted</w:t>
            </w:r>
          </w:p>
        </w:tc>
      </w:tr>
    </w:tbl>
    <w:bookmarkEnd w:id="39"/>
    <w:bookmarkEnd w:id="40"/>
    <w:bookmarkStart w:id="44" w:name="system-at-a-glance"/>
    <w:p>
      <w:pPr>
        <w:pStyle w:val="Heading2"/>
      </w:pPr>
      <w:r>
        <w:t xml:space="preserve">System at a glance</w:t>
      </w:r>
    </w:p>
    <w:p>
      <w:pPr>
        <w:pStyle w:val="FirstParagraph"/>
      </w:pPr>
      <w:r>
        <w:t xml:space="preserve">The diagram shows the four channels, the layers inside the platform and the external systems reached through ports.</w:t>
      </w:r>
    </w:p>
    <w:p>
      <w:pPr>
        <w:pStyle w:val="BodyText"/>
      </w:pPr>
      <w:r>
        <w:drawing>
          <wp:inline>
            <wp:extent cx="6119999" cy="354522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README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5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ource-map"/>
    <w:p>
      <w:pPr>
        <w:pStyle w:val="Heading2"/>
      </w:pPr>
      <w:r>
        <w:t xml:space="preserve">Source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Layer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Path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Shared kernel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Config (12-factor,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*_FILE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secrets), logger (PII redaction), crypto, validation, resilience, metrics, errors, clock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engine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src/rules/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jsonLogic.js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(safe subset),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decisionTable.js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validators.js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(per-kind validation, copy guard, statutory commission caps)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Domain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identity.js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enrichment.js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rating.js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contactPolicy.js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voicebot.js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Application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service per use-case area, plus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accessPolicy.js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(RBAC + ABAC + masking)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rulesService.js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(versioning, maker-checker)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Composition root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src/bootstrap/container.js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Chooses adapters, wires services, registers event subscribers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Persistence adapters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src/adapters/persistence/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schema.js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(collection registry),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schemaSql.js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codec.js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memoryStore.js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auditChain.js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query.js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Messaging adapter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src/adapters/messaging/outboxEventBus.js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Outbox publish / relay / drain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Integration adapters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src/adapters/integrations/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Sandbox VETC wallet, TASCO core and notification gateways (</w:t>
            </w:r>
            <w:r>
              <w:rPr>
                <w:rStyle w:val="VerbatimChar"/>
                <w:sz w:val="18"/>
              </w:rPr>
              <w:t xml:space="preserve">mockGateways.js</w:t>
            </w:r>
            <w:r>
              <w:rPr>
                <w:sz w:val="18"/>
              </w:rPr>
              <w:t xml:space="preserve">), simulated caller, synthetic VETC source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HTTP adapter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src/adapters/http/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app.js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(pipeline),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routes.js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(80 operations),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router.js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openapi.js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Processes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src/server.js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src/jobs/cli.js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API server with outbox relay and graceful shutdown; batch jobs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Configuration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config/rules/*.json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(21 rule kinds),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config/security/rbac.json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Business rules seeded as version 1; RBAC, separation-of-duties pairs, restricted rule kinds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Schema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db/migrations/001_init.sql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002_integrity_hardening.sql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19 collection tables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audit_log</w:t>
            </w:r>
            <w:r>
              <w:rPr>
                <w:sz w:val="18"/>
              </w:rPr>
              <w:t xml:space="preserve">; integrity hardening (one active rule version per kind,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TRUNCATE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block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audit_log</w:t>
            </w:r>
            <w:r>
              <w:rPr>
                <w:sz w:val="18"/>
              </w:rPr>
              <w:t xml:space="preserve">, outbox status index)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Deployment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Dockerfile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docker-compose.yml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deploy/k8s/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railway.json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See the Deployment and Infrastructure Architecture</w:t>
            </w:r>
          </w:p>
        </w:tc>
      </w:tr>
    </w:tbl>
    <w:bookmarkEnd w:id="45"/>
    <w:bookmarkStart w:id="46" w:name="conventions-used-in-these-documents"/>
    <w:p>
      <w:pPr>
        <w:pStyle w:val="Heading2"/>
      </w:pPr>
      <w:r>
        <w:t xml:space="preserve">Conventions used in these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Implemented</w:t>
      </w:r>
      <w:r>
        <w:t xml:space="preserve">: present in the code at the cited path.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Sandbox</w:t>
      </w:r>
      <w:r>
        <w:t xml:space="preserve">: the port and the calling code are real; the adapter behind the port simulates the external system (</w:t>
      </w:r>
      <w:r>
        <w:rPr>
          <w:rStyle w:val="VerbatimChar"/>
        </w:rPr>
        <w:t xml:space="preserve">src/adapters/integrations/*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Planned / target</w:t>
      </w:r>
      <w:r>
        <w:t xml:space="preserve">: a design commitment that is not in the code yet. Each one names an owner phase in the roadmap.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</w:t>
      </w:r>
      <w:r>
        <w:t xml:space="preserve">: a control delivered by the platform (Kubernetes, WAF, managed PostgreSQL, CI) rather than by application code.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Fixed</w:t>
      </w:r>
      <w:r>
        <w:t xml:space="preserve">: a finding from an earlier review that has been remediated in code; the mechanism is named where the finding is listed.</w:t>
      </w:r>
    </w:p>
    <w:bookmarkEnd w:id="46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1" Type="http://schemas.openxmlformats.org/officeDocument/2006/relationships/image" Target="media/rId41.png"/><Relationship Id="rId26" Type="http://schemas.openxmlformats.org/officeDocument/2006/relationships/hyperlink" Target="adr/ADR-001-hexagonal-architecture.pdf" TargetMode="External"/><Relationship Id="rId27" Type="http://schemas.openxmlformats.org/officeDocument/2006/relationships/hyperlink" Target="adr/ADR-002-nodejs-minimal-dependencies.pdf" TargetMode="External"/><Relationship Id="rId28" Type="http://schemas.openxmlformats.org/officeDocument/2006/relationships/hyperlink" Target="adr/ADR-003-rules-engine-maker-checker.pdf" TargetMode="External"/><Relationship Id="rId29" Type="http://schemas.openxmlformats.org/officeDocument/2006/relationships/hyperlink" Target="adr/ADR-004-persistence.pdf" TargetMode="External"/><Relationship Id="rId30" Type="http://schemas.openxmlformats.org/officeDocument/2006/relationships/hyperlink" Target="adr/ADR-005-transactional-outbox.pdf" TargetMode="External"/><Relationship Id="rId31" Type="http://schemas.openxmlformats.org/officeDocument/2006/relationships/hyperlink" Target="adr/ADR-006-field-encryption-blind-index.pdf" TargetMode="External"/><Relationship Id="rId32" Type="http://schemas.openxmlformats.org/officeDocument/2006/relationships/hyperlink" Target="adr/ADR-007-authentication-identity.pdf" TargetMode="External"/><Relationship Id="rId33" Type="http://schemas.openxmlformats.org/officeDocument/2006/relationships/hyperlink" Target="adr/ADR-008-hash-chained-audit.pdf" TargetMode="External"/><Relationship Id="rId34" Type="http://schemas.openxmlformats.org/officeDocument/2006/relationships/hyperlink" Target="adr/ADR-009-voice-bot-dialogue.pdf" TargetMode="External"/><Relationship Id="rId35" Type="http://schemas.openxmlformats.org/officeDocument/2006/relationships/hyperlink" Target="adr/ADR-010-api-first-openapi.pdf" TargetMode="External"/><Relationship Id="rId36" Type="http://schemas.openxmlformats.org/officeDocument/2006/relationships/hyperlink" Target="adr/ADR-011-vanilla-spa-design-tokens.pdf" TargetMode="External"/><Relationship Id="rId37" Type="http://schemas.openxmlformats.org/officeDocument/2006/relationships/hyperlink" Target="adr/ADR-012-deployment-containers-k8s.pdf" TargetMode="External"/><Relationship Id="rId38" Type="http://schemas.openxmlformats.org/officeDocument/2006/relationships/hyperlink" Target="adr/ADR-013-tasco-core-rating-master.pdf" TargetMode="External"/><Relationship Id="rId25" Type="http://schemas.openxmlformats.org/officeDocument/2006/relationships/hyperlink" Target="ai-governance.pdf" TargetMode="External"/><Relationship Id="rId23" Type="http://schemas.openxmlformats.org/officeDocument/2006/relationships/hyperlink" Target="data-architecture.pdf" TargetMode="External"/><Relationship Id="rId22" Type="http://schemas.openxmlformats.org/officeDocument/2006/relationships/hyperlink" Target="deployment-and-infrastructure-architecture.pdf" TargetMode="External"/><Relationship Id="rId21" Type="http://schemas.openxmlformats.org/officeDocument/2006/relationships/hyperlink" Target="integration-architecture.pdf" TargetMode="External"/><Relationship Id="rId24" Type="http://schemas.openxmlformats.org/officeDocument/2006/relationships/hyperlink" Target="security-architecture.pdf" TargetMode="External"/><Relationship Id="rId20" Type="http://schemas.openxmlformats.org/officeDocument/2006/relationships/hyperlink" Target="solution-architecture.pdf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adr/ADR-001-hexagonal-architecture.pdf" TargetMode="External"/><Relationship Id="rId27" Type="http://schemas.openxmlformats.org/officeDocument/2006/relationships/hyperlink" Target="adr/ADR-002-nodejs-minimal-dependencies.pdf" TargetMode="External"/><Relationship Id="rId28" Type="http://schemas.openxmlformats.org/officeDocument/2006/relationships/hyperlink" Target="adr/ADR-003-rules-engine-maker-checker.pdf" TargetMode="External"/><Relationship Id="rId29" Type="http://schemas.openxmlformats.org/officeDocument/2006/relationships/hyperlink" Target="adr/ADR-004-persistence.pdf" TargetMode="External"/><Relationship Id="rId30" Type="http://schemas.openxmlformats.org/officeDocument/2006/relationships/hyperlink" Target="adr/ADR-005-transactional-outbox.pdf" TargetMode="External"/><Relationship Id="rId31" Type="http://schemas.openxmlformats.org/officeDocument/2006/relationships/hyperlink" Target="adr/ADR-006-field-encryption-blind-index.pdf" TargetMode="External"/><Relationship Id="rId32" Type="http://schemas.openxmlformats.org/officeDocument/2006/relationships/hyperlink" Target="adr/ADR-007-authentication-identity.pdf" TargetMode="External"/><Relationship Id="rId33" Type="http://schemas.openxmlformats.org/officeDocument/2006/relationships/hyperlink" Target="adr/ADR-008-hash-chained-audit.pdf" TargetMode="External"/><Relationship Id="rId34" Type="http://schemas.openxmlformats.org/officeDocument/2006/relationships/hyperlink" Target="adr/ADR-009-voice-bot-dialogue.pdf" TargetMode="External"/><Relationship Id="rId35" Type="http://schemas.openxmlformats.org/officeDocument/2006/relationships/hyperlink" Target="adr/ADR-010-api-first-openapi.pdf" TargetMode="External"/><Relationship Id="rId36" Type="http://schemas.openxmlformats.org/officeDocument/2006/relationships/hyperlink" Target="adr/ADR-011-vanilla-spa-design-tokens.pdf" TargetMode="External"/><Relationship Id="rId37" Type="http://schemas.openxmlformats.org/officeDocument/2006/relationships/hyperlink" Target="adr/ADR-012-deployment-containers-k8s.pdf" TargetMode="External"/><Relationship Id="rId38" Type="http://schemas.openxmlformats.org/officeDocument/2006/relationships/hyperlink" Target="adr/ADR-013-tasco-core-rating-master.pdf" TargetMode="External"/><Relationship Id="rId25" Type="http://schemas.openxmlformats.org/officeDocument/2006/relationships/hyperlink" Target="ai-governance.pdf" TargetMode="External"/><Relationship Id="rId23" Type="http://schemas.openxmlformats.org/officeDocument/2006/relationships/hyperlink" Target="data-architecture.pdf" TargetMode="External"/><Relationship Id="rId22" Type="http://schemas.openxmlformats.org/officeDocument/2006/relationships/hyperlink" Target="deployment-and-infrastructure-architecture.pdf" TargetMode="External"/><Relationship Id="rId21" Type="http://schemas.openxmlformats.org/officeDocument/2006/relationships/hyperlink" Target="integration-architecture.pdf" TargetMode="External"/><Relationship Id="rId24" Type="http://schemas.openxmlformats.org/officeDocument/2006/relationships/hyperlink" Target="security-architecture.pdf" TargetMode="External"/><Relationship Id="rId20" Type="http://schemas.openxmlformats.org/officeDocument/2006/relationships/hyperlink" Target="solution-architectur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Documentation — TASCO Growth Platform</dc:title>
  <dc:creator>iorta TechNXT</dc:creator>
  <cp:keywords/>
  <dcterms:created xsi:type="dcterms:W3CDTF">2026-10-07T22:35:38Z</dcterms:created>
  <dcterms:modified xsi:type="dcterms:W3CDTF">2026-10-07T22:35:38Z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