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ADR-001: Hexagonal (ports &amp; adapters) / Clean architecture</w:t>
      </w:r>
    </w:p>
    <w:p>
      <w:pPr>
        <w:pStyle w:val="Subtitle"/>
      </w:pPr>
      <w:r>
        <w:t xml:space="preserve">TASCO Insurance × VETC Growth Platform — Architecture Decision Record</w:t>
      </w:r>
    </w:p>
    <w:p>
      <w:pPr>
        <w:pStyle w:val="Author"/>
      </w:pPr>
      <w:r>
        <w:t xml:space="preserve">iorta TechNXT</w:t>
      </w:r>
    </w:p>
    <w:p>
      <w:pPr>
        <w:pStyle w:val="Date"/>
      </w:pPr>
      <w:r>
        <w:t xml:space="preserve">Version 1.0 · 07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Document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Version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Date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Owner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Status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ADR-001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1.0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07 October 2026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iorta TechNXT Architecture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Accepted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Deciders:</w:t>
      </w:r>
      <w:r>
        <w:t xml:space="preserve"> </w:t>
      </w:r>
      <w:r>
        <w:t xml:space="preserve">iorta TechNXT solution architect, TASCO IT architecture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Related:</w:t>
      </w:r>
      <w:r>
        <w:t xml:space="preserve"> </w:t>
      </w:r>
      <w:hyperlink r:id="rId20">
        <w:r>
          <w:rPr>
            <w:rStyle w:val="Hyperlink"/>
          </w:rPr>
          <w:t xml:space="preserve">ADR-002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ADR-004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ADR-005</w:t>
        </w:r>
      </w:hyperlink>
    </w:p>
    <w:bookmarkStart w:id="23" w:name="context-and-problem-statement"/>
    <w:p>
      <w:pPr>
        <w:pStyle w:val="Heading2"/>
      </w:pPr>
      <w:r>
        <w:t xml:space="preserve">Context and problem statement</w:t>
      </w:r>
    </w:p>
    <w:p>
      <w:pPr>
        <w:pStyle w:val="FirstParagraph"/>
      </w:pPr>
      <w:r>
        <w:t xml:space="preserve">On day one, most of the systems this platform must call are not available to integrate against:</w:t>
      </w:r>
    </w:p>
    <w:p>
      <w:pPr>
        <w:numPr>
          <w:ilvl w:val="0"/>
          <w:numId w:val="1002"/>
        </w:numPr>
        <w:pStyle w:val="Compact"/>
      </w:pPr>
      <w:r>
        <w:t xml:space="preserve">the VETC wallet and VETC data feed;</w:t>
      </w:r>
    </w:p>
    <w:p>
      <w:pPr>
        <w:numPr>
          <w:ilvl w:val="0"/>
          <w:numId w:val="1002"/>
        </w:numPr>
        <w:pStyle w:val="Compact"/>
      </w:pPr>
      <w:r>
        <w:t xml:space="preserve">TASCO core policy administration;</w:t>
      </w:r>
    </w:p>
    <w:p>
      <w:pPr>
        <w:numPr>
          <w:ilvl w:val="0"/>
          <w:numId w:val="1002"/>
        </w:numPr>
        <w:pStyle w:val="Compact"/>
      </w:pPr>
      <w:r>
        <w:t xml:space="preserve">Zalo ZNS, the SMS brandname provider and app push;</w:t>
      </w:r>
    </w:p>
    <w:p>
      <w:pPr>
        <w:numPr>
          <w:ilvl w:val="0"/>
          <w:numId w:val="1002"/>
        </w:numPr>
        <w:pStyle w:val="Compact"/>
      </w:pPr>
      <w:r>
        <w:t xml:space="preserve">a Vietnamese voice-AI vendor;</w:t>
      </w:r>
    </w:p>
    <w:p>
      <w:pPr>
        <w:numPr>
          <w:ilvl w:val="0"/>
          <w:numId w:val="1002"/>
        </w:numPr>
        <w:pStyle w:val="Compact"/>
      </w:pPr>
      <w:r>
        <w:t xml:space="preserve">the TASCO IdP.</w:t>
      </w:r>
    </w:p>
    <w:p>
      <w:pPr>
        <w:pStyle w:val="FirstParagraph"/>
      </w:pPr>
      <w:r>
        <w:t xml:space="preserve">Even so, the business logic has to be demonstrable, testable and auditable from the start. That logic covers golden-record build, scoring, journeys, contact policy, rating and the dialogue policy. When each real system arrives, swapping it in must not touch that logic.</w:t>
      </w:r>
    </w:p>
    <w:bookmarkEnd w:id="23"/>
    <w:bookmarkStart w:id="24" w:name="decision-drivers"/>
    <w:p>
      <w:pPr>
        <w:pStyle w:val="Heading2"/>
      </w:pPr>
      <w:r>
        <w:t xml:space="preserve">Decision drivers</w:t>
      </w:r>
    </w:p>
    <w:p>
      <w:pPr>
        <w:numPr>
          <w:ilvl w:val="0"/>
          <w:numId w:val="1003"/>
        </w:numPr>
        <w:pStyle w:val="Compact"/>
      </w:pPr>
      <w:r>
        <w:t xml:space="preserve">The pilot must run end-to-end with sandbox integrations, and production must swap adapters without regression.</w:t>
      </w:r>
    </w:p>
    <w:p>
      <w:pPr>
        <w:numPr>
          <w:ilvl w:val="0"/>
          <w:numId w:val="1003"/>
        </w:numPr>
        <w:pStyle w:val="Compact"/>
      </w:pPr>
      <w:r>
        <w:t xml:space="preserve">Domain logic must be deterministic and unit-testable without I/O. Today's date is injected (</w:t>
      </w:r>
      <w:r>
        <w:rPr>
          <w:rStyle w:val="VerbatimChar"/>
        </w:rPr>
        <w:t xml:space="preserve">src/shared/clock.js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Regulated logic needs one obvious place to review: tariff, copy guard, consent.</w:t>
      </w:r>
    </w:p>
    <w:p>
      <w:pPr>
        <w:numPr>
          <w:ilvl w:val="0"/>
          <w:numId w:val="1003"/>
        </w:numPr>
        <w:pStyle w:val="Compact"/>
      </w:pPr>
      <w:r>
        <w:t xml:space="preserve">The team is small, so the structure has to be simple enough to keep consistent.</w:t>
      </w:r>
    </w:p>
    <w:bookmarkEnd w:id="24"/>
    <w:bookmarkStart w:id="25" w:name="considered-options"/>
    <w:p>
      <w:pPr>
        <w:pStyle w:val="Heading2"/>
      </w:pPr>
      <w:r>
        <w:t xml:space="preserve">Considered options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Hexagonal / Clean architecture</w:t>
      </w:r>
      <w:r>
        <w:t xml:space="preserve">: domain → application → ports → adapters, with a single composition root.</w:t>
      </w:r>
    </w:p>
    <w:p>
      <w:pPr>
        <w:numPr>
          <w:ilvl w:val="0"/>
          <w:numId w:val="1004"/>
        </w:numPr>
        <w:pStyle w:val="Compact"/>
      </w:pPr>
      <w:r>
        <w:t xml:space="preserve">Classic layered MVC (controllers → models → DB).</w:t>
      </w:r>
    </w:p>
    <w:p>
      <w:pPr>
        <w:numPr>
          <w:ilvl w:val="0"/>
          <w:numId w:val="1004"/>
        </w:numPr>
        <w:pStyle w:val="Compact"/>
      </w:pPr>
      <w:r>
        <w:t xml:space="preserve">Microservices per capability (ingestion, leads, journeys, sales, voice).</w:t>
      </w:r>
    </w:p>
    <w:bookmarkEnd w:id="25"/>
    <w:bookmarkStart w:id="28" w:name="decision-outcome"/>
    <w:p>
      <w:pPr>
        <w:pStyle w:val="Heading2"/>
      </w:pPr>
      <w:r>
        <w:t xml:space="preserve">Decision outcome</w:t>
      </w:r>
    </w:p>
    <w:p>
      <w:pPr>
        <w:pStyle w:val="FirstParagraph"/>
      </w:pPr>
      <w:r>
        <w:t xml:space="preserve">Chosen option:</w:t>
      </w:r>
      <w:r>
        <w:t xml:space="preserve"> </w:t>
      </w:r>
      <w:r>
        <w:rPr>
          <w:bCs/>
          <w:b/>
        </w:rPr>
        <w:t xml:space="preserve">1. Hexagonal</w:t>
      </w:r>
      <w:r>
        <w:t xml:space="preserve">, implemented as follows.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Ring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Path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Allowed dependencies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Shared kernel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src/shared/*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node:*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only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Domain + rules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src/domain/*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src/rules/*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shared kernel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Application (use cases)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src/application/*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domain, rules, shared. Ports arrive as factory arguments.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Adapters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src/adapters/{http,persistence,messaging,integrations}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application, domain, shared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Composition root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src/bootstrap/container.js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everything. This is the only place that picks adapters.</w:t>
            </w:r>
          </w:p>
        </w:tc>
      </w:tr>
    </w:tbl>
    <w:p>
      <w:pPr>
        <w:pStyle w:val="BodyText"/>
      </w:pPr>
      <w:r>
        <w:t xml:space="preserve">Ports are plain JavaScript object contracts documented with JSDoc and in the</w:t>
      </w:r>
      <w:r>
        <w:t xml:space="preserve"> </w:t>
      </w:r>
      <w:hyperlink r:id="rId26">
        <w:r>
          <w:rPr>
            <w:rStyle w:val="Hyperlink"/>
          </w:rPr>
          <w:t xml:space="preserve">Integration Architecture</w:t>
        </w:r>
      </w:hyperlink>
      <w:r>
        <w:t xml:space="preserve">. Each outbound integration is wrapped in a circuit breaker at composition time (</w:t>
      </w:r>
      <w:r>
        <w:rPr>
          <w:rStyle w:val="VerbatimChar"/>
        </w:rPr>
        <w:t xml:space="preserve">breaker(name, port, opts)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container.js</w:t>
      </w:r>
      <w:r>
        <w:t xml:space="preserve">).</w:t>
      </w:r>
    </w:p>
    <w:bookmarkStart w:id="27" w:name="consequences"/>
    <w:p>
      <w:pPr>
        <w:pStyle w:val="Heading3"/>
      </w:pPr>
      <w:r>
        <w:t xml:space="preserve">Consequences</w:t>
      </w:r>
    </w:p>
    <w:p>
      <w:pPr>
        <w:numPr>
          <w:ilvl w:val="0"/>
          <w:numId w:val="1005"/>
        </w:numPr>
        <w:pStyle w:val="Compact"/>
      </w:pPr>
      <w:r>
        <w:t xml:space="preserve">Good: a sandbox adapter can be replaced by a real one in a single place, for example</w:t>
      </w:r>
      <w:r>
        <w:t xml:space="preserve"> </w:t>
      </w:r>
      <w:r>
        <w:rPr>
          <w:rStyle w:val="VerbatimChar"/>
        </w:rPr>
        <w:t xml:space="preserve">createVetcWalletGateway</w:t>
      </w:r>
      <w:r>
        <w:t xml:space="preserve"> </w:t>
      </w:r>
      <w:r>
        <w:t xml:space="preserve">→ a real wallet client.</w:t>
      </w:r>
    </w:p>
    <w:p>
      <w:pPr>
        <w:numPr>
          <w:ilvl w:val="0"/>
          <w:numId w:val="1005"/>
        </w:numPr>
        <w:pStyle w:val="Compact"/>
      </w:pPr>
      <w:r>
        <w:t xml:space="preserve">Good: the in-memory store makes tests and demos fast, and the Postgres adapter gives the same behaviour (</w:t>
      </w:r>
      <w:hyperlink r:id="rId21">
        <w:r>
          <w:rPr>
            <w:rStyle w:val="Hyperlink"/>
          </w:rPr>
          <w:t xml:space="preserve">ADR-004</w:t>
        </w:r>
      </w:hyperlink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Good: the domain modules are pure, so the scoring, MDM and dialogue rules can be reviewed in isolation by compliance and model risk.</w:t>
      </w:r>
    </w:p>
    <w:p>
      <w:pPr>
        <w:numPr>
          <w:ilvl w:val="0"/>
          <w:numId w:val="1005"/>
        </w:numPr>
        <w:pStyle w:val="Compact"/>
      </w:pPr>
      <w:r>
        <w:t xml:space="preserve">Bad: ports are implicit (duck-typed JS) and there is no compile-time check. Contract tests per adapter are required (planned: a</w:t>
      </w:r>
      <w:r>
        <w:t xml:space="preserve"> </w:t>
      </w:r>
      <w:r>
        <w:rPr>
          <w:rStyle w:val="VerbatimChar"/>
        </w:rPr>
        <w:t xml:space="preserve">test/contract/*</w:t>
      </w:r>
      <w:r>
        <w:t xml:space="preserve"> </w:t>
      </w:r>
      <w:r>
        <w:t xml:space="preserve">suite run against both stores and each real adapter in SIT).</w:t>
      </w:r>
    </w:p>
    <w:p>
      <w:pPr>
        <w:numPr>
          <w:ilvl w:val="0"/>
          <w:numId w:val="1005"/>
        </w:numPr>
        <w:pStyle w:val="Compact"/>
      </w:pPr>
      <w:r>
        <w:t xml:space="preserve">Bad: some HTTP handlers in</w:t>
      </w:r>
      <w:r>
        <w:t xml:space="preserve"> </w:t>
      </w:r>
      <w:r>
        <w:rPr>
          <w:rStyle w:val="VerbatimChar"/>
        </w:rPr>
        <w:t xml:space="preserve">routes.js</w:t>
      </w:r>
      <w:r>
        <w:t xml:space="preserve"> </w:t>
      </w:r>
      <w:r>
        <w:t xml:space="preserve">still hold small amounts of orchestration (partner onboarding, steward expiry correction, voice campaign loop).</w:t>
      </w:r>
      <w:r>
        <w:t xml:space="preserve"> </w:t>
      </w:r>
      <w:r>
        <w:rPr>
          <w:bCs/>
          <w:b/>
        </w:rPr>
        <w:t xml:space="preserve">Follow-up:</w:t>
      </w:r>
      <w:r>
        <w:t xml:space="preserve"> </w:t>
      </w:r>
      <w:r>
        <w:t xml:space="preserve">move these into application services so the rule "HTTP adapter only translates" holds strictly.</w:t>
      </w:r>
    </w:p>
    <w:p>
      <w:pPr>
        <w:numPr>
          <w:ilvl w:val="0"/>
          <w:numId w:val="1005"/>
        </w:numPr>
        <w:pStyle w:val="Compact"/>
      </w:pPr>
      <w:r>
        <w:t xml:space="preserve">Neutral: one deployable (a modular monolith). Each application service has its own collection set, so it can be split later along those service boundaries if scale or team topology demands it.</w:t>
      </w:r>
    </w:p>
    <w:bookmarkEnd w:id="27"/>
    <w:bookmarkEnd w:id="28"/>
    <w:bookmarkStart w:id="29" w:name="pros-and-cons-of-the-options"/>
    <w:p>
      <w:pPr>
        <w:pStyle w:val="Heading2"/>
      </w:pPr>
      <w:r>
        <w:t xml:space="preserve">Pros and cons of the options</w:t>
      </w:r>
    </w:p>
    <w:p>
      <w:pPr>
        <w:pStyle w:val="FirstParagraph"/>
      </w:pPr>
      <w:r>
        <w:rPr>
          <w:bCs/>
          <w:b/>
        </w:rPr>
        <w:t xml:space="preserve">Layered MVC.</w:t>
      </w:r>
      <w:r>
        <w:t xml:space="preserve"> </w:t>
      </w:r>
      <w:r>
        <w:t xml:space="preserve">Familiar. However, persistence and HTTP concerns leak into business logic, and sandbox-vs-production switching would be scattered across the code.</w:t>
      </w:r>
    </w:p>
    <w:p>
      <w:pPr>
        <w:pStyle w:val="BodyText"/>
      </w:pPr>
      <w:r>
        <w:rPr>
          <w:bCs/>
          <w:b/>
        </w:rPr>
        <w:t xml:space="preserve">Microservices.</w:t>
      </w:r>
      <w:r>
        <w:t xml:space="preserve"> </w:t>
      </w:r>
      <w:r>
        <w:t xml:space="preserve">Independent scaling and deployment. However, the team and the pilot do not justify distributed transactions, a service mesh, or several pipelines and databases yet. Hexagonal keeps that option open.</w:t>
      </w:r>
    </w:p>
    <w:bookmarkEnd w:id="29"/>
    <w:sectPr>
      <w:headerReference r:id="rId9" w:type="default"/>
      <w:footerReference r:id="rId10" w:type="default"/>
      <w:pgSz w:h="16838" w:w="11906"/>
      <w:pgMar w:bottom="1020" w:left="1020" w:right="102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 xml:space="preserve">Prepared by iorta TechNXT · Confidential · Page </w:t>
    </w:r>
    <w:r>
      <w:rPr>
        <w:sz w:val="16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213368"/>
        <w:sz w:val="16"/>
      </w:rPr>
      <w:t>TASCO Insurance × VETC — Growth Platform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color w:val="121A33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color w:val="121A33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color w:val="121A33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color w:val="121A33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color w:val="213368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cs="Calibri" w:eastAsia="Calibri" w:hAnsi="Calibri"/>
      <w:b w:val="0"/>
      <w:color w:val="0B6B66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eastAsia="Calibri" w:hAnsi="Calibri"/>
      <w:color w:val="121A33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cs="Calibri" w:eastAsia="Calibri" w:hAnsi="Calibri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1E0" w:sz="4" w:val="single"/>
        <w:left w:color="C9D1E0" w:sz="4" w:val="single"/>
        <w:bottom w:color="C9D1E0" w:sz="4" w:val="single"/>
        <w:right w:color="C9D1E0" w:sz="4" w:val="single"/>
        <w:insideH w:color="C9D1E0" w:sz="4" w:val="single"/>
        <w:insideV w:color="C9D1E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2A3A6E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B6B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6" Type="http://schemas.openxmlformats.org/officeDocument/2006/relationships/hyperlink" Target="../integration-architecture.pdf" TargetMode="External"/><Relationship Id="rId20" Type="http://schemas.openxmlformats.org/officeDocument/2006/relationships/hyperlink" Target="ADR-002-nodejs-minimal-dependencies.pdf" TargetMode="External"/><Relationship Id="rId21" Type="http://schemas.openxmlformats.org/officeDocument/2006/relationships/hyperlink" Target="ADR-004-persistence.pdf" TargetMode="External"/><Relationship Id="rId22" Type="http://schemas.openxmlformats.org/officeDocument/2006/relationships/hyperlink" Target="ADR-005-transactional-outbox.pdf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../integration-architecture.pdf" TargetMode="External"/><Relationship Id="rId20" Type="http://schemas.openxmlformats.org/officeDocument/2006/relationships/hyperlink" Target="ADR-002-nodejs-minimal-dependencies.pdf" TargetMode="External"/><Relationship Id="rId21" Type="http://schemas.openxmlformats.org/officeDocument/2006/relationships/hyperlink" Target="ADR-004-persistence.pdf" TargetMode="External"/><Relationship Id="rId22" Type="http://schemas.openxmlformats.org/officeDocument/2006/relationships/hyperlink" Target="ADR-005-transactional-outbox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ADR-001: Hexagonal (ports &amp; adapters) / Clean architecture</dc:title>
  <dc:creator>iorta TechNXT</dc:creator>
  <cp:keywords/>
  <dcterms:created xsi:type="dcterms:W3CDTF">2026-10-07T22:35:39Z</dcterms:created>
  <dcterms:modified xsi:type="dcterms:W3CDTF">2026-10-07T22:35:39Z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07 October 2026</vt:lpwstr>
  </property>
  <property fmtid="{D5CDD505-2E9C-101B-9397-08002B2CF9AE}" pid="3" name="subtitle">
    <vt:lpwstr>TASCO Insurance × VETC Growth Platform — Architecture Decision Record</vt:lpwstr>
  </property>
</Properties>
</file>