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ADR-004: Persistence — PostgreSQL document + indexed-columns pattern, with an in-memory adapter that behaves the same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ADR-004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ADR-005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ADR-006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ADR-008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Data Architecture</w:t>
        </w:r>
      </w:hyperlink>
    </w:p>
    <w:bookmarkStart w:id="24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The aggregates are document-shaped and evolve quickly. A golden profile carries nested vehicle, policy, engagement, channel, consent, lineage and expiry-candidate structures. Leads, quotes and voice sessions are similar. Queries filter on a small, known set of attributes: tier, score, region, expiry date, status and similar.</w:t>
      </w:r>
    </w:p>
    <w:p>
      <w:pPr>
        <w:pStyle w:val="BodyText"/>
      </w:pPr>
      <w:r>
        <w:t xml:space="preserve">The platform also needs:</w:t>
      </w:r>
    </w:p>
    <w:p>
      <w:pPr>
        <w:numPr>
          <w:ilvl w:val="0"/>
          <w:numId w:val="1002"/>
        </w:numPr>
        <w:pStyle w:val="Compact"/>
      </w:pPr>
      <w:r>
        <w:t xml:space="preserve">ACID transactions, row locking for the outbox, PITR backups and a managed HA option acceptable to TASCO InfoSec;</w:t>
      </w:r>
    </w:p>
    <w:p>
      <w:pPr>
        <w:numPr>
          <w:ilvl w:val="0"/>
          <w:numId w:val="1002"/>
        </w:numPr>
        <w:pStyle w:val="Compact"/>
      </w:pPr>
      <w:r>
        <w:t xml:space="preserve">per-field encryption of PII before it reaches the database;</w:t>
      </w:r>
    </w:p>
    <w:p>
      <w:pPr>
        <w:numPr>
          <w:ilvl w:val="0"/>
          <w:numId w:val="1002"/>
        </w:numPr>
        <w:pStyle w:val="Compact"/>
      </w:pPr>
      <w:r>
        <w:t xml:space="preserve">a zero-dependency store for unit tests, demos and pilots.</w:t>
      </w:r>
    </w:p>
    <w:bookmarkEnd w:id="24"/>
    <w:bookmarkStart w:id="25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Agility of the document schema, combined with indexed, typed filtering.</w:t>
      </w:r>
    </w:p>
    <w:p>
      <w:pPr>
        <w:numPr>
          <w:ilvl w:val="0"/>
          <w:numId w:val="1003"/>
        </w:numPr>
        <w:pStyle w:val="Compact"/>
      </w:pPr>
      <w:r>
        <w:t xml:space="preserve">Injection-proof querying by construction.</w:t>
      </w:r>
    </w:p>
    <w:p>
      <w:pPr>
        <w:numPr>
          <w:ilvl w:val="0"/>
          <w:numId w:val="1003"/>
        </w:numPr>
        <w:pStyle w:val="Compact"/>
      </w:pPr>
      <w:r>
        <w:t xml:space="preserve">One encryption and indexing code path for every store.</w:t>
      </w:r>
    </w:p>
    <w:p>
      <w:pPr>
        <w:numPr>
          <w:ilvl w:val="0"/>
          <w:numId w:val="1003"/>
        </w:numPr>
        <w:pStyle w:val="Compact"/>
      </w:pPr>
      <w:r>
        <w:t xml:space="preserve">Managed Postgres is available on every target cloud and on Railway.</w:t>
      </w:r>
    </w:p>
    <w:bookmarkEnd w:id="25"/>
    <w:bookmarkStart w:id="26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PostgreSQL: one table per collection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version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 jsonb</w:t>
      </w:r>
      <w:r>
        <w:rPr>
          <w:bCs/>
          <w:b/>
        </w:rPr>
        <w:t xml:space="preserve">, typed indexed columns extracted from the document,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created_at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updated_at</w:t>
      </w:r>
      <w:r>
        <w:rPr>
          <w:bCs/>
          <w:b/>
        </w:rPr>
        <w:t xml:space="preserve">. An in-memory adapter implements the same port and shares the codec.</w:t>
      </w:r>
    </w:p>
    <w:p>
      <w:pPr>
        <w:numPr>
          <w:ilvl w:val="0"/>
          <w:numId w:val="1004"/>
        </w:numPr>
        <w:pStyle w:val="Compact"/>
      </w:pPr>
      <w:r>
        <w:t xml:space="preserve">A fully normalised relational schema with an ORM.</w:t>
      </w:r>
    </w:p>
    <w:p>
      <w:pPr>
        <w:numPr>
          <w:ilvl w:val="0"/>
          <w:numId w:val="1004"/>
        </w:numPr>
        <w:pStyle w:val="Compact"/>
      </w:pPr>
      <w:r>
        <w:t xml:space="preserve">A document database (MongoDB/DocumentDB).</w:t>
      </w:r>
    </w:p>
    <w:p>
      <w:pPr>
        <w:numPr>
          <w:ilvl w:val="0"/>
          <w:numId w:val="1004"/>
        </w:numPr>
        <w:pStyle w:val="Compact"/>
      </w:pPr>
      <w:r>
        <w:t xml:space="preserve">JSONB with GIN indexes only (no extracted columns).</w:t>
      </w:r>
    </w:p>
    <w:bookmarkEnd w:id="26"/>
    <w:bookmarkStart w:id="28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Collection registry.</w:t>
      </w:r>
      <w:r>
        <w:t xml:space="preserve"> </w:t>
      </w:r>
      <w:r>
        <w:rPr>
          <w:rStyle w:val="VerbatimChar"/>
        </w:rPr>
        <w:t xml:space="preserve">src/adapters/persistence/schema.js</w:t>
      </w:r>
      <w:r>
        <w:t xml:space="preserve"> </w:t>
      </w:r>
      <w:r>
        <w:t xml:space="preserve">is the single source of truth. It holds 19 collections, and each declares: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indexes: {column: {path, type}}</w:t>
      </w:r>
      <w:r>
        <w:t xml:space="preserve">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pii: [fields]</w:t>
      </w:r>
      <w:r>
        <w:t xml:space="preserve"> </w:t>
      </w:r>
      <w:r>
        <w:t xml:space="preserve">(encrypted);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blind: {column: field}</w:t>
      </w:r>
      <w:r>
        <w:t xml:space="preserve"> </w:t>
      </w:r>
      <w:r>
        <w:t xml:space="preserve">(HMAC blind index).</w:t>
      </w:r>
    </w:p>
    <w:p>
      <w:pPr>
        <w:numPr>
          <w:ilvl w:val="0"/>
          <w:numId w:val="1000"/>
        </w:numPr>
      </w:pPr>
      <w:r>
        <w:t xml:space="preserve">Collection and column names must match</w:t>
      </w:r>
      <w:r>
        <w:t xml:space="preserve"> </w:t>
      </w:r>
      <w:r>
        <w:rPr>
          <w:rStyle w:val="VerbatimChar"/>
        </w:rPr>
        <w:t xml:space="preserve">^[a-z][a-z0-9_]*$</w:t>
      </w:r>
      <w:r>
        <w:t xml:space="preserve"> </w:t>
      </w:r>
      <w:r>
        <w:t xml:space="preserve">(checked at module load).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Migrations.</w:t>
      </w:r>
      <w:r>
        <w:t xml:space="preserve"> </w:t>
      </w:r>
      <w:r>
        <w:t xml:space="preserve">Numbered SQL files in</w:t>
      </w:r>
      <w:r>
        <w:t xml:space="preserve"> </w:t>
      </w:r>
      <w:r>
        <w:rPr>
          <w:rStyle w:val="VerbatimChar"/>
        </w:rPr>
        <w:t xml:space="preserve">db/migrations/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001_init.sql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002_integrity_hardening.sql</w:t>
      </w:r>
      <w:r>
        <w:t xml:space="preserve">). The collection DDL is generated by</w:t>
      </w:r>
      <w:r>
        <w:t xml:space="preserve"> </w:t>
      </w:r>
      <w:r>
        <w:rPr>
          <w:rStyle w:val="VerbatimChar"/>
        </w:rPr>
        <w:t xml:space="preserve">schemaSql.js</w:t>
      </w:r>
      <w:r>
        <w:t xml:space="preserve">, and a schema test keeps the migration and the registry in step. Applied migrations are recorded in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each runs in its own transaction, and</w:t>
      </w:r>
      <w:r>
        <w:t xml:space="preserve"> </w:t>
      </w:r>
      <w:r>
        <w:rPr>
          <w:rStyle w:val="VerbatimChar"/>
        </w:rPr>
        <w:t xml:space="preserve">migrate()</w:t>
      </w:r>
      <w:r>
        <w:t xml:space="preserve"> </w:t>
      </w:r>
      <w:r>
        <w:t xml:space="preserve">holds a PostgreSQL advisory lock so concurrent runners cannot race (</w:t>
      </w:r>
      <w:r>
        <w:rPr>
          <w:rStyle w:val="VerbatimChar"/>
        </w:rPr>
        <w:t xml:space="preserve">postgresStore.migrate</w:t>
      </w:r>
      <w:r>
        <w:t xml:space="preserve">). Never edit an applied migration; add a new numbered file.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Codec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codec.js</w:t>
      </w:r>
      <w:r>
        <w:t xml:space="preserve">). Shared by both stores. It encrypts</w:t>
      </w:r>
      <w:r>
        <w:t xml:space="preserve"> </w:t>
      </w:r>
      <w:r>
        <w:rPr>
          <w:rStyle w:val="VerbatimChar"/>
        </w:rPr>
        <w:t xml:space="preserve">pii</w:t>
      </w:r>
      <w:r>
        <w:t xml:space="preserve"> </w:t>
      </w:r>
      <w:r>
        <w:t xml:space="preserve">fields, computes blind indexes, and extracts index column values from document paths. Indexed columns are therefore never PII (by convention: review new indexes).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Query safety.</w:t>
      </w:r>
      <w:r>
        <w:t xml:space="preserve"> </w:t>
      </w:r>
      <w:r>
        <w:t xml:space="preserve">Every statement uses</w:t>
      </w:r>
      <w:r>
        <w:t xml:space="preserve"> </w:t>
      </w:r>
      <w:r>
        <w:rPr>
          <w:rStyle w:val="VerbatimChar"/>
        </w:rPr>
        <w:t xml:space="preserve">$n</w:t>
      </w:r>
      <w:r>
        <w:t xml:space="preserve"> </w:t>
      </w:r>
      <w:r>
        <w:t xml:space="preserve">bind parameters. Identifiers come only from the registry.</w:t>
      </w:r>
      <w:r>
        <w:t xml:space="preserve"> </w:t>
      </w:r>
      <w:r>
        <w:rPr>
          <w:rStyle w:val="VerbatimChar"/>
        </w:rPr>
        <w:t xml:space="preserve">assertColumns()</w:t>
      </w:r>
      <w:r>
        <w:t xml:space="preserve"> </w:t>
      </w:r>
      <w:r>
        <w:t xml:space="preserve">(</w:t>
      </w:r>
      <w:r>
        <w:rPr>
          <w:rStyle w:val="VerbatimChar"/>
        </w:rPr>
        <w:t xml:space="preserve">query.js</w:t>
      </w:r>
      <w:r>
        <w:t xml:space="preserve">) allows filtering and sorting only on declared columns plus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 Operators are limited to</w:t>
      </w:r>
      <w:r>
        <w:t xml:space="preserve"> </w:t>
      </w:r>
      <w:r>
        <w:rPr>
          <w:rStyle w:val="VerbatimChar"/>
        </w:rPr>
        <w:t xml:space="preserve">in, gte, lte, gt, lt, ne, isNull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is capped at 5,000.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Optimistic concurrency.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and, when the caller passes the version it read, adds</w:t>
      </w:r>
      <w:r>
        <w:t xml:space="preserve"> </w:t>
      </w:r>
      <w:r>
        <w:rPr>
          <w:rStyle w:val="VerbatimChar"/>
        </w:rPr>
        <w:t xml:space="preserve">AND version = $n</w:t>
      </w:r>
      <w:r>
        <w:t xml:space="preserve">. A mismatch raises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.</w:t>
      </w:r>
      <w:r>
        <w:t xml:space="preserve"> </w:t>
      </w:r>
      <w:r>
        <w:rPr>
          <w:rStyle w:val="VerbatimChar"/>
        </w:rPr>
        <w:t xml:space="preserve">upsert()</w:t>
      </w:r>
      <w:r>
        <w:t xml:space="preserve"> </w:t>
      </w:r>
      <w:r>
        <w:t xml:space="preserve">is last-writer-wins by design (used for idempotent rebuilds).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In-memory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memoryStore.js</w:t>
      </w:r>
      <w:r>
        <w:t xml:space="preserve">). Implements the same port with identical semantics (codec,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, version checks, audit chain).</w:t>
      </w:r>
      <w:r>
        <w:t xml:space="preserve"> </w:t>
      </w:r>
      <w:r>
        <w:rPr>
          <w:rStyle w:val="VerbatimChar"/>
        </w:rPr>
        <w:t xml:space="preserve">transaction(fn)</w:t>
      </w:r>
      <w:r>
        <w:t xml:space="preserve"> </w:t>
      </w:r>
      <w:r>
        <w:t xml:space="preserve">simply runs</w:t>
      </w:r>
      <w:r>
        <w:t xml:space="preserve"> </w:t>
      </w:r>
      <w:r>
        <w:rPr>
          <w:rStyle w:val="VerbatimChar"/>
        </w:rPr>
        <w:t xml:space="preserve">fn(this)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claimEvents</w:t>
      </w:r>
      <w:r>
        <w:t xml:space="preserve"> </w:t>
      </w:r>
      <w:r>
        <w:t xml:space="preserve">marks rows as processing.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Connection.</w:t>
      </w:r>
      <w:r>
        <w:t xml:space="preserve"> </w:t>
      </w:r>
      <w:r>
        <w:rPr>
          <w:rStyle w:val="VerbatimChar"/>
        </w:rPr>
        <w:t xml:space="preserve">pg.Pool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 = DB_POOL_MAX</w:t>
      </w:r>
      <w:r>
        <w:t xml:space="preserve"> </w:t>
      </w:r>
      <w:r>
        <w:t xml:space="preserve">(default 10),</w:t>
      </w:r>
      <w:r>
        <w:t xml:space="preserve"> </w:t>
      </w:r>
      <w:r>
        <w:rPr>
          <w:rStyle w:val="VerbatimChar"/>
        </w:rPr>
        <w:t xml:space="preserve">statement_timeout 15 s</w:t>
      </w:r>
      <w:r>
        <w:t xml:space="preserve">, idle timeout 30 s, and TLS with</w:t>
      </w:r>
      <w:r>
        <w:t xml:space="preserve"> </w:t>
      </w:r>
      <w:r>
        <w:rPr>
          <w:rStyle w:val="VerbatimChar"/>
        </w:rPr>
        <w:t xml:space="preserve">rejectUnauthorized: true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DATABASE_SSL</w:t>
      </w:r>
      <w:r>
        <w:t xml:space="preserve"> </w:t>
      </w:r>
      <w:r>
        <w:t xml:space="preserve">is set (the default in production).</w:t>
      </w:r>
    </w:p>
    <w:bookmarkStart w:id="27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7"/>
        </w:numPr>
        <w:pStyle w:val="Compact"/>
      </w:pPr>
      <w:r>
        <w:t xml:space="preserve">Good: schema evolution inside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needs no migration. A new filter column needs a new numbered migration plus a registry entry.</w:t>
      </w:r>
    </w:p>
    <w:p>
      <w:pPr>
        <w:numPr>
          <w:ilvl w:val="0"/>
          <w:numId w:val="1007"/>
        </w:numPr>
        <w:pStyle w:val="Compact"/>
      </w:pPr>
      <w:r>
        <w:t xml:space="preserve">Good: SQL injection is structurally excluded. No dynamic SQL is built from input.</w:t>
      </w:r>
    </w:p>
    <w:p>
      <w:pPr>
        <w:numPr>
          <w:ilvl w:val="0"/>
          <w:numId w:val="1007"/>
        </w:numPr>
        <w:pStyle w:val="Compact"/>
      </w:pPr>
      <w:r>
        <w:t xml:space="preserve">Good: tests run against memory, and</w:t>
      </w:r>
      <w:r>
        <w:t xml:space="preserve"> </w:t>
      </w:r>
      <w:r>
        <w:rPr>
          <w:rStyle w:val="VerbatimChar"/>
        </w:rPr>
        <w:t xml:space="preserve">test:pg</w:t>
      </w:r>
      <w:r>
        <w:t xml:space="preserve"> </w:t>
      </w:r>
      <w:r>
        <w:t xml:space="preserve">runs the same suites against real Postgres in CI.</w:t>
      </w:r>
    </w:p>
    <w:p>
      <w:pPr>
        <w:numPr>
          <w:ilvl w:val="0"/>
          <w:numId w:val="1007"/>
        </w:numPr>
        <w:pStyle w:val="Compact"/>
      </w:pPr>
      <w:r>
        <w:t xml:space="preserve">Bad: the data is duplicated (the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jsonb plus extracted columns). Columns are recomputed on every write, so they cannot drift.</w:t>
      </w:r>
    </w:p>
    <w:p>
      <w:pPr>
        <w:numPr>
          <w:ilvl w:val="0"/>
          <w:numId w:val="1007"/>
        </w:numPr>
        <w:pStyle w:val="Compact"/>
      </w:pPr>
      <w:r>
        <w:t xml:space="preserve">Bad: there are no foreign keys between collections, so referential integrity is enforced in services and checked by</w:t>
      </w:r>
      <w:r>
        <w:t xml:space="preserve"> </w:t>
      </w:r>
      <w:r>
        <w:rPr>
          <w:rStyle w:val="VerbatimChar"/>
        </w:rPr>
        <w:t xml:space="preserve">opsService.reconcile</w:t>
      </w:r>
      <w:r>
        <w:t xml:space="preserve">. For an analytical relational view, see the</w:t>
      </w:r>
      <w:r>
        <w:t xml:space="preserve"> </w:t>
      </w:r>
      <w:hyperlink r:id="rId23">
        <w:r>
          <w:rPr>
            <w:rStyle w:val="Hyperlink"/>
          </w:rPr>
          <w:t xml:space="preserve">Data Architecture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Bad / gaps: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  <w:bCs/>
          <w:b/>
        </w:rPr>
        <w:t xml:space="preserve">store.transaction()</w:t>
      </w:r>
      <w:r>
        <w:rPr>
          <w:bCs/>
          <w:b/>
        </w:rPr>
        <w:t xml:space="preserve"> </w:t>
      </w:r>
      <w:r>
        <w:rPr>
          <w:bCs/>
          <w:b/>
        </w:rPr>
        <w:t xml:space="preserve">is used for rule activation only.</w:t>
      </w:r>
      <w:r>
        <w:t xml:space="preserve"> </w:t>
      </w:r>
      <w:r>
        <w:t xml:space="preserve">Purchase is protected by an atomic quote claim (optimistic version check) and saga compensation rather than one transaction; erase, and state change + outbox publish (</w:t>
      </w:r>
      <w:hyperlink r:id="rId20">
        <w:r>
          <w:rPr>
            <w:rStyle w:val="Hyperlink"/>
          </w:rPr>
          <w:t xml:space="preserve">ADR-005</w:t>
        </w:r>
      </w:hyperlink>
      <w:r>
        <w:t xml:space="preserve">), are still separate writes.</w:t>
      </w:r>
      <w:r>
        <w:t xml:space="preserve"> </w:t>
      </w:r>
      <w:r>
        <w:rPr>
          <w:bCs/>
          <w:b/>
        </w:rPr>
        <w:t xml:space="preserve">Fix in phase 2:</w:t>
      </w:r>
      <w:r>
        <w:t xml:space="preserve"> </w:t>
      </w:r>
      <w:r>
        <w:t xml:space="preserve">pass the transactional store into those use cases.</w:t>
      </w:r>
    </w:p>
    <w:p>
      <w:pPr>
        <w:numPr>
          <w:ilvl w:val="1"/>
          <w:numId w:val="1008"/>
        </w:numPr>
        <w:pStyle w:val="Compact"/>
      </w:pPr>
      <w:r>
        <w:t xml:space="preserve">Migrations still run preferably from the single Kubernetes migration Job (</w:t>
      </w:r>
      <w:r>
        <w:rPr>
          <w:rStyle w:val="VerbatimChar"/>
        </w:rPr>
        <w:t xml:space="preserve">MIGRATE_ON_START=false</w:t>
      </w:r>
      <w:r>
        <w:t xml:space="preserve"> </w:t>
      </w:r>
      <w:r>
        <w:t xml:space="preserve">on replicas); the advisory lock makes an accidental concurrent start safe.</w:t>
      </w:r>
    </w:p>
    <w:p>
      <w:pPr>
        <w:numPr>
          <w:ilvl w:val="1"/>
          <w:numId w:val="1008"/>
        </w:numPr>
        <w:pStyle w:val="Compact"/>
      </w:pPr>
      <w:r>
        <w:t xml:space="preserve">The full-table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paging used by batch jobs must move to keyset paging at 6 M rows.</w:t>
      </w:r>
    </w:p>
    <w:bookmarkEnd w:id="27"/>
    <w:bookmarkEnd w:id="28"/>
    <w:bookmarkStart w:id="29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Normalised schema + ORM.</w:t>
      </w:r>
      <w:r>
        <w:t xml:space="preserve"> </w:t>
      </w:r>
      <w:r>
        <w:t xml:space="preserve">Strong integrity. However, every attribute change becomes a heavy migration, the ORM adds dependencies, and encrypted fields complicate ORM mapping.</w:t>
      </w:r>
    </w:p>
    <w:p>
      <w:pPr>
        <w:pStyle w:val="BodyText"/>
      </w:pPr>
      <w:r>
        <w:rPr>
          <w:bCs/>
          <w:b/>
        </w:rPr>
        <w:t xml:space="preserve">MongoDB.</w:t>
      </w:r>
      <w:r>
        <w:t xml:space="preserve"> </w:t>
      </w:r>
      <w:r>
        <w:t xml:space="preserve">A natural document fit. However, it would add a second operational database (Postgres is still needed for the outbox, audit and BI), and InfoSec familiarity is lower.</w:t>
      </w:r>
    </w:p>
    <w:p>
      <w:pPr>
        <w:pStyle w:val="BodyText"/>
      </w:pPr>
      <w:r>
        <w:rPr>
          <w:bCs/>
          <w:b/>
        </w:rPr>
        <w:t xml:space="preserve">JSONB + GIN only.</w:t>
      </w:r>
      <w:r>
        <w:t xml:space="preserve"> </w:t>
      </w:r>
      <w:r>
        <w:t xml:space="preserve">Simpler. However, it weakens typed comparisons (date and int ranges) and planner statistics, and it makes the "only declared fields are filterable" guard harder to enforce.</w:t>
      </w:r>
    </w:p>
    <w:bookmarkEnd w:id="2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hyperlink" Target="../data-architecture.pdf" TargetMode="External"/><Relationship Id="rId20" Type="http://schemas.openxmlformats.org/officeDocument/2006/relationships/hyperlink" Target="ADR-005-transactional-outbox.pdf" TargetMode="External"/><Relationship Id="rId21" Type="http://schemas.openxmlformats.org/officeDocument/2006/relationships/hyperlink" Target="ADR-006-field-encryption-blind-index.pdf" TargetMode="External"/><Relationship Id="rId22" Type="http://schemas.openxmlformats.org/officeDocument/2006/relationships/hyperlink" Target="ADR-008-hash-chained-audit.pdf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data-architecture.pdf" TargetMode="External"/><Relationship Id="rId20" Type="http://schemas.openxmlformats.org/officeDocument/2006/relationships/hyperlink" Target="ADR-005-transactional-outbox.pdf" TargetMode="External"/><Relationship Id="rId21" Type="http://schemas.openxmlformats.org/officeDocument/2006/relationships/hyperlink" Target="ADR-006-field-encryption-blind-index.pdf" TargetMode="External"/><Relationship Id="rId22" Type="http://schemas.openxmlformats.org/officeDocument/2006/relationships/hyperlink" Target="ADR-008-hash-chained-audi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ADR-004: Persistence — PostgreSQL document + indexed-columns pattern, with an in-memory adapter that behaves the same</dc:title>
  <dc:creator>iorta TechNXT</dc:creator>
  <cp:keywords/>
  <dcterms:created xsi:type="dcterms:W3CDTF">2026-10-07T22:35:40Z</dcterms:created>
  <dcterms:modified xsi:type="dcterms:W3CDTF">2026-10-07T22:35:40Z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