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ADR-007: Authentication — local JWT + TOTP now; OIDC federation to the TASCO IdP as target</w:t>
      </w:r>
    </w:p>
    <w:p>
      <w:pPr>
        <w:pStyle w:val="Subtitle"/>
      </w:pPr>
      <w:r>
        <w:t xml:space="preserve">TASCO Insurance × VETC Growth Platform — Architecture Decision Record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ADR-007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Architecture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Accepted (interim for pilot and UAT; target state defined)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Related:</w:t>
      </w:r>
      <w:r>
        <w:t xml:space="preserve"> </w:t>
      </w:r>
      <w:hyperlink r:id="rId20">
        <w:r>
          <w:rPr>
            <w:rStyle w:val="Hyperlink"/>
          </w:rPr>
          <w:t xml:space="preserve">Security Architecture</w:t>
        </w:r>
      </w:hyperlink>
      <w:r>
        <w:t xml:space="preserve">, sections 7–8 and 15</w:t>
      </w:r>
    </w:p>
    <w:bookmarkStart w:id="21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Four kinds of principal call the platform: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Staff</w:t>
      </w:r>
      <w:r>
        <w:t xml:space="preserve"> </w:t>
      </w:r>
      <w:r>
        <w:t xml:space="preserve">(13 roles) from TASCO and VETC, using the console;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Customers</w:t>
      </w:r>
      <w:r>
        <w:t xml:space="preserve"> </w:t>
      </w:r>
      <w:r>
        <w:t xml:space="preserve">inside the VETC app or Zalo mini app;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Partner systems</w:t>
      </w:r>
      <w:r>
        <w:t xml:space="preserve">, server to server;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Batch jobs</w:t>
      </w:r>
      <w:r>
        <w:t xml:space="preserve">.</w:t>
      </w:r>
    </w:p>
    <w:p>
      <w:pPr>
        <w:pStyle w:val="FirstParagraph"/>
      </w:pPr>
      <w:r>
        <w:t xml:space="preserve">The TASCO enterprise IdP (Azure AD / Keycloak) and VETC app SSO cannot be integrated in the pilot timeframe. MFA is still required for privileged roles, and joiner-mover-leaver must be controlled.</w:t>
      </w:r>
    </w:p>
    <w:bookmarkEnd w:id="21"/>
    <w:bookmarkStart w:id="22" w:name="decision-drivers"/>
    <w:p>
      <w:pPr>
        <w:pStyle w:val="Heading2"/>
      </w:pPr>
      <w:r>
        <w:t xml:space="preserve">Decision drivers</w:t>
      </w:r>
    </w:p>
    <w:p>
      <w:pPr>
        <w:numPr>
          <w:ilvl w:val="0"/>
          <w:numId w:val="1003"/>
        </w:numPr>
        <w:pStyle w:val="Compact"/>
      </w:pPr>
      <w:r>
        <w:t xml:space="preserve">MFA for privileged roles from day one.</w:t>
      </w:r>
    </w:p>
    <w:p>
      <w:pPr>
        <w:numPr>
          <w:ilvl w:val="0"/>
          <w:numId w:val="1003"/>
        </w:numPr>
        <w:pStyle w:val="Compact"/>
      </w:pPr>
      <w:r>
        <w:t xml:space="preserve">The principal contract</w:t>
      </w:r>
      <w:r>
        <w:t xml:space="preserve"> </w:t>
      </w:r>
      <w:r>
        <w:rPr>
          <w:rStyle w:val="VerbatimChar"/>
        </w:rPr>
        <w:t xml:space="preserve">{id, roles, region, customerId?}</w:t>
      </w:r>
      <w:r>
        <w:t xml:space="preserve"> </w:t>
      </w:r>
      <w:r>
        <w:t xml:space="preserve">must not change when the IdP arrives.</w:t>
      </w:r>
    </w:p>
    <w:p>
      <w:pPr>
        <w:numPr>
          <w:ilvl w:val="0"/>
          <w:numId w:val="1003"/>
        </w:numPr>
        <w:pStyle w:val="Compact"/>
      </w:pPr>
      <w:r>
        <w:t xml:space="preserve">Short-lived tokens; lockout against brute force.</w:t>
      </w:r>
    </w:p>
    <w:p>
      <w:pPr>
        <w:numPr>
          <w:ilvl w:val="0"/>
          <w:numId w:val="1003"/>
        </w:numPr>
        <w:pStyle w:val="Compact"/>
      </w:pPr>
      <w:r>
        <w:t xml:space="preserve">Partners get revocable machine credentials.</w:t>
      </w:r>
    </w:p>
    <w:bookmarkEnd w:id="22"/>
    <w:bookmarkStart w:id="23" w:name="considered-options"/>
    <w:p>
      <w:pPr>
        <w:pStyle w:val="Heading2"/>
      </w:pPr>
      <w:r>
        <w:t xml:space="preserve">Considered options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Local users (scrypt) + TOTP + short-lived HS256 JWT now. Target: OIDC with the TASCO IdP for staff, token exchange with VETC SSO for customers, and API keys moving to OAuth2 client credentials or mTLS for partners.</w:t>
      </w:r>
    </w:p>
    <w:p>
      <w:pPr>
        <w:numPr>
          <w:ilvl w:val="0"/>
          <w:numId w:val="1004"/>
        </w:numPr>
        <w:pStyle w:val="Compact"/>
      </w:pPr>
      <w:r>
        <w:t xml:space="preserve">Integrate the IdP before the pilot.</w:t>
      </w:r>
    </w:p>
    <w:p>
      <w:pPr>
        <w:numPr>
          <w:ilvl w:val="0"/>
          <w:numId w:val="1004"/>
        </w:numPr>
        <w:pStyle w:val="Compact"/>
      </w:pPr>
      <w:r>
        <w:t xml:space="preserve">Server-side sessions with cookies.</w:t>
      </w:r>
    </w:p>
    <w:bookmarkEnd w:id="23"/>
    <w:bookmarkStart w:id="28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rPr>
          <w:bCs/>
          <w:b/>
        </w:rPr>
        <w:t xml:space="preserve">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Current implementation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Principal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Mechanism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Code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Staff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Username + password (scrypt N=16384, r=8, p=1, 16 B salt, 64 B hash) → if the role is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MFA_REQUIRED_ROLES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(default admin, rule_approver, compliance_officer, data_steward) or the user is enrolled 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mfaToken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(JWT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aud=mfa</w:t>
            </w:r>
            <w:r>
              <w:rPr>
                <w:sz w:val="18"/>
              </w:rPr>
              <w:t xml:space="preserve">, 5 min) → TOTP (RFC 6238, SHA-1, 6 digits, ±1 step) → access JWT (</w:t>
            </w:r>
            <w:r>
              <w:rPr>
                <w:rStyle w:val="VerbatimChar"/>
                <w:sz w:val="18"/>
              </w:rPr>
              <w:t xml:space="preserve">aud=staff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amr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jti</w:t>
            </w:r>
            <w:r>
              <w:rPr>
                <w:sz w:val="18"/>
              </w:rPr>
              <w:t xml:space="preserve">, TTL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JWT_TTL_SECONDS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 1,800 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identityService.js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crypto.js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MFA self-enrolment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privileged user without an enrolled authenticator receives a fresh seed at first sign-in (QR code 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otpauth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URI), shown only to that user after the password step; enrolment completes with the first valid code (</w:t>
            </w:r>
            <w:r>
              <w:rPr>
                <w:rStyle w:val="VerbatimChar"/>
                <w:sz w:val="18"/>
              </w:rPr>
              <w:t xml:space="preserve">auth.mfa_enrolled</w:t>
            </w:r>
            <w:r>
              <w:rPr>
                <w:sz w:val="18"/>
              </w:rPr>
              <w:t xml:space="preserve">). Administrators never see seeds;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/api/users/:id/reset {resetMfa}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forces re-enrolment.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identityService.login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verifyMfa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reset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Replay protection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last accepted TOTP time step is stored (</w:t>
            </w:r>
            <w:r>
              <w:rPr>
                <w:rStyle w:val="VerbatimChar"/>
                <w:sz w:val="18"/>
              </w:rPr>
              <w:t xml:space="preserve">lastTotpStep</w:t>
            </w:r>
            <w:r>
              <w:rPr>
                <w:sz w:val="18"/>
              </w:rPr>
              <w:t xml:space="preserve">); a code at or before it is rejected (ASVS 2.8.4).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identityService.verifyMfa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First sign-in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Users created by an administrator must change their password at first sign-in (</w:t>
            </w:r>
            <w:r>
              <w:rPr>
                <w:rStyle w:val="VerbatimChar"/>
                <w:sz w:val="18"/>
              </w:rPr>
              <w:t xml:space="preserve">mustChangePassword</w:t>
            </w:r>
            <w:r>
              <w:rPr>
                <w:sz w:val="18"/>
              </w:rPr>
              <w:t xml:space="preserve">).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identityService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Lockout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5 failures (</w:t>
            </w:r>
            <w:r>
              <w:rPr>
                <w:rStyle w:val="VerbatimChar"/>
                <w:sz w:val="18"/>
              </w:rPr>
              <w:t xml:space="preserve">LOCKOUT_MAX_FAILURES</w:t>
            </w:r>
            <w:r>
              <w:rPr>
                <w:sz w:val="18"/>
              </w:rPr>
              <w:t xml:space="preserve">) → locked for 15 min (</w:t>
            </w:r>
            <w:r>
              <w:rPr>
                <w:rStyle w:val="VerbatimChar"/>
                <w:sz w:val="18"/>
              </w:rPr>
              <w:t xml:space="preserve">LOCKOUT_MINUTES</w:t>
            </w:r>
            <w:r>
              <w:rPr>
                <w:sz w:val="18"/>
              </w:rPr>
              <w:t xml:space="preserve">), counting both password and TOTP failures; the lock is checked at both steps. Failures are audited. Unknown users get a timing-equalised response.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/api/users/:id/reset {unlock}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the service desk (not for one's own account).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identityService.login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verifyMfa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Per-request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verifyJwt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pins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alg=HS256</w:t>
            </w:r>
            <w:r>
              <w:rPr>
                <w:sz w:val="18"/>
              </w:rPr>
              <w:t xml:space="preserve">, uses a constant-time signature comparison and checks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exp</w:t>
            </w:r>
            <w:r>
              <w:rPr>
                <w:sz w:val="18"/>
              </w:rPr>
              <w:t xml:space="preserve">. The user is reloaded on every request. Tokens issued before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tokensValidAfter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(set on password change, MFA reset, and role, status or region change) are rejected.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jti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logout list is also checked.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identityService.authenticate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signed renewal link (</w:t>
            </w:r>
            <w:r>
              <w:rPr>
                <w:rStyle w:val="VerbatimChar"/>
                <w:sz w:val="18"/>
              </w:rPr>
              <w:t xml:space="preserve">&lt;profileId&gt;.&lt;expiry&gt;.&lt;MAC&gt;</w:t>
            </w:r>
            <w:r>
              <w:rPr>
                <w:sz w:val="18"/>
              </w:rPr>
              <w:t xml:space="preserve">, valid for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LINK_TTL_DAYS</w:t>
            </w:r>
            <w:r>
              <w:rPr>
                <w:sz w:val="18"/>
              </w:rPr>
              <w:t xml:space="preserve">, default 30) or, only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DEMO_MODE</w:t>
            </w:r>
            <w:r>
              <w:rPr>
                <w:sz w:val="18"/>
              </w:rPr>
              <w:t xml:space="preserve">, a profile id → customer JWT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aud=customer</w:t>
            </w:r>
            <w:r>
              <w:rPr>
                <w:sz w:val="18"/>
              </w:rPr>
              <w:t xml:space="preserve">, 1 h. Erased data subjects lose their sessions. Target: VETC SSO token exchange.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routes.js /api/customer/session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customerService.issueCustomerToken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X-Api-Key: tpk_&lt;24 random bytes&gt;</w:t>
            </w:r>
            <w:r>
              <w:rPr>
                <w:sz w:val="18"/>
              </w:rPr>
              <w:t xml:space="preserve">. Only the SHA-256 is stored, with a prefix for support. Revocable. The partner must be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active</w:t>
            </w:r>
            <w:r>
              <w:rPr>
                <w:sz w:val="18"/>
              </w:rPr>
              <w:t xml:space="preserve">. Key scopes (</w:t>
            </w:r>
            <w:r>
              <w:rPr>
                <w:rStyle w:val="VerbatimChar"/>
                <w:sz w:val="18"/>
              </w:rPr>
              <w:t xml:space="preserve">quote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purchase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policies:read</w:t>
            </w:r>
            <w:r>
              <w:rPr>
                <w:sz w:val="18"/>
              </w:rPr>
              <w:t xml:space="preserve">) are enforced per route.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partnerService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app.js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Password policy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12–128 characters (ASVS V2.1, length over complexity)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checkPasswordPolicy</w:t>
            </w:r>
          </w:p>
        </w:tc>
      </w:tr>
    </w:tbl>
    <w:p>
      <w:pPr>
        <w:pStyle w:val="BodyText"/>
      </w:pPr>
      <w:r>
        <w:rPr>
          <w:bCs/>
          <w:b/>
        </w:rPr>
        <w:t xml:space="preserve">Target state (phase 2)</w:t>
      </w:r>
    </w:p>
    <w:p>
      <w:pPr>
        <w:pStyle w:val="BodyText"/>
      </w:pPr>
      <w:r>
        <w:drawing>
          <wp:inline>
            <wp:extent cx="6119999" cy="270504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adr__ADR-007-authentication-identity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2705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t xml:space="preserve">Customers: the VETC app exchanges its SSO token for a platform customer token (RFC 8693 token exchange or a signed assertion). Only customers can pay; wallet debits follow VETC's in-app confirmation.</w:t>
      </w:r>
    </w:p>
    <w:p>
      <w:pPr>
        <w:numPr>
          <w:ilvl w:val="0"/>
          <w:numId w:val="1005"/>
        </w:numPr>
        <w:pStyle w:val="Compact"/>
      </w:pPr>
      <w:r>
        <w:t xml:space="preserve">Partners: OAuth2 client credentials carrying the same scopes, or mTLS at the gateway. API keys are retained only for small partners.</w:t>
      </w:r>
    </w:p>
    <w:bookmarkStart w:id="27" w:name="consequences"/>
    <w:p>
      <w:pPr>
        <w:pStyle w:val="Heading3"/>
      </w:pPr>
      <w:r>
        <w:t xml:space="preserve">Consequences</w:t>
      </w:r>
    </w:p>
    <w:p>
      <w:pPr>
        <w:numPr>
          <w:ilvl w:val="0"/>
          <w:numId w:val="1006"/>
        </w:numPr>
        <w:pStyle w:val="Compact"/>
      </w:pPr>
      <w:r>
        <w:t xml:space="preserve">Good: privileged roles are MFA-protected today with self-enrolment (no administrator ever handles a seed) and replay protection, and the principal contract is stable across the migration.</w:t>
      </w:r>
    </w:p>
    <w:p>
      <w:pPr>
        <w:numPr>
          <w:ilvl w:val="0"/>
          <w:numId w:val="1006"/>
        </w:numPr>
        <w:pStyle w:val="Compact"/>
      </w:pPr>
      <w:r>
        <w:t xml:space="preserve">Good: there is no session state on the server. Tokens are short-lived.</w:t>
      </w:r>
    </w:p>
    <w:p>
      <w:pPr>
        <w:numPr>
          <w:ilvl w:val="0"/>
          <w:numId w:val="1006"/>
        </w:numPr>
        <w:pStyle w:val="Compact"/>
      </w:pPr>
      <w:r>
        <w:t xml:space="preserve">Bad / gaps:</w:t>
      </w:r>
    </w:p>
    <w:p>
      <w:pPr>
        <w:numPr>
          <w:ilvl w:val="1"/>
          <w:numId w:val="1007"/>
        </w:numPr>
        <w:pStyle w:val="Compact"/>
      </w:pPr>
      <w:r>
        <w:t xml:space="preserve">HS256 uses one shared secret (</w:t>
      </w:r>
      <w:r>
        <w:rPr>
          <w:rStyle w:val="VerbatimChar"/>
        </w:rPr>
        <w:t xml:space="preserve">JWT_SECRET</w:t>
      </w:r>
      <w:r>
        <w:t xml:space="preserve">) for staff, customer and MFA tokens; they are separated only by</w:t>
      </w:r>
      <w:r>
        <w:t xml:space="preserve"> </w:t>
      </w:r>
      <w:r>
        <w:rPr>
          <w:rStyle w:val="VerbatimChar"/>
        </w:rPr>
        <w:t xml:space="preserve">aud</w:t>
      </w:r>
      <w:r>
        <w:t xml:space="preserve">. Any holder of the secret can mint any token. The target is asymmetric RS256/ES256 from the IdP.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The logout list is in-process, per replica.</w:t>
      </w:r>
      <w:r>
        <w:t xml:space="preserve"> </w:t>
      </w:r>
      <w:r>
        <w:t xml:space="preserve">Logout is only guaranteed on the replica that handled it, until the token expires (≤ 30 min). Credential, role and status changes are not affected, because</w:t>
      </w:r>
      <w:r>
        <w:t xml:space="preserve"> </w:t>
      </w:r>
      <w:r>
        <w:rPr>
          <w:rStyle w:val="VerbatimChar"/>
        </w:rPr>
        <w:t xml:space="preserve">tokensValidAfter</w:t>
      </w:r>
      <w:r>
        <w:t xml:space="preserve"> </w:t>
      </w:r>
      <w:r>
        <w:t xml:space="preserve">is persisted. The target is a shared denylist (Redis) or IdP session revocation.</w:t>
      </w:r>
    </w:p>
    <w:p>
      <w:pPr>
        <w:numPr>
          <w:ilvl w:val="1"/>
          <w:numId w:val="1007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mfaToken</w:t>
      </w:r>
      <w:r>
        <w:t xml:space="preserve"> </w:t>
      </w:r>
      <w:r>
        <w:t xml:space="preserve">is not single-use within its 5-minute life; the lockout and TOTP replay protection limit the impact.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bind it to a single-use nonce.</w:t>
      </w:r>
    </w:p>
    <w:p>
      <w:pPr>
        <w:numPr>
          <w:ilvl w:val="1"/>
          <w:numId w:val="1007"/>
        </w:numPr>
        <w:pStyle w:val="Compact"/>
      </w:pPr>
      <w:r>
        <w:t xml:space="preserve">Renewal links embed the plate key and are reusable until they expire.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a nonce and a pseudonymous id.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GET /api/demo/totp/:username</w:t>
      </w:r>
      <w:r>
        <w:t xml:space="preserve"> </w:t>
      </w:r>
      <w:r>
        <w:t xml:space="preserve">returns live TOTP codes when</w:t>
      </w:r>
      <w:r>
        <w:t xml:space="preserve"> </w:t>
      </w:r>
      <w:r>
        <w:rPr>
          <w:rStyle w:val="VerbatimChar"/>
        </w:rPr>
        <w:t xml:space="preserve">DEMO_MODE</w:t>
      </w:r>
      <w:r>
        <w:t xml:space="preserve"> </w:t>
      </w:r>
      <w:r>
        <w:t xml:space="preserve">is on.</w:t>
      </w:r>
      <w:r>
        <w:t xml:space="preserve"> </w:t>
      </w:r>
      <w:r>
        <w:rPr>
          <w:rStyle w:val="VerbatimChar"/>
        </w:rPr>
        <w:t xml:space="preserve">DEMO_MODE</w:t>
      </w:r>
      <w:r>
        <w:t xml:space="preserve"> </w:t>
      </w:r>
      <w:r>
        <w:t xml:space="preserve">is opt-in (default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 and refused in production; only the hosted UAT, with synthetic data, enables it.</w:t>
      </w:r>
    </w:p>
    <w:p>
      <w:pPr>
        <w:numPr>
          <w:ilvl w:val="0"/>
          <w:numId w:val="1006"/>
        </w:numPr>
        <w:pStyle w:val="Compact"/>
      </w:pPr>
      <w:r>
        <w:t xml:space="preserve">Resolved since the first issue: lock check in</w:t>
      </w:r>
      <w:r>
        <w:t xml:space="preserve"> </w:t>
      </w:r>
      <w:r>
        <w:rPr>
          <w:rStyle w:val="VerbatimChar"/>
        </w:rPr>
        <w:t xml:space="preserve">verifyMfa</w:t>
      </w:r>
      <w:r>
        <w:t xml:space="preserve">, TOTP replay protection, token revocation on password change, link expiry, partner scope enforcement, and administrator access to TOTP seeds (replaced by self-enrolment).</w:t>
      </w:r>
    </w:p>
    <w:bookmarkEnd w:id="27"/>
    <w:bookmarkEnd w:id="28"/>
    <w:bookmarkStart w:id="29" w:name="pros-and-cons-of-the-options"/>
    <w:p>
      <w:pPr>
        <w:pStyle w:val="Heading2"/>
      </w:pPr>
      <w:r>
        <w:t xml:space="preserve">Pros and cons of the options</w:t>
      </w:r>
    </w:p>
    <w:p>
      <w:pPr>
        <w:pStyle w:val="FirstParagraph"/>
      </w:pPr>
      <w:r>
        <w:rPr>
          <w:bCs/>
          <w:b/>
        </w:rPr>
        <w:t xml:space="preserve">IdP first.</w:t>
      </w:r>
      <w:r>
        <w:t xml:space="preserve"> </w:t>
      </w:r>
      <w:r>
        <w:t xml:space="preserve">The best end state. However, it would block the pilot on enterprise onboarding lead time.</w:t>
      </w:r>
    </w:p>
    <w:p>
      <w:pPr>
        <w:pStyle w:val="BodyText"/>
      </w:pPr>
      <w:r>
        <w:rPr>
          <w:bCs/>
          <w:b/>
        </w:rPr>
        <w:t xml:space="preserve">Cookie sessions.</w:t>
      </w:r>
      <w:r>
        <w:t xml:space="preserve"> </w:t>
      </w:r>
      <w:r>
        <w:t xml:space="preserve">Revocation is easy. However, they need sticky or shared session storage plus CSRF protections, and they suit partners and app embedding less well.</w:t>
      </w:r>
    </w:p>
    <w:bookmarkEnd w:id="29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4" Type="http://schemas.openxmlformats.org/officeDocument/2006/relationships/image" Target="media/rId24.png"/><Relationship Id="rId20" Type="http://schemas.openxmlformats.org/officeDocument/2006/relationships/hyperlink" Target="../security-architecture.pdf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../security-architectur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ADR-007: Authentication — local JWT + TOTP now; OIDC federation to the TASCO IdP as target</dc:title>
  <dc:creator>iorta TechNXT</dc:creator>
  <cp:keywords/>
  <dcterms:created xsi:type="dcterms:W3CDTF">2026-10-07T22:35:42Z</dcterms:created>
  <dcterms:modified xsi:type="dcterms:W3CDTF">2026-10-07T22:35:42Z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Architecture Decision Record</vt:lpwstr>
  </property>
</Properties>
</file>