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ADR-008: Hash-chained, append-only audit log</w:t>
      </w:r>
    </w:p>
    <w:p>
      <w:pPr>
        <w:pStyle w:val="Subtitle"/>
      </w:pPr>
      <w:r>
        <w:t xml:space="preserve">TASCO Insurance × VETC Growth Platform — Architecture Decision Record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ADR-008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Architecture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Accepted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ADR-003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Security Architecture</w:t>
        </w:r>
      </w:hyperlink>
      <w:r>
        <w:t xml:space="preserve">, section 12</w:t>
      </w:r>
    </w:p>
    <w:bookmarkStart w:id="22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Insurance regulators, TASCO internal audit and the DPO need to know who did what, when, and to which entity, with assurance that the record was not altered afterwards. This covers:</w:t>
      </w:r>
    </w:p>
    <w:p>
      <w:pPr>
        <w:numPr>
          <w:ilvl w:val="0"/>
          <w:numId w:val="1002"/>
        </w:numPr>
        <w:pStyle w:val="Compact"/>
      </w:pPr>
      <w:r>
        <w:t xml:space="preserve">rule approvals (tariffs, scripts, commission);</w:t>
      </w:r>
    </w:p>
    <w:p>
      <w:pPr>
        <w:numPr>
          <w:ilvl w:val="0"/>
          <w:numId w:val="1002"/>
        </w:numPr>
        <w:pStyle w:val="Compact"/>
      </w:pPr>
      <w:r>
        <w:t xml:space="preserve">logins and MFA failures;</w:t>
      </w:r>
    </w:p>
    <w:p>
      <w:pPr>
        <w:numPr>
          <w:ilvl w:val="0"/>
          <w:numId w:val="1002"/>
        </w:numPr>
        <w:pStyle w:val="Compact"/>
      </w:pPr>
      <w:r>
        <w:t xml:space="preserve">profile views with or without PII;</w:t>
      </w:r>
    </w:p>
    <w:p>
      <w:pPr>
        <w:numPr>
          <w:ilvl w:val="0"/>
          <w:numId w:val="1002"/>
        </w:numPr>
        <w:pStyle w:val="Compact"/>
      </w:pPr>
      <w:r>
        <w:t xml:space="preserve">consent changes and DSAR actions;</w:t>
      </w:r>
    </w:p>
    <w:p>
      <w:pPr>
        <w:numPr>
          <w:ilvl w:val="0"/>
          <w:numId w:val="1002"/>
        </w:numPr>
        <w:pStyle w:val="Compact"/>
      </w:pPr>
      <w:r>
        <w:t xml:space="preserve">orders and claim transitions;</w:t>
      </w:r>
    </w:p>
    <w:p>
      <w:pPr>
        <w:numPr>
          <w:ilvl w:val="0"/>
          <w:numId w:val="1002"/>
        </w:numPr>
        <w:pStyle w:val="Compact"/>
      </w:pPr>
      <w:r>
        <w:t xml:space="preserve">partner key issuance.</w:t>
      </w:r>
    </w:p>
    <w:p>
      <w:pPr>
        <w:pStyle w:val="FirstParagraph"/>
      </w:pPr>
      <w:r>
        <w:t xml:space="preserve">Ordinary application logs can be edited or deleted by anyone with access to the database or the log store.</w:t>
      </w:r>
    </w:p>
    <w:bookmarkEnd w:id="22"/>
    <w:bookmarkStart w:id="23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3"/>
        </w:numPr>
        <w:pStyle w:val="Compact"/>
      </w:pPr>
      <w:r>
        <w:t xml:space="preserve">Tampering must be detectable, not just prevented.</w:t>
      </w:r>
    </w:p>
    <w:p>
      <w:pPr>
        <w:numPr>
          <w:ilvl w:val="0"/>
          <w:numId w:val="1003"/>
        </w:numPr>
        <w:pStyle w:val="Compact"/>
      </w:pPr>
      <w:r>
        <w:t xml:space="preserve">The log must be append-only at the database level.</w:t>
      </w:r>
    </w:p>
    <w:p>
      <w:pPr>
        <w:numPr>
          <w:ilvl w:val="0"/>
          <w:numId w:val="1003"/>
        </w:numPr>
        <w:pStyle w:val="Compact"/>
      </w:pPr>
      <w:r>
        <w:t xml:space="preserve">Verification must be cheap and available to auditors in the product.</w:t>
      </w:r>
    </w:p>
    <w:p>
      <w:pPr>
        <w:numPr>
          <w:ilvl w:val="0"/>
          <w:numId w:val="1003"/>
        </w:numPr>
        <w:pStyle w:val="Compact"/>
      </w:pPr>
      <w:r>
        <w:t xml:space="preserve">No PII in audit details (ids only).</w:t>
      </w:r>
    </w:p>
    <w:bookmarkEnd w:id="23"/>
    <w:bookmarkStart w:id="24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Hash chain in Postgres</w:t>
      </w:r>
      <w:r>
        <w:t xml:space="preserve">: each entry stores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hash = SHA-256(canonical([prevHash, id, at, actor, action, entityType, entityId, details]))</w:t>
      </w:r>
      <w:r>
        <w:t xml:space="preserve">; a trigger forbids UPDATE and DELETE; appends are serialised with an advisory lock.</w:t>
      </w:r>
    </w:p>
    <w:p>
      <w:pPr>
        <w:numPr>
          <w:ilvl w:val="0"/>
          <w:numId w:val="1004"/>
        </w:numPr>
        <w:pStyle w:val="Compact"/>
      </w:pPr>
      <w:r>
        <w:t xml:space="preserve">Ship logs to SIEM / WORM storage only.</w:t>
      </w:r>
    </w:p>
    <w:p>
      <w:pPr>
        <w:numPr>
          <w:ilvl w:val="0"/>
          <w:numId w:val="1004"/>
        </w:numPr>
        <w:pStyle w:val="Compact"/>
      </w:pPr>
      <w:r>
        <w:t xml:space="preserve">Ledger database (Amazon QLDB, Azure Confidential Ledger) or blockchain.</w:t>
      </w:r>
    </w:p>
    <w:bookmarkEnd w:id="24"/>
    <w:bookmarkStart w:id="27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rPr>
          <w:bCs/>
          <w:b/>
        </w:rPr>
        <w:t xml:space="preserve">1</w:t>
      </w:r>
      <w:r>
        <w:t xml:space="preserve">, with the SIEM/WORM copy added as defence in depth (target).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auditChain.js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canonical()</w:t>
      </w:r>
      <w:r>
        <w:t xml:space="preserve"> </w:t>
      </w:r>
      <w:r>
        <w:t xml:space="preserve">serialises with recursively sorted keys, so hashes survive jsonb key reordering;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entryHash()</w:t>
      </w:r>
      <w:r>
        <w:t xml:space="preserve"> </w:t>
      </w:r>
      <w:r>
        <w:t xml:space="preserve">computes the entry hash;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verifyChain()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{ok, brokenAt, reason}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{ok, entries, head}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postgresStore.audit.append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pg_advisory_xact_lock(724001)</w:t>
      </w:r>
      <w:r>
        <w:t xml:space="preserve"> </w:t>
      </w:r>
      <w:r>
        <w:t xml:space="preserve">in a transaction, reads the last hash by</w:t>
      </w:r>
      <w:r>
        <w:t xml:space="preserve"> </w:t>
      </w:r>
      <w:r>
        <w:rPr>
          <w:rStyle w:val="VerbatimChar"/>
        </w:rPr>
        <w:t xml:space="preserve">seq</w:t>
      </w:r>
      <w:r>
        <w:t xml:space="preserve">, inserts the new entry and commits. The chain stays linear across replicas.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db/migrations/001_init.sql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table has</w:t>
      </w:r>
      <w:r>
        <w:t xml:space="preserve"> </w:t>
      </w:r>
      <w:r>
        <w:rPr>
          <w:rStyle w:val="VerbatimChar"/>
        </w:rPr>
        <w:t xml:space="preserve">seq bigserial</w:t>
      </w:r>
      <w:r>
        <w:t xml:space="preserve">, unique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 unique</w:t>
      </w:r>
      <w:r>
        <w:t xml:space="preserve"> </w:t>
      </w:r>
      <w:r>
        <w:rPr>
          <w:rStyle w:val="VerbatimChar"/>
        </w:rPr>
        <w:t xml:space="preserve">hash</w:t>
      </w:r>
      <w:r>
        <w:t xml:space="preserve">. Trigger</w:t>
      </w:r>
      <w:r>
        <w:t xml:space="preserve"> </w:t>
      </w:r>
      <w:r>
        <w:rPr>
          <w:rStyle w:val="VerbatimChar"/>
        </w:rPr>
        <w:t xml:space="preserve">trg_audit_log_immutable</w:t>
      </w:r>
      <w:r>
        <w:t xml:space="preserve"> </w:t>
      </w:r>
      <w:r>
        <w:t xml:space="preserve">raises on</w:t>
      </w:r>
      <w:r>
        <w:t xml:space="preserve"> </w:t>
      </w:r>
      <w:r>
        <w:rPr>
          <w:rStyle w:val="VerbatimChar"/>
        </w:rPr>
        <w:t xml:space="preserve">UPDATE OR DELETE</w:t>
      </w:r>
      <w:r>
        <w:t xml:space="preserve">.</w:t>
      </w:r>
      <w:r>
        <w:t xml:space="preserve"> </w:t>
      </w:r>
      <w:r>
        <w:rPr>
          <w:rStyle w:val="VerbatimChar"/>
        </w:rPr>
        <w:t xml:space="preserve">002_integrity_hardening.sql</w:t>
      </w:r>
      <w:r>
        <w:t xml:space="preserve"> </w:t>
      </w:r>
      <w:r>
        <w:t xml:space="preserve">adds the statement-level trigger</w:t>
      </w:r>
      <w:r>
        <w:t xml:space="preserve"> </w:t>
      </w:r>
      <w:r>
        <w:rPr>
          <w:rStyle w:val="VerbatimChar"/>
        </w:rPr>
        <w:t xml:space="preserve">trg_audit_log_no_truncate</w:t>
      </w:r>
      <w:r>
        <w:t xml:space="preserve">, which raises on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(test databases can bypass it only with a per-session setting).</w:t>
      </w:r>
    </w:p>
    <w:p>
      <w:pPr>
        <w:numPr>
          <w:ilvl w:val="0"/>
          <w:numId w:val="1005"/>
        </w:numPr>
        <w:pStyle w:val="Compact"/>
      </w:pPr>
      <w:r>
        <w:t xml:space="preserve">API:</w:t>
      </w:r>
      <w:r>
        <w:t xml:space="preserve"> </w:t>
      </w:r>
      <w:r>
        <w:rPr>
          <w:rStyle w:val="VerbatimChar"/>
        </w:rPr>
        <w:t xml:space="preserve">GET /api/audit</w:t>
      </w:r>
      <w:r>
        <w:t xml:space="preserve"> </w:t>
      </w:r>
      <w:r>
        <w:t xml:space="preserve">(search),</w:t>
      </w:r>
      <w:r>
        <w:t xml:space="preserve"> </w:t>
      </w:r>
      <w:r>
        <w:rPr>
          <w:rStyle w:val="VerbatimChar"/>
        </w:rPr>
        <w:t xml:space="preserve">GET /api/audit/verify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/api/dashboard/governance</w:t>
      </w:r>
      <w:r>
        <w:t xml:space="preserve"> </w:t>
      </w:r>
      <w:r>
        <w:t xml:space="preserve">includes the chain status. Permission:</w:t>
      </w:r>
      <w:r>
        <w:t xml:space="preserve"> </w:t>
      </w:r>
      <w:r>
        <w:rPr>
          <w:rStyle w:val="VerbatimChar"/>
        </w:rPr>
        <w:t xml:space="preserve">audit:read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auditService</w:t>
      </w:r>
      <w:r>
        <w:t xml:space="preserve"> </w:t>
      </w:r>
      <w:r>
        <w:t xml:space="preserve">writes ids only. Details carry ids, counts, reasons and checksums, never names or phones. Login records include the client IP.</w:t>
      </w:r>
    </w:p>
    <w:bookmarkStart w:id="26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7"/>
        </w:numPr>
        <w:pStyle w:val="Compact"/>
      </w:pPr>
      <w:r>
        <w:t xml:space="preserve">Good: editing or deleting any row breaks verification at that index. Inserting a forged row requires recomputing every later hash, which is detectable against an external anchor (below).</w:t>
      </w:r>
    </w:p>
    <w:p>
      <w:pPr>
        <w:numPr>
          <w:ilvl w:val="0"/>
          <w:numId w:val="1007"/>
        </w:numPr>
        <w:pStyle w:val="Compact"/>
      </w:pPr>
      <w:r>
        <w:t xml:space="preserve">Good: both stores share the same code, so the property is tested in unit tests.</w:t>
      </w:r>
    </w:p>
    <w:p>
      <w:pPr>
        <w:numPr>
          <w:ilvl w:val="0"/>
          <w:numId w:val="1007"/>
        </w:numPr>
        <w:pStyle w:val="Compact"/>
      </w:pPr>
      <w:r>
        <w:t xml:space="preserve">Bad / gaps: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Database roles.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path is now blocked by a trigger, but the table owner can still disable triggers. In production the application DB role must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own the table and must not hold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ALTER</w:t>
      </w:r>
      <w:r>
        <w:t xml:space="preserve">/</w:t>
      </w:r>
      <w:r>
        <w:rPr>
          <w:rStyle w:val="VerbatimChar"/>
        </w:rPr>
        <w:t xml:space="preserve">DISABLE TRIGGER</w:t>
      </w:r>
      <w:r>
        <w:t xml:space="preserve">. Use a separate migration/owner role, and grant the app role</w:t>
      </w:r>
      <w:r>
        <w:t xml:space="preserve"> </w:t>
      </w:r>
      <w:r>
        <w:rPr>
          <w:rStyle w:val="VerbatimChar"/>
        </w:rPr>
        <w:t xml:space="preserve">INSERT, SELECT</w:t>
      </w:r>
      <w:r>
        <w:t xml:space="preserve"> </w:t>
      </w:r>
      <w:r>
        <w:t xml:space="preserve">only on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on its sequence).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Whole-chain truncation or rewrite by a DB superuser is undetectable from inside the DB.</w:t>
      </w:r>
      <w:r>
        <w:t xml:space="preserve"> </w:t>
      </w:r>
      <w:r>
        <w:rPr>
          <w:bCs/>
          <w:b/>
        </w:rPr>
        <w:t xml:space="preserve">Target:</w:t>
      </w:r>
      <w:r>
        <w:t xml:space="preserve"> </w:t>
      </w:r>
      <w:r>
        <w:t xml:space="preserve">anchor the head hash every hour to an external WORM store (object lock / SIEM).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then checks against the last anchor.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Cost of verification.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 </w:t>
      </w:r>
      <w:r>
        <w:t xml:space="preserve">loads the whole table and runs on every governance dashboard request. At millions of rows this must become</w:t>
      </w:r>
      <w:r>
        <w:t xml:space="preserve"> </w:t>
      </w:r>
      <w:r>
        <w:rPr>
          <w:bCs/>
          <w:b/>
        </w:rPr>
        <w:t xml:space="preserve">incremental</w:t>
      </w:r>
      <w:r>
        <w:t xml:space="preserve">: store verified checkpoints</w:t>
      </w:r>
      <w:r>
        <w:t xml:space="preserve"> </w:t>
      </w:r>
      <w:r>
        <w:rPr>
          <w:rStyle w:val="VerbatimChar"/>
        </w:rPr>
        <w:t xml:space="preserve">(seq, hash)</w:t>
      </w:r>
      <w:r>
        <w:t xml:space="preserve"> </w:t>
      </w:r>
      <w:r>
        <w:t xml:space="preserve">and verify from the last checkpoint only.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Throughput.</w:t>
      </w:r>
      <w:r>
        <w:t xml:space="preserve"> </w:t>
      </w:r>
      <w:r>
        <w:t xml:space="preserve">A global advisory lock serialises appends. That is fine for current audit points; if needed, move to per-partition chains or periodic Merkle roots.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Audit writes are not in the same transaction as the business change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ADR-004</w:t>
        </w:r>
      </w:hyperlink>
      <w:r>
        <w:t xml:space="preserve"> </w:t>
      </w:r>
      <w:r>
        <w:t xml:space="preserve">gap). A crash can leave a change without its audit entry.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Retention:</w:t>
      </w:r>
      <w:r>
        <w:t xml:space="preserve"> </w:t>
      </w:r>
      <w:r>
        <w:t xml:space="preserve">10 years, archive and never delete early (</w:t>
      </w:r>
      <w:r>
        <w:rPr>
          <w:rStyle w:val="VerbatimChar"/>
        </w:rPr>
        <w:t xml:space="preserve">config/rules/retention.json</w:t>
      </w:r>
      <w:r>
        <w:t xml:space="preserve">). The archival pipeline is planned.</w:t>
      </w:r>
    </w:p>
    <w:bookmarkEnd w:id="26"/>
    <w:bookmarkEnd w:id="27"/>
    <w:bookmarkStart w:id="28" w:name="pros-and-cons-of-the-options"/>
    <w:p>
      <w:pPr>
        <w:pStyle w:val="Heading2"/>
      </w:pPr>
      <w:r>
        <w:t xml:space="preserve">Pros and cons of the options</w:t>
      </w:r>
    </w:p>
    <w:p>
      <w:pPr>
        <w:pStyle w:val="FirstParagraph"/>
      </w:pPr>
      <w:r>
        <w:rPr>
          <w:bCs/>
          <w:b/>
        </w:rPr>
        <w:t xml:space="preserve">SIEM/WORM only.</w:t>
      </w:r>
      <w:r>
        <w:t xml:space="preserve"> </w:t>
      </w:r>
      <w:r>
        <w:t xml:space="preserve">Strong retention. However, it is not queryable in-product, and integrity depends on a separate system.</w:t>
      </w:r>
    </w:p>
    <w:p>
      <w:pPr>
        <w:pStyle w:val="BodyText"/>
      </w:pPr>
      <w:r>
        <w:rPr>
          <w:bCs/>
          <w:b/>
        </w:rPr>
        <w:t xml:space="preserve">Ledger DB / blockchain.</w:t>
      </w:r>
      <w:r>
        <w:t xml:space="preserve"> </w:t>
      </w:r>
      <w:r>
        <w:t xml:space="preserve">Strong cryptographic guarantees. However, it adds a new vendor or runtime and data-residency questions in Vietnam (</w:t>
      </w:r>
      <w:r>
        <w:rPr>
          <w:bCs/>
          <w:b/>
        </w:rPr>
        <w:t xml:space="preserve">confirm with TASCO legal</w:t>
      </w:r>
      <w:r>
        <w:t xml:space="preserve">), and it is unnecessary at this scale.</w:t>
      </w:r>
    </w:p>
    <w:bookmarkEnd w:id="28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hyperlink" Target="../security-architecture.pdf" TargetMode="External"/><Relationship Id="rId20" Type="http://schemas.openxmlformats.org/officeDocument/2006/relationships/hyperlink" Target="ADR-003-rules-engine-maker-checker.pdf" TargetMode="External"/><Relationship Id="rId25" Type="http://schemas.openxmlformats.org/officeDocument/2006/relationships/hyperlink" Target="ADR-004-persistence.pdf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./security-architecture.pdf" TargetMode="External"/><Relationship Id="rId20" Type="http://schemas.openxmlformats.org/officeDocument/2006/relationships/hyperlink" Target="ADR-003-rules-engine-maker-checker.pdf" TargetMode="External"/><Relationship Id="rId25" Type="http://schemas.openxmlformats.org/officeDocument/2006/relationships/hyperlink" Target="ADR-004-persistenc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ADR-008: Hash-chained, append-only audit log</dc:title>
  <dc:creator>iorta TechNXT</dc:creator>
  <cp:keywords/>
  <dcterms:created xsi:type="dcterms:W3CDTF">2026-10-07T22:35:42Z</dcterms:created>
  <dcterms:modified xsi:type="dcterms:W3CDTF">2026-10-07T22:35:42Z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 Decision Record</vt:lpwstr>
  </property>
</Properties>
</file>