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ADR-010: API-first route table that generates OpenAPI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ADR-010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Accepted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ADR-002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Integration Architecture</w:t>
        </w:r>
      </w:hyperlink>
      <w:r>
        <w:t xml:space="preserve">, section 5,</w:t>
      </w:r>
      <w:r>
        <w:t xml:space="preserve"> </w:t>
      </w:r>
      <w:hyperlink r:id="rId22">
        <w:r>
          <w:rPr>
            <w:rStyle w:val="Hyperlink"/>
          </w:rPr>
          <w:t xml:space="preserve">Security Architecture</w:t>
        </w:r>
      </w:hyperlink>
      <w:r>
        <w:t xml:space="preserve">, section 6</w:t>
      </w:r>
    </w:p>
    <w:bookmarkStart w:id="23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Many consumers depend on the API:</w:t>
      </w:r>
    </w:p>
    <w:p>
      <w:pPr>
        <w:numPr>
          <w:ilvl w:val="0"/>
          <w:numId w:val="1002"/>
        </w:numPr>
        <w:pStyle w:val="Compact"/>
      </w:pPr>
      <w:r>
        <w:t xml:space="preserve">the console SPA and the customer app;</w:t>
      </w:r>
    </w:p>
    <w:p>
      <w:pPr>
        <w:numPr>
          <w:ilvl w:val="0"/>
          <w:numId w:val="1002"/>
        </w:numPr>
        <w:pStyle w:val="Compact"/>
      </w:pPr>
      <w:r>
        <w:t xml:space="preserve">partners (banks, showrooms, agents, fleets, inspection centres) integrating server to server;</w:t>
      </w:r>
    </w:p>
    <w:p>
      <w:pPr>
        <w:numPr>
          <w:ilvl w:val="0"/>
          <w:numId w:val="1002"/>
        </w:numPr>
        <w:pStyle w:val="Compact"/>
      </w:pPr>
      <w:r>
        <w:t xml:space="preserve">VETC and TASCO integration teams;</w:t>
      </w:r>
    </w:p>
    <w:p>
      <w:pPr>
        <w:numPr>
          <w:ilvl w:val="0"/>
          <w:numId w:val="1002"/>
        </w:numPr>
        <w:pStyle w:val="Compact"/>
      </w:pPr>
      <w:r>
        <w:t xml:space="preserve">security testers (DAST needs a spec).</w:t>
      </w:r>
    </w:p>
    <w:p>
      <w:pPr>
        <w:pStyle w:val="FirstParagraph"/>
      </w:pPr>
      <w:r>
        <w:t xml:space="preserve">API documentation that drifts from code causes integration defects and security blind spots, such as undocumented endpoints or missing auth.</w:t>
      </w:r>
    </w:p>
    <w:bookmarkEnd w:id="23"/>
    <w:bookmarkStart w:id="24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One source of truth for path, method, authentication, permission and input schema.</w:t>
      </w:r>
    </w:p>
    <w:p>
      <w:pPr>
        <w:numPr>
          <w:ilvl w:val="0"/>
          <w:numId w:val="1003"/>
        </w:numPr>
        <w:pStyle w:val="Compact"/>
      </w:pPr>
      <w:r>
        <w:t xml:space="preserve">Authorisation must be impossible to forget on a new route.</w:t>
      </w:r>
    </w:p>
    <w:p>
      <w:pPr>
        <w:numPr>
          <w:ilvl w:val="0"/>
          <w:numId w:val="1003"/>
        </w:numPr>
        <w:pStyle w:val="Compact"/>
      </w:pPr>
      <w:r>
        <w:t xml:space="preserve">The published contract must match actual behaviour.</w:t>
      </w:r>
    </w:p>
    <w:bookmarkEnd w:id="24"/>
    <w:bookmarkStart w:id="25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Routes as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src/adapters/http/routes.js</w:t>
      </w:r>
      <w:r>
        <w:t xml:space="preserve">). Each entry declares</w:t>
      </w:r>
      <w:r>
        <w:t xml:space="preserve"> </w:t>
      </w:r>
      <w:r>
        <w:rPr>
          <w:rStyle w:val="VerbatimChar"/>
        </w:rPr>
        <w:t xml:space="preserve">method, path, auth, perm, scope, body, query, idempotent, loginLimited, demoOnly, rateCost, tag, summary, handler</w:t>
      </w:r>
      <w:r>
        <w:t xml:space="preserve">. The same table drives the router, the pipeline (auth → RBAC → validation) and</w:t>
      </w:r>
      <w:r>
        <w:t xml:space="preserve"> </w:t>
      </w:r>
      <w:r>
        <w:rPr>
          <w:rStyle w:val="VerbatimChar"/>
        </w:rPr>
        <w:t xml:space="preserve">openapi.js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Design-first OpenAPI YAML with code generation.</w:t>
      </w:r>
    </w:p>
    <w:p>
      <w:pPr>
        <w:numPr>
          <w:ilvl w:val="0"/>
          <w:numId w:val="1004"/>
        </w:numPr>
        <w:pStyle w:val="Compact"/>
      </w:pPr>
      <w:r>
        <w:t xml:space="preserve">Framework annotations / decorators.</w:t>
      </w:r>
    </w:p>
    <w:bookmarkEnd w:id="25"/>
    <w:bookmarkStart w:id="27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app.js</w:t>
      </w:r>
      <w:r>
        <w:t xml:space="preserve"> </w:t>
      </w:r>
      <w:r>
        <w:t xml:space="preserve">enforces each declaration in order:</w:t>
      </w:r>
    </w:p>
    <w:p>
      <w:pPr>
        <w:numPr>
          <w:ilvl w:val="1"/>
          <w:numId w:val="1006"/>
        </w:numPr>
        <w:pStyle w:val="Compact"/>
      </w:pPr>
      <w:r>
        <w:t xml:space="preserve">rate limit;</w:t>
      </w:r>
    </w:p>
    <w:p>
      <w:pPr>
        <w:numPr>
          <w:ilvl w:val="1"/>
          <w:numId w:val="1006"/>
        </w:numPr>
        <w:pStyle w:val="Compact"/>
      </w:pPr>
      <w:r>
        <w:t xml:space="preserve">body read (1 MiB cap,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only, objects only); malformed path parameters return 400;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authenticate(route.auth)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access.require(perm)</w:t>
      </w:r>
      <w:r>
        <w:t xml:space="preserve">, plus the partner key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where declared;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validate(query/body)</w:t>
      </w:r>
      <w:r>
        <w:t xml:space="preserve">, which rejects unknown fields;</w:t>
      </w:r>
    </w:p>
    <w:p>
      <w:pPr>
        <w:numPr>
          <w:ilvl w:val="1"/>
          <w:numId w:val="1006"/>
        </w:numPr>
        <w:pStyle w:val="Compact"/>
      </w:pPr>
      <w:r>
        <w:t xml:space="preserve">the Idempotency-Key format check;</w:t>
      </w:r>
    </w:p>
    <w:p>
      <w:pPr>
        <w:numPr>
          <w:ilvl w:val="1"/>
          <w:numId w:val="1006"/>
        </w:numPr>
        <w:pStyle w:val="Compact"/>
      </w:pPr>
      <w:r>
        <w:t xml:space="preserve">the handler.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openapi.js</w:t>
      </w:r>
      <w:r>
        <w:t xml:space="preserve"> </w:t>
      </w:r>
      <w:r>
        <w:t xml:space="preserve">emits OpenAPI 3.1: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security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bearerAuth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partnerApiKey</w:t>
      </w:r>
      <w:r>
        <w:t xml:space="preserve">),</w:t>
      </w:r>
      <w:r>
        <w:t xml:space="preserve"> </w:t>
      </w:r>
      <w:r>
        <w:rPr>
          <w:rStyle w:val="VerbatimChar"/>
        </w:rPr>
        <w:t xml:space="preserve">x-permission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x-audience</w:t>
      </w:r>
      <w:r>
        <w:t xml:space="preserve"> </w:t>
      </w:r>
      <w:r>
        <w:t xml:space="preserve">per operation;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additionalProperties: false</w:t>
      </w:r>
      <w:r>
        <w:t xml:space="preserve"> </w:t>
      </w:r>
      <w:r>
        <w:t xml:space="preserve">request schemas, plus the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where required;</w:t>
      </w:r>
    </w:p>
    <w:p>
      <w:pPr>
        <w:numPr>
          <w:ilvl w:val="1"/>
          <w:numId w:val="1007"/>
        </w:numPr>
        <w:pStyle w:val="Compact"/>
      </w:pPr>
      <w:r>
        <w:t xml:space="preserve">a uniform error schema</w:t>
      </w:r>
      <w:r>
        <w:t xml:space="preserve"> </w:t>
      </w:r>
      <w:r>
        <w:rPr>
          <w:rStyle w:val="VerbatimChar"/>
        </w:rPr>
        <w:t xml:space="preserve">{error: {code, message, details, requestId}}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spec is served at</w:t>
      </w:r>
      <w:r>
        <w:t xml:space="preserve"> </w:t>
      </w:r>
      <w:r>
        <w:rPr>
          <w:rStyle w:val="VerbatimChar"/>
        </w:rPr>
        <w:t xml:space="preserve">/api/openapi.json</w:t>
      </w:r>
      <w:r>
        <w:t xml:space="preserve"> </w:t>
      </w:r>
      <w:r>
        <w:t xml:space="preserve">and written to</w:t>
      </w:r>
      <w:r>
        <w:t xml:space="preserve"> </w:t>
      </w:r>
      <w:r>
        <w:rPr>
          <w:rStyle w:val="VerbatimChar"/>
        </w:rPr>
        <w:t xml:space="preserve">docs/api/openapi.json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npm run job -- openapi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There are 80 operations: 6 public, 60 staff, 10 customer and 4 partner. Every non-public route requires authentication. Staff routes declare</w:t>
      </w:r>
      <w:r>
        <w:t xml:space="preserve"> </w:t>
      </w:r>
      <w:r>
        <w:rPr>
          <w:rStyle w:val="VerbatimChar"/>
        </w:rPr>
        <w:t xml:space="preserve">perm</w:t>
      </w:r>
      <w:r>
        <w:t xml:space="preserve">, except</w:t>
      </w:r>
      <w:r>
        <w:t xml:space="preserve"> </w:t>
      </w:r>
      <w:r>
        <w:rPr>
          <w:rStyle w:val="VerbatimChar"/>
        </w:rPr>
        <w:t xml:space="preserve">auth/logout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auth/password</w:t>
      </w:r>
      <w:r>
        <w:t xml:space="preserve">, which are self-service.</w:t>
      </w:r>
    </w:p>
    <w:bookmarkStart w:id="26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8"/>
        </w:numPr>
        <w:pStyle w:val="Compact"/>
      </w:pPr>
      <w:r>
        <w:t xml:space="preserve">Good: the contract cannot drift, and DAST (ZAP) can import the generated spec in CI.</w:t>
      </w:r>
    </w:p>
    <w:p>
      <w:pPr>
        <w:numPr>
          <w:ilvl w:val="0"/>
          <w:numId w:val="1008"/>
        </w:numPr>
        <w:pStyle w:val="Compact"/>
      </w:pPr>
      <w:r>
        <w:t xml:space="preserve">Good: security review is simple. A reviewer reads one table to see every endpoint's exposure.</w:t>
      </w:r>
    </w:p>
    <w:p>
      <w:pPr>
        <w:numPr>
          <w:ilvl w:val="0"/>
          <w:numId w:val="1008"/>
        </w:numPr>
        <w:pStyle w:val="Compact"/>
      </w:pPr>
      <w:r>
        <w:t xml:space="preserve">Bad:</w:t>
      </w:r>
      <w:r>
        <w:t xml:space="preserve"> </w:t>
      </w:r>
      <w:r>
        <w:rPr>
          <w:bCs/>
          <w:b/>
        </w:rPr>
        <w:t xml:space="preserve">response schemas are generic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type: object</w:t>
      </w:r>
      <w:r>
        <w:t xml:space="preserve">).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 optional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schemas per route for partner-facing endpoints first.</w:t>
      </w:r>
    </w:p>
    <w:p>
      <w:pPr>
        <w:numPr>
          <w:ilvl w:val="0"/>
          <w:numId w:val="1008"/>
        </w:numPr>
        <w:pStyle w:val="Compact"/>
      </w:pPr>
      <w:r>
        <w:t xml:space="preserve">Bad: ABAC checks and ownership checks live inside handlers or services and are not visible in the table. Examples:</w:t>
      </w:r>
      <w:r>
        <w:t xml:space="preserve"> </w:t>
      </w:r>
      <w:r>
        <w:rPr>
          <w:rStyle w:val="VerbatimChar"/>
        </w:rPr>
        <w:t xml:space="preserve">quote.partnerId === principal.partnerId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access.check(...)</w:t>
      </w:r>
      <w:r>
        <w:t xml:space="preserve">.</w:t>
      </w:r>
      <w:r>
        <w:t xml:space="preserve"> </w:t>
      </w:r>
      <w:r>
        <w:rPr>
          <w:bCs/>
          <w:b/>
        </w:rPr>
        <w:t xml:space="preserve">Fix:</w:t>
      </w:r>
      <w:r>
        <w:t xml:space="preserve"> </w:t>
      </w:r>
      <w:r>
        <w:t xml:space="preserve">add a declarative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/</w:t>
      </w:r>
      <w:r>
        <w:rPr>
          <w:rStyle w:val="VerbatimChar"/>
        </w:rPr>
        <w:t xml:space="preserve">abac</w:t>
      </w:r>
      <w:r>
        <w:t xml:space="preserve"> </w:t>
      </w:r>
      <w:r>
        <w:t xml:space="preserve">field so the review checklist covers them.</w:t>
      </w:r>
    </w:p>
    <w:p>
      <w:pPr>
        <w:numPr>
          <w:ilvl w:val="0"/>
          <w:numId w:val="1008"/>
        </w:numPr>
        <w:pStyle w:val="Compac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/api/openapi.json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/api/meta</w:t>
      </w:r>
      <w:r>
        <w:t xml:space="preserve"> </w:t>
      </w:r>
      <w:r>
        <w:t xml:space="preserve">are public. The spec reveals the staff API surface. This is acceptable (no security through obscurity), but the production ingress may restrict the spec to internal networks.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API versioning:</w:t>
      </w:r>
      <w:r>
        <w:t xml:space="preserve"> </w:t>
      </w:r>
      <w:r>
        <w:t xml:space="preserve">the partner API is versioned in the path (</w:t>
      </w:r>
      <w:r>
        <w:rPr>
          <w:rStyle w:val="VerbatimChar"/>
        </w:rPr>
        <w:t xml:space="preserve">/api/partner/v1</w:t>
      </w:r>
      <w:r>
        <w:t xml:space="preserve">). Internal APIs are versioned with the SPA (same deployable). Breaking partner changes require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running alongside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for at least 6 months.</w:t>
      </w:r>
    </w:p>
    <w:bookmarkEnd w:id="26"/>
    <w:bookmarkEnd w:id="27"/>
    <w:bookmarkStart w:id="28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Design-first YAML.</w:t>
      </w:r>
      <w:r>
        <w:t xml:space="preserve"> </w:t>
      </w:r>
      <w:r>
        <w:t xml:space="preserve">Strong for external contracts. However, there are two artefacts to keep in sync, unless code generation adds dependencies.</w:t>
      </w:r>
    </w:p>
    <w:p>
      <w:pPr>
        <w:pStyle w:val="BodyText"/>
      </w:pPr>
      <w:r>
        <w:rPr>
          <w:bCs/>
          <w:b/>
        </w:rPr>
        <w:t xml:space="preserve">Annotations.</w:t>
      </w:r>
      <w:r>
        <w:t xml:space="preserve"> </w:t>
      </w:r>
      <w:r>
        <w:t xml:space="preserve">Concise. However, they need a framework, which conflicts with</w:t>
      </w:r>
      <w:r>
        <w:t xml:space="preserve"> </w:t>
      </w:r>
      <w:hyperlink r:id="rId20">
        <w:r>
          <w:rPr>
            <w:rStyle w:val="Hyperlink"/>
          </w:rPr>
          <w:t xml:space="preserve">ADR-002</w:t>
        </w:r>
      </w:hyperlink>
      <w:r>
        <w:t xml:space="preserve">.</w:t>
      </w:r>
    </w:p>
    <w:bookmarkEnd w:id="28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../integration-architecture.pdf" TargetMode="External"/><Relationship Id="rId22" Type="http://schemas.openxmlformats.org/officeDocument/2006/relationships/hyperlink" Target="../security-architecture.pdf" TargetMode="External"/><Relationship Id="rId20" Type="http://schemas.openxmlformats.org/officeDocument/2006/relationships/hyperlink" Target="ADR-002-nodejs-minimal-dependencies.pdf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integration-architecture.pdf" TargetMode="External"/><Relationship Id="rId22" Type="http://schemas.openxmlformats.org/officeDocument/2006/relationships/hyperlink" Target="../security-architecture.pdf" TargetMode="External"/><Relationship Id="rId20" Type="http://schemas.openxmlformats.org/officeDocument/2006/relationships/hyperlink" Target="ADR-002-nodejs-minimal-dependenci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ADR-010: API-first route table that generates OpenAPI</dc:title>
  <dc:creator>iorta TechNXT</dc:creator>
  <cp:keywords/>
  <dcterms:created xsi:type="dcterms:W3CDTF">2026-10-07T22:35:43Z</dcterms:created>
  <dcterms:modified xsi:type="dcterms:W3CDTF">2026-10-07T22:35:43Z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