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ADR-012: Deployment — containers; Kubernetes as primary target; Railway for pilots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ADR-012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Accepted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Deployment and Infrastructure Architecture</w:t>
        </w:r>
      </w:hyperlink>
    </w:p>
    <w:bookmarkStart w:id="21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TASCO and VETC need production hosting that meets insurer InfoSec requirements: network segmentation, secrets management, HA, audit, and data residency in Vietnam (</w:t>
      </w:r>
      <w:r>
        <w:rPr>
          <w:bCs/>
          <w:b/>
        </w:rPr>
        <w:t xml:space="preserve">confirm with TASCO legal</w:t>
      </w:r>
      <w:r>
        <w:t xml:space="preserve">: Cybersecurity Law 2018 and Decree 53/2022/ND-CP data localisation; Decree 13/2023 and the PDP Law on cross-border transfer). For pilots and stakeholder demos, a low-friction PaaS is valuable. The same artefact must run in both places.</w:t>
      </w:r>
    </w:p>
    <w:bookmarkEnd w:id="21"/>
    <w:bookmarkStart w:id="22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2"/>
        </w:numPr>
        <w:pStyle w:val="Compact"/>
      </w:pPr>
      <w:r>
        <w:t xml:space="preserve">Build once and run anywhere: dev laptop, CI, PaaS, Kubernetes.</w:t>
      </w:r>
    </w:p>
    <w:p>
      <w:pPr>
        <w:numPr>
          <w:ilvl w:val="0"/>
          <w:numId w:val="1002"/>
        </w:numPr>
        <w:pStyle w:val="Compact"/>
      </w:pPr>
      <w:r>
        <w:t xml:space="preserve">Non-root, read-only, minimal images.</w:t>
      </w:r>
    </w:p>
    <w:p>
      <w:pPr>
        <w:numPr>
          <w:ilvl w:val="0"/>
          <w:numId w:val="1002"/>
        </w:numPr>
        <w:pStyle w:val="Compact"/>
      </w:pPr>
      <w:r>
        <w:t xml:space="preserve">Horizontal scaling and zero-downtime deploys.</w:t>
      </w:r>
    </w:p>
    <w:p>
      <w:pPr>
        <w:numPr>
          <w:ilvl w:val="0"/>
          <w:numId w:val="1002"/>
        </w:numPr>
        <w:pStyle w:val="Compact"/>
      </w:pPr>
      <w:r>
        <w:t xml:space="preserve">Portability between Vietnamese cloud providers (e.g. Viettel IDC, FPT Cloud, VNPT) and hyperscalers with a Vietnam presence.</w:t>
      </w:r>
    </w:p>
    <w:bookmarkEnd w:id="22"/>
    <w:bookmarkStart w:id="23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OCI container (multi-stage,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node:22-alpine</w:t>
      </w:r>
      <w:r>
        <w:rPr>
          <w:bCs/>
          <w:b/>
        </w:rPr>
        <w:t xml:space="preserve">, non-root) → Kubernetes (primary) with Kustomize manifests; Railway for pilots; docker-compose for local.</w:t>
      </w:r>
    </w:p>
    <w:p>
      <w:pPr>
        <w:numPr>
          <w:ilvl w:val="0"/>
          <w:numId w:val="1003"/>
        </w:numPr>
        <w:pStyle w:val="Compact"/>
      </w:pPr>
      <w:r>
        <w:t xml:space="preserve">VMs with systemd + Ansible.</w:t>
      </w:r>
    </w:p>
    <w:p>
      <w:pPr>
        <w:numPr>
          <w:ilvl w:val="0"/>
          <w:numId w:val="1003"/>
        </w:numPr>
        <w:pStyle w:val="Compact"/>
      </w:pPr>
      <w:r>
        <w:t xml:space="preserve">Serverless functions.</w:t>
      </w:r>
    </w:p>
    <w:bookmarkEnd w:id="23"/>
    <w:bookmarkStart w:id="26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Asset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Dockerfile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Multi-stage. Production dependencies only (</w:t>
            </w:r>
            <w:r>
              <w:rPr>
                <w:rStyle w:val="VerbatimChar"/>
                <w:sz w:val="18"/>
              </w:rPr>
              <w:t xml:space="preserve">npm ci --omit=dev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node:22-alpine</w:t>
            </w:r>
            <w:r>
              <w:rPr>
                <w:sz w:val="18"/>
              </w:rPr>
              <w:t xml:space="preserve">, runs as the image's non-root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user (uid 1000) with no init process (no tini),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NODE_ENV=production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PORT=8080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CMD node src/server.js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docker-compose.yml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 app (port 8080) + PostgreSQL 16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deploy/k8s/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Namespace, Deployment (probes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/health/live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/health/ready</w:t>
            </w:r>
            <w:r>
              <w:rPr>
                <w:sz w:val="18"/>
              </w:rPr>
              <w:t xml:space="preserve">, requests/limits,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securityContext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readOnlyRootFilesystem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runAsNonRoot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runAsUser: 1000</w:t>
            </w:r>
            <w:r>
              <w:rPr>
                <w:sz w:val="18"/>
              </w:rPr>
              <w:t xml:space="preserve">, dropped capabilities), Service, Ingress (TLS, WAF, edge rate limit), HPA, PDB, NetworkPolicy, CronJobs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60-jobs.yaml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(journeys, recompute, reconcile, retention, relay), migration Job, ExternalSecret, ConfigMap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railway.json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UAT and pilot deploy (Dockerfile builder, pre-deploy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migrate</w:t>
            </w:r>
            <w:r>
              <w:rPr>
                <w:sz w:val="18"/>
              </w:rPr>
              <w:t xml:space="preserve">, health check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/health/ready</w:t>
            </w:r>
            <w:r>
              <w:rPr>
                <w:sz w:val="18"/>
              </w:rPr>
              <w:t xml:space="preserve">, 2 replicas). The hosted UAT is live at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https://tasco-growth-api-uat.up.railway.app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Lint → tests with coverage gate and OpenAPI drift check → PostgreSQL tests → performance smoke → CodeQL → npm audit, dependency review and gitleaks → image build → Trivy → SBOM → ZAP baseline</w:t>
            </w:r>
          </w:p>
        </w:tc>
      </w:tr>
    </w:tbl>
    <w:p>
      <w:pPr>
        <w:pStyle w:val="BodyText"/>
      </w:pPr>
      <w:r>
        <w:t xml:space="preserve">Application properties that make this work:</w:t>
      </w:r>
    </w:p>
    <w:p>
      <w:pPr>
        <w:numPr>
          <w:ilvl w:val="0"/>
          <w:numId w:val="1004"/>
        </w:numPr>
        <w:pStyle w:val="Compact"/>
      </w:pPr>
      <w:r>
        <w:t xml:space="preserve">12-factor config with</w:t>
      </w:r>
      <w:r>
        <w:t xml:space="preserve"> </w:t>
      </w:r>
      <w:r>
        <w:rPr>
          <w:rStyle w:val="VerbatimChar"/>
        </w:rPr>
        <w:t xml:space="preserve">*_FILE</w:t>
      </w:r>
      <w:r>
        <w:t xml:space="preserve"> </w:t>
      </w:r>
      <w:r>
        <w:t xml:space="preserve">secrets (</w:t>
      </w:r>
      <w:r>
        <w:rPr>
          <w:rStyle w:val="VerbatimChar"/>
        </w:rPr>
        <w:t xml:space="preserve">src/shared/config.js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JSON logs on stdout;</w:t>
      </w:r>
    </w:p>
    <w:p>
      <w:pPr>
        <w:numPr>
          <w:ilvl w:val="0"/>
          <w:numId w:val="1004"/>
        </w:numPr>
        <w:pStyle w:val="Compact"/>
      </w:pPr>
      <w:r>
        <w:t xml:space="preserve">graceful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handling: readiness drops first, then the server closes, with a forced exit after 25 s (</w:t>
      </w:r>
      <w:r>
        <w:rPr>
          <w:rStyle w:val="VerbatimChar"/>
        </w:rPr>
        <w:t xml:space="preserve">src/server.js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stateless replicas (the outbox relay is safe on N replicas);</w:t>
      </w:r>
    </w:p>
    <w:p>
      <w:pPr>
        <w:numPr>
          <w:ilvl w:val="0"/>
          <w:numId w:val="1004"/>
        </w:numPr>
        <w:pStyle w:val="Compact"/>
      </w:pPr>
      <w:r>
        <w:t xml:space="preserve">jobs are the same image with a different command (</w:t>
      </w:r>
      <w:r>
        <w:rPr>
          <w:rStyle w:val="VerbatimChar"/>
        </w:rPr>
        <w:t xml:space="preserve">src/jobs/cli.js</w:t>
      </w:r>
      <w:r>
        <w:t xml:space="preserve">).</w:t>
      </w:r>
    </w:p>
    <w:bookmarkStart w:id="25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5"/>
        </w:numPr>
        <w:pStyle w:val="Compact"/>
      </w:pPr>
      <w:r>
        <w:t xml:space="preserve">Good: one immutable artefact, signed and scanned, is promoted from SIT to prod.</w:t>
      </w:r>
    </w:p>
    <w:p>
      <w:pPr>
        <w:numPr>
          <w:ilvl w:val="0"/>
          <w:numId w:val="1005"/>
        </w:numPr>
        <w:pStyle w:val="Compact"/>
      </w:pPr>
      <w:r>
        <w:t xml:space="preserve">Good: Kubernetes gives HPA, PDB, NetworkPolicy and secret-store integration, which InfoSec expects.</w:t>
      </w:r>
    </w:p>
    <w:p>
      <w:pPr>
        <w:numPr>
          <w:ilvl w:val="0"/>
          <w:numId w:val="1005"/>
        </w:numPr>
        <w:pStyle w:val="Compact"/>
      </w:pPr>
      <w:r>
        <w:t xml:space="preserve">Bad: Kubernetes operational overhead. A managed control plane is recommended.</w:t>
      </w:r>
    </w:p>
    <w:p>
      <w:pPr>
        <w:numPr>
          <w:ilvl w:val="0"/>
          <w:numId w:val="1005"/>
        </w:numPr>
        <w:pStyle w:val="Compact"/>
      </w:pPr>
      <w:r>
        <w:t xml:space="preserve">Bad / constraints:</w:t>
      </w:r>
    </w:p>
    <w:p>
      <w:pPr>
        <w:numPr>
          <w:ilvl w:val="1"/>
          <w:numId w:val="1006"/>
        </w:numPr>
        <w:pStyle w:val="Compact"/>
      </w:pPr>
      <w:r>
        <w:t xml:space="preserve">Railway has no NetworkPolicy and offers limited control of data residency. It is</w:t>
      </w:r>
      <w:r>
        <w:t xml:space="preserve"> </w:t>
      </w:r>
      <w:r>
        <w:rPr>
          <w:bCs/>
          <w:b/>
        </w:rPr>
        <w:t xml:space="preserve">for UAT and pilots only, with synthetic data</w:t>
      </w:r>
      <w:r>
        <w:t xml:space="preserve">. Production personal data stays in Vietnam-hosted Kubernetes and Postgres (</w:t>
      </w:r>
      <w:r>
        <w:rPr>
          <w:bCs/>
          <w:b/>
        </w:rPr>
        <w:t xml:space="preserve">confirm with TASCO legal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The in-process rate limiter and the logout denylist are per replica, so multi-replica deployments need gateway rate limiting and a shared store (</w:t>
      </w:r>
      <w:hyperlink r:id="rId24">
        <w:r>
          <w:rPr>
            <w:rStyle w:val="Hyperlink"/>
          </w:rPr>
          <w:t xml:space="preserve">Security Architecture</w:t>
        </w:r>
      </w:hyperlink>
      <w:r>
        <w:t xml:space="preserve">, finding G7).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MIGRATE_ON_START</w:t>
      </w:r>
      <w:r>
        <w:t xml:space="preserve"> </w:t>
      </w:r>
      <w:r>
        <w:t xml:space="preserve">defaults to running migrations at boot. In Kubernetes, set</w:t>
      </w:r>
      <w:r>
        <w:t xml:space="preserve"> </w:t>
      </w:r>
      <w:r>
        <w:rPr>
          <w:rStyle w:val="VerbatimChar"/>
        </w:rPr>
        <w:t xml:space="preserve">MIGRATE_ON_START=false</w:t>
      </w:r>
      <w:r>
        <w:t xml:space="preserve"> </w:t>
      </w:r>
      <w:r>
        <w:t xml:space="preserve">and use the migration Job (Railway uses a pre-deploy command).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also takes an advisory lock, so concurrent starts cannot race.</w:t>
      </w:r>
    </w:p>
    <w:p>
      <w:pPr>
        <w:numPr>
          <w:ilvl w:val="1"/>
          <w:numId w:val="1006"/>
        </w:numPr>
        <w:pStyle w:val="Compact"/>
      </w:pPr>
      <w:r>
        <w:t xml:space="preserve">The read-only root filesystem works because the app writes nothing to disk. The</w:t>
      </w:r>
      <w:r>
        <w:t xml:space="preserve"> </w:t>
      </w:r>
      <w:r>
        <w:rPr>
          <w:rStyle w:val="VerbatimChar"/>
        </w:rPr>
        <w:t xml:space="preserve">openapi</w:t>
      </w:r>
      <w:r>
        <w:t xml:space="preserve"> </w:t>
      </w:r>
      <w:r>
        <w:t xml:space="preserve">job writes to</w:t>
      </w:r>
      <w:r>
        <w:t xml:space="preserve"> </w:t>
      </w:r>
      <w:r>
        <w:rPr>
          <w:rStyle w:val="VerbatimChar"/>
        </w:rPr>
        <w:t xml:space="preserve">docs/api/</w:t>
      </w:r>
      <w:r>
        <w:t xml:space="preserve"> </w:t>
      </w:r>
      <w:r>
        <w:t xml:space="preserve">and is run in CI, not in the cluster.</w:t>
      </w:r>
    </w:p>
    <w:bookmarkEnd w:id="25"/>
    <w:bookmarkEnd w:id="26"/>
    <w:bookmarkStart w:id="27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VMs.</w:t>
      </w:r>
      <w:r>
        <w:t xml:space="preserve"> </w:t>
      </w:r>
      <w:r>
        <w:t xml:space="preserve">Familiar to some infrastructure teams. However, they are slower to scale, give weaker immutability, and need more patching.</w:t>
      </w:r>
    </w:p>
    <w:p>
      <w:pPr>
        <w:pStyle w:val="BodyText"/>
      </w:pPr>
      <w:r>
        <w:rPr>
          <w:bCs/>
          <w:b/>
        </w:rPr>
        <w:t xml:space="preserve">Serverless.</w:t>
      </w:r>
      <w:r>
        <w:t xml:space="preserve"> </w:t>
      </w:r>
      <w:r>
        <w:t xml:space="preserve">Scales to zero. However, cold starts, Postgres connection storms, the long-running relay loop and data-residency limits make it a poor fit.</w:t>
      </w:r>
    </w:p>
    <w:bookmarkEnd w:id="27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../deployment-and-infrastructure-architecture.pdf" TargetMode="External"/><Relationship Id="rId24" Type="http://schemas.openxmlformats.org/officeDocument/2006/relationships/hyperlink" Target="../security-architecture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deployment-and-infrastructure-architecture.pdf" TargetMode="External"/><Relationship Id="rId24" Type="http://schemas.openxmlformats.org/officeDocument/2006/relationships/hyperlink" Target="../security-architectur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ADR-012: Deployment — containers; Kubernetes as primary target; Railway for pilots</dc:title>
  <dc:creator>iorta TechNXT</dc:creator>
  <cp:keywords/>
  <dcterms:created xsi:type="dcterms:W3CDTF">2026-10-07T22:35:44Z</dcterms:created>
  <dcterms:modified xsi:type="dcterms:W3CDTF">2026-10-07T22:35:44Z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