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ADR-013: TASCO Core as the Master for Products and Rating</w:t>
      </w:r>
    </w:p>
    <w:p>
      <w:pPr>
        <w:pStyle w:val="Subtitle"/>
      </w:pPr>
      <w:r>
        <w:t xml:space="preserve">TASCO Insurance × VETC Growth Platform — Architecture Decision Record</w:t>
      </w:r>
    </w:p>
    <w:p>
      <w:pPr>
        <w:pStyle w:val="Author"/>
      </w:pPr>
      <w:r>
        <w:t xml:space="preserve">iorta TechNXT</w:t>
      </w:r>
    </w:p>
    <w:p>
      <w:pPr>
        <w:pStyle w:val="Date"/>
      </w:pPr>
      <w:r>
        <w:t xml:space="preserve">Version 1.0 · 07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blHeader w:val="true"/>
        </w:trPr>
        <w:tc>
          <w:tcPr>
            <w:shd w:val="clear" w:color="auto" w:fill="213368"/>
          </w:tcPr>
          <w:p>
            <w:pPr>
              <w:pStyle w:val="Compact"/>
              <w:spacing w:before="20" w:after="20"/>
              <w:jc w:val="left"/>
            </w:pPr>
            <w:r>
              <w:rPr>
                <w:b/>
                <w:color w:val="FFFFFF"/>
                <w:sz w:val="17"/>
              </w:rPr>
              <w:t xml:space="preserve">Document</w:t>
            </w:r>
          </w:p>
        </w:tc>
        <w:tc>
          <w:tcPr>
            <w:shd w:val="clear" w:color="auto" w:fill="213368"/>
          </w:tcPr>
          <w:p>
            <w:pPr>
              <w:pStyle w:val="Compact"/>
              <w:spacing w:before="20" w:after="20"/>
              <w:jc w:val="left"/>
            </w:pPr>
            <w:r>
              <w:rPr>
                <w:b/>
                <w:color w:val="FFFFFF"/>
                <w:sz w:val="17"/>
              </w:rPr>
              <w:t xml:space="preserve">Version</w:t>
            </w:r>
          </w:p>
        </w:tc>
        <w:tc>
          <w:tcPr>
            <w:shd w:val="clear" w:color="auto" w:fill="213368"/>
          </w:tcPr>
          <w:p>
            <w:pPr>
              <w:pStyle w:val="Compact"/>
              <w:spacing w:before="20" w:after="20"/>
              <w:jc w:val="left"/>
            </w:pPr>
            <w:r>
              <w:rPr>
                <w:b/>
                <w:color w:val="FFFFFF"/>
                <w:sz w:val="17"/>
              </w:rPr>
              <w:t xml:space="preserve">Date</w:t>
            </w:r>
          </w:p>
        </w:tc>
        <w:tc>
          <w:tcPr>
            <w:shd w:val="clear" w:color="auto" w:fill="213368"/>
          </w:tcPr>
          <w:p>
            <w:pPr>
              <w:pStyle w:val="Compact"/>
              <w:spacing w:before="20" w:after="20"/>
              <w:jc w:val="left"/>
            </w:pPr>
            <w:r>
              <w:rPr>
                <w:b/>
                <w:color w:val="FFFFFF"/>
                <w:sz w:val="17"/>
              </w:rPr>
              <w:t xml:space="preserve">Owner</w:t>
            </w:r>
          </w:p>
        </w:tc>
        <w:tc>
          <w:tcPr>
            <w:shd w:val="clear" w:color="auto" w:fill="213368"/>
          </w:tcPr>
          <w:p>
            <w:pPr>
              <w:pStyle w:val="Compact"/>
              <w:spacing w:before="20" w:after="20"/>
              <w:jc w:val="left"/>
            </w:pPr>
            <w:r>
              <w:rPr>
                <w:b/>
                <w:color w:val="FFFFFF"/>
                <w:sz w:val="17"/>
              </w:rPr>
              <w:t xml:space="preserve">Status</w:t>
            </w:r>
          </w:p>
        </w:tc>
      </w:tr>
      <w:tr>
        <w:tc>
          <w:tcPr>
            <w:noWrap/>
          </w:tcPr>
          <w:p>
            <w:pPr>
              <w:pStyle w:val="Compact"/>
              <w:spacing w:before="20" w:after="20"/>
              <w:jc w:val="left"/>
            </w:pPr>
            <w:r>
              <w:rPr>
                <w:sz w:val="17"/>
              </w:rPr>
              <w:t xml:space="preserve">ADR-013</w:t>
            </w:r>
          </w:p>
        </w:tc>
        <w:tc>
          <w:tcPr>
            <w:noWrap/>
          </w:tcPr>
          <w:p>
            <w:pPr>
              <w:pStyle w:val="Compact"/>
              <w:spacing w:before="20" w:after="20"/>
              <w:jc w:val="left"/>
            </w:pPr>
            <w:r>
              <w:rPr>
                <w:sz w:val="17"/>
              </w:rPr>
              <w:t xml:space="preserve">1.0</w:t>
            </w:r>
          </w:p>
        </w:tc>
        <w:tc>
          <w:tcPr/>
          <w:p>
            <w:pPr>
              <w:pStyle w:val="Compact"/>
              <w:spacing w:before="20" w:after="20"/>
              <w:jc w:val="left"/>
            </w:pPr>
            <w:r>
              <w:rPr>
                <w:sz w:val="17"/>
              </w:rPr>
              <w:t xml:space="preserve">07 October 2026</w:t>
            </w:r>
          </w:p>
        </w:tc>
        <w:tc>
          <w:tcPr/>
          <w:p>
            <w:pPr>
              <w:pStyle w:val="Compact"/>
              <w:spacing w:before="20" w:after="20"/>
              <w:jc w:val="left"/>
            </w:pPr>
            <w:r>
              <w:rPr>
                <w:sz w:val="17"/>
              </w:rPr>
              <w:t xml:space="preserve">iorta TechNXT Architecture</w:t>
            </w:r>
          </w:p>
        </w:tc>
        <w:tc>
          <w:tcPr/>
          <w:p>
            <w:pPr>
              <w:pStyle w:val="Compact"/>
              <w:spacing w:before="20" w:after="20"/>
              <w:jc w:val="left"/>
            </w:pPr>
            <w:r>
              <w:rPr>
                <w:sz w:val="17"/>
              </w:rPr>
              <w:t xml:space="preserve">Accepted</w:t>
            </w:r>
          </w:p>
        </w:tc>
      </w:tr>
    </w:tbl>
    <w:p>
      <w:pPr>
        <w:numPr>
          <w:ilvl w:val="0"/>
          <w:numId w:val="1001"/>
        </w:numPr>
        <w:pStyle w:val="Compact"/>
      </w:pPr>
      <w:r>
        <w:rPr>
          <w:bCs/>
          <w:b/>
        </w:rPr>
        <w:t xml:space="preserve">Related:</w:t>
      </w:r>
      <w:r>
        <w:t xml:space="preserve"> </w:t>
      </w:r>
      <w:hyperlink r:id="rId20">
        <w:r>
          <w:rPr>
            <w:rStyle w:val="Hyperlink"/>
          </w:rPr>
          <w:t xml:space="preserve">Integration Architecture</w:t>
        </w:r>
      </w:hyperlink>
      <w:r>
        <w:t xml:space="preserve">,</w:t>
      </w:r>
      <w:r>
        <w:t xml:space="preserve"> </w:t>
      </w:r>
      <w:hyperlink r:id="rId21">
        <w:r>
          <w:rPr>
            <w:rStyle w:val="Hyperlink"/>
          </w:rPr>
          <w:t xml:space="preserve">ADR-003 Rules engine and maker-checker</w:t>
        </w:r>
      </w:hyperlink>
      <w:r>
        <w:t xml:space="preserve">,</w:t>
      </w:r>
      <w:r>
        <w:t xml:space="preserve"> </w:t>
      </w:r>
      <w:hyperlink r:id="rId22">
        <w:r>
          <w:rPr>
            <w:rStyle w:val="Hyperlink"/>
          </w:rPr>
          <w:t xml:space="preserve">Solution Architecture</w:t>
        </w:r>
      </w:hyperlink>
    </w:p>
    <w:bookmarkStart w:id="23" w:name="context-and-problem-statement"/>
    <w:p>
      <w:pPr>
        <w:pStyle w:val="Heading2"/>
      </w:pPr>
      <w:r>
        <w:t xml:space="preserve">Context and problem statement</w:t>
      </w:r>
    </w:p>
    <w:p>
      <w:pPr>
        <w:pStyle w:val="FirstParagraph"/>
      </w:pPr>
      <w:r>
        <w:t xml:space="preserve">TASCO Insurance's core policy administration system holds the product catalogue, tariffs and rating, and issues every policy. The first version of the growth platform rated quotes locally from versioned rule sets (</w:t>
      </w:r>
      <w:r>
        <w:rPr>
          <w:rStyle w:val="VerbatimChar"/>
        </w:rPr>
        <w:t xml:space="preserve">config/rules/tariff.*.json</w:t>
      </w:r>
      <w:r>
        <w:t xml:space="preserve">,</w:t>
      </w:r>
      <w:r>
        <w:t xml:space="preserve"> </w:t>
      </w:r>
      <w:r>
        <w:rPr>
          <w:rStyle w:val="VerbatimChar"/>
        </w:rPr>
        <w:t xml:space="preserve">rating.*.json</w:t>
      </w:r>
      <w:r>
        <w:t xml:space="preserve">), which was right for a sandbox but creates two sources of truth in production. A premium shown in the VETC app must be exactly the premium TASCO core binds and issues, and product or tariff changes must be made once, in core.</w:t>
      </w:r>
    </w:p>
    <w:bookmarkEnd w:id="23"/>
    <w:bookmarkStart w:id="24" w:name="decision-drivers"/>
    <w:p>
      <w:pPr>
        <w:pStyle w:val="Heading2"/>
      </w:pPr>
      <w:r>
        <w:t xml:space="preserve">Decision drivers</w:t>
      </w:r>
    </w:p>
    <w:p>
      <w:pPr>
        <w:numPr>
          <w:ilvl w:val="0"/>
          <w:numId w:val="1002"/>
        </w:numPr>
        <w:pStyle w:val="Compact"/>
      </w:pPr>
      <w:r>
        <w:t xml:space="preserve">One source of truth for products and premiums; no re-keying.</w:t>
      </w:r>
    </w:p>
    <w:p>
      <w:pPr>
        <w:numPr>
          <w:ilvl w:val="0"/>
          <w:numId w:val="1002"/>
        </w:numPr>
        <w:pStyle w:val="Compact"/>
      </w:pPr>
      <w:r>
        <w:t xml:space="preserve">A customer must never pay a price that core has not confirmed.</w:t>
      </w:r>
    </w:p>
    <w:p>
      <w:pPr>
        <w:numPr>
          <w:ilvl w:val="0"/>
          <w:numId w:val="1002"/>
        </w:numPr>
        <w:pStyle w:val="Compact"/>
      </w:pPr>
      <w:r>
        <w:t xml:space="preserve">Core outages must not cause wrong prices; TASCO decides the trade-off between availability and certainty.</w:t>
      </w:r>
    </w:p>
    <w:p>
      <w:pPr>
        <w:numPr>
          <w:ilvl w:val="0"/>
          <w:numId w:val="1002"/>
        </w:numPr>
        <w:pStyle w:val="Compact"/>
      </w:pPr>
      <w:r>
        <w:t xml:space="preserve">Personal data sent to core is minimised.</w:t>
      </w:r>
    </w:p>
    <w:p>
      <w:pPr>
        <w:numPr>
          <w:ilvl w:val="0"/>
          <w:numId w:val="1002"/>
        </w:numPr>
        <w:pStyle w:val="Compact"/>
      </w:pPr>
      <w:r>
        <w:t xml:space="preserve">The sandbox and UAT must keep working without a core connection.</w:t>
      </w:r>
    </w:p>
    <w:bookmarkEnd w:id="24"/>
    <w:bookmarkStart w:id="25" w:name="considered-options"/>
    <w:p>
      <w:pPr>
        <w:pStyle w:val="Heading2"/>
      </w:pPr>
      <w:r>
        <w:t xml:space="preserve">Considered options</w:t>
      </w:r>
    </w:p>
    <w:p>
      <w:pPr>
        <w:numPr>
          <w:ilvl w:val="0"/>
          <w:numId w:val="1003"/>
        </w:numPr>
        <w:pStyle w:val="Compact"/>
      </w:pPr>
      <w:r>
        <w:rPr>
          <w:bCs/>
          <w:b/>
        </w:rPr>
        <w:t xml:space="preserve">Two ports,</w:t>
      </w:r>
      <w:r>
        <w:rPr>
          <w:bCs/>
          <w:b/>
        </w:rPr>
        <w:t xml:space="preserve"> </w:t>
      </w:r>
      <w:r>
        <w:rPr>
          <w:rStyle w:val="VerbatimChar"/>
          <w:bCs/>
          <w:b/>
        </w:rPr>
        <w:t xml:space="preserve">CoreRating</w:t>
      </w:r>
      <w:r>
        <w:rPr>
          <w:bCs/>
          <w:b/>
        </w:rPr>
        <w:t xml:space="preserve"> </w:t>
      </w:r>
      <w:r>
        <w:rPr>
          <w:bCs/>
          <w:b/>
        </w:rPr>
        <w:t xml:space="preserve">and</w:t>
      </w:r>
      <w:r>
        <w:rPr>
          <w:bCs/>
          <w:b/>
        </w:rPr>
        <w:t xml:space="preserve"> </w:t>
      </w:r>
      <w:r>
        <w:rPr>
          <w:rStyle w:val="VerbatimChar"/>
          <w:bCs/>
          <w:b/>
        </w:rPr>
        <w:t xml:space="preserve">ProductCatalogue</w:t>
      </w:r>
      <w:r>
        <w:rPr>
          <w:bCs/>
          <w:b/>
        </w:rPr>
        <w:t xml:space="preserve">, with a production REST adapter for TASCO core and a simulated core for sandbox, selected by</w:t>
      </w:r>
      <w:r>
        <w:rPr>
          <w:bCs/>
          <w:b/>
        </w:rPr>
        <w:t xml:space="preserve"> </w:t>
      </w:r>
      <w:r>
        <w:rPr>
          <w:rStyle w:val="VerbatimChar"/>
          <w:bCs/>
          <w:b/>
        </w:rPr>
        <w:t xml:space="preserve">RATING_SOURCE</w:t>
      </w:r>
      <w:r>
        <w:rPr>
          <w:bCs/>
          <w:b/>
        </w:rPr>
        <w:t xml:space="preserve">.</w:t>
      </w:r>
    </w:p>
    <w:p>
      <w:pPr>
        <w:numPr>
          <w:ilvl w:val="0"/>
          <w:numId w:val="1003"/>
        </w:numPr>
        <w:pStyle w:val="Compact"/>
      </w:pPr>
      <w:r>
        <w:t xml:space="preserve">Keep local rating and reconcile against core after issue.</w:t>
      </w:r>
    </w:p>
    <w:p>
      <w:pPr>
        <w:numPr>
          <w:ilvl w:val="0"/>
          <w:numId w:val="1003"/>
        </w:numPr>
        <w:pStyle w:val="Compact"/>
      </w:pPr>
      <w:r>
        <w:t xml:space="preserve">Replicate core's tariff tables into the platform nightly and rate locally.</w:t>
      </w:r>
    </w:p>
    <w:bookmarkEnd w:id="25"/>
    <w:bookmarkStart w:id="27" w:name="decision-outcome"/>
    <w:p>
      <w:pPr>
        <w:pStyle w:val="Heading2"/>
      </w:pPr>
      <w:r>
        <w:t xml:space="preserve">Decision outcome</w:t>
      </w:r>
    </w:p>
    <w:p>
      <w:pPr>
        <w:pStyle w:val="FirstParagraph"/>
      </w:pPr>
      <w:r>
        <w:t xml:space="preserve">Chosen option:</w:t>
      </w:r>
      <w:r>
        <w:t xml:space="preserve"> </w:t>
      </w:r>
      <w:r>
        <w:rPr>
          <w:bCs/>
          <w:b/>
        </w:rPr>
        <w:t xml:space="preserve">1</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Element</w:t>
            </w:r>
          </w:p>
        </w:tc>
        <w:tc>
          <w:tcPr>
            <w:shd w:val="clear" w:color="auto" w:fill="213368"/>
          </w:tcPr>
          <w:p>
            <w:pPr>
              <w:pStyle w:val="Compact"/>
              <w:spacing w:before="20" w:after="20"/>
              <w:jc w:val="left"/>
            </w:pPr>
            <w:r>
              <w:rPr>
                <w:b/>
                <w:color w:val="FFFFFF"/>
                <w:sz w:val="18"/>
              </w:rPr>
              <w:t xml:space="preserve">Decision</w:t>
            </w:r>
          </w:p>
        </w:tc>
      </w:tr>
      <w:tr>
        <w:tc>
          <w:tcPr>
            <w:noWrap/>
          </w:tcPr>
          <w:p>
            <w:pPr>
              <w:pStyle w:val="Compact"/>
              <w:spacing w:before="20" w:after="20"/>
              <w:jc w:val="left"/>
            </w:pPr>
            <w:r>
              <w:rPr>
                <w:sz w:val="18"/>
              </w:rPr>
              <w:t xml:space="preserve">Ports</w:t>
            </w:r>
          </w:p>
        </w:tc>
        <w:tc>
          <w:tcPr/>
          <w:p>
            <w:pPr>
              <w:pStyle w:val="Compact"/>
              <w:spacing w:before="20" w:after="20"/>
              <w:jc w:val="left"/>
            </w:pPr>
            <w:r>
              <w:rPr>
                <w:rStyle w:val="VerbatimChar"/>
                <w:sz w:val="18"/>
              </w:rPr>
              <w:t xml:space="preserve">CoreRating.quote()</w:t>
            </w:r>
            <w:r>
              <w:rPr>
                <w:sz w:val="18"/>
              </w:rPr>
              <w:t xml:space="preserve"> </w:t>
            </w:r>
            <w:r>
              <w:rPr>
                <w:sz w:val="18"/>
              </w:rPr>
              <w:t xml:space="preserve">returns per-line premium, VAT, total, a</w:t>
            </w:r>
            <w:r>
              <w:rPr>
                <w:sz w:val="18"/>
              </w:rPr>
              <w:t xml:space="preserve"> </w:t>
            </w:r>
            <w:r>
              <w:rPr>
                <w:rStyle w:val="VerbatimChar"/>
                <w:sz w:val="18"/>
              </w:rPr>
              <w:t xml:space="preserve">coreQuoteRef</w:t>
            </w:r>
            <w:r>
              <w:rPr>
                <w:sz w:val="18"/>
              </w:rPr>
              <w:t xml:space="preserve">,</w:t>
            </w:r>
            <w:r>
              <w:rPr>
                <w:sz w:val="18"/>
              </w:rPr>
              <w:t xml:space="preserve"> </w:t>
            </w:r>
            <w:r>
              <w:rPr>
                <w:rStyle w:val="VerbatimChar"/>
                <w:sz w:val="18"/>
              </w:rPr>
              <w:t xml:space="preserve">ratingVersion</w:t>
            </w:r>
            <w:r>
              <w:rPr>
                <w:sz w:val="18"/>
              </w:rPr>
              <w:t xml:space="preserve"> </w:t>
            </w:r>
            <w:r>
              <w:rPr>
                <w:sz w:val="18"/>
              </w:rPr>
              <w:t xml:space="preserve">and validity.</w:t>
            </w:r>
            <w:r>
              <w:rPr>
                <w:sz w:val="18"/>
              </w:rPr>
              <w:t xml:space="preserve"> </w:t>
            </w:r>
            <w:r>
              <w:rPr>
                <w:rStyle w:val="VerbatimChar"/>
                <w:sz w:val="18"/>
              </w:rPr>
              <w:t xml:space="preserve">ProductCatalogue.fetchCatalogue()</w:t>
            </w:r>
            <w:r>
              <w:rPr>
                <w:sz w:val="18"/>
              </w:rPr>
              <w:t xml:space="preserve"> </w:t>
            </w:r>
            <w:r>
              <w:rPr>
                <w:sz w:val="18"/>
              </w:rPr>
              <w:t xml:space="preserve">returns products and versions.</w:t>
            </w:r>
          </w:p>
        </w:tc>
      </w:tr>
      <w:tr>
        <w:tc>
          <w:tcPr/>
          <w:p>
            <w:pPr>
              <w:pStyle w:val="Compact"/>
              <w:spacing w:before="20" w:after="20"/>
              <w:jc w:val="left"/>
            </w:pPr>
            <w:r>
              <w:rPr>
                <w:sz w:val="18"/>
              </w:rPr>
              <w:t xml:space="preserve">Production adapter</w:t>
            </w:r>
          </w:p>
        </w:tc>
        <w:tc>
          <w:tcPr/>
          <w:p>
            <w:pPr>
              <w:pStyle w:val="Compact"/>
              <w:spacing w:before="20" w:after="20"/>
              <w:jc w:val="left"/>
            </w:pPr>
            <w:r>
              <w:rPr>
                <w:rStyle w:val="VerbatimChar"/>
                <w:sz w:val="18"/>
              </w:rPr>
              <w:t xml:space="preserve">src/adapters/integrations/tascoCoreRatingClient.js</w:t>
            </w:r>
            <w:r>
              <w:rPr>
                <w:sz w:val="18"/>
              </w:rPr>
              <w:t xml:space="preserve">: REST over HTTPS (</w:t>
            </w:r>
            <w:r>
              <w:rPr>
                <w:rStyle w:val="VerbatimChar"/>
                <w:sz w:val="18"/>
              </w:rPr>
              <w:t xml:space="preserve">POST /rating/v1/quotes</w:t>
            </w:r>
            <w:r>
              <w:rPr>
                <w:sz w:val="18"/>
              </w:rPr>
              <w:t xml:space="preserve">,</w:t>
            </w:r>
            <w:r>
              <w:rPr>
                <w:sz w:val="18"/>
              </w:rPr>
              <w:t xml:space="preserve"> </w:t>
            </w:r>
            <w:r>
              <w:rPr>
                <w:rStyle w:val="VerbatimChar"/>
                <w:sz w:val="18"/>
              </w:rPr>
              <w:t xml:space="preserve">GET /products/v1/catalogue</w:t>
            </w:r>
            <w:r>
              <w:rPr>
                <w:sz w:val="18"/>
              </w:rPr>
              <w:t xml:space="preserve">; paths to be confirmed against TASCO's specification), OAuth 2.0 client credentials with token caching, mTLS-ready,</w:t>
            </w:r>
            <w:r>
              <w:rPr>
                <w:sz w:val="18"/>
              </w:rPr>
              <w:t xml:space="preserve"> </w:t>
            </w:r>
            <w:r>
              <w:rPr>
                <w:rStyle w:val="VerbatimChar"/>
                <w:sz w:val="18"/>
              </w:rPr>
              <w:t xml:space="preserve">Idempotency-Key</w:t>
            </w:r>
            <w:r>
              <w:rPr>
                <w:sz w:val="18"/>
              </w:rPr>
              <w:t xml:space="preserve"> </w:t>
            </w:r>
            <w:r>
              <w:rPr>
                <w:sz w:val="18"/>
              </w:rPr>
              <w:t xml:space="preserve">and</w:t>
            </w:r>
            <w:r>
              <w:rPr>
                <w:sz w:val="18"/>
              </w:rPr>
              <w:t xml:space="preserve"> </w:t>
            </w:r>
            <w:r>
              <w:rPr>
                <w:rStyle w:val="VerbatimChar"/>
                <w:sz w:val="18"/>
              </w:rPr>
              <w:t xml:space="preserve">X-Request-Id</w:t>
            </w:r>
            <w:r>
              <w:rPr>
                <w:sz w:val="18"/>
              </w:rPr>
              <w:t xml:space="preserve"> </w:t>
            </w:r>
            <w:r>
              <w:rPr>
                <w:sz w:val="18"/>
              </w:rPr>
              <w:t xml:space="preserve">on every call, timeouts, retries and a circuit breaker, schema-validated responses, core error codes mapped to platform outcomes (declined, refer to underwriter, invalid)</w:t>
            </w:r>
          </w:p>
        </w:tc>
      </w:tr>
      <w:tr>
        <w:tc>
          <w:tcPr/>
          <w:p>
            <w:pPr>
              <w:pStyle w:val="Compact"/>
              <w:spacing w:before="20" w:after="20"/>
              <w:jc w:val="left"/>
            </w:pPr>
            <w:r>
              <w:rPr>
                <w:sz w:val="18"/>
              </w:rPr>
              <w:t xml:space="preserve">Sandbox adapter</w:t>
            </w:r>
          </w:p>
        </w:tc>
        <w:tc>
          <w:tcPr/>
          <w:p>
            <w:pPr>
              <w:pStyle w:val="Compact"/>
              <w:spacing w:before="20" w:after="20"/>
              <w:jc w:val="left"/>
            </w:pPr>
            <w:r>
              <w:rPr>
                <w:rStyle w:val="VerbatimChar"/>
                <w:sz w:val="18"/>
              </w:rPr>
              <w:t xml:space="preserve">src/adapters/integrations/simulatedTascoCore.js</w:t>
            </w:r>
            <w:r>
              <w:rPr>
                <w:sz w:val="18"/>
              </w:rPr>
              <w:t xml:space="preserve">: the same contract, priced from the approved local rule sets, returning core-style references</w:t>
            </w:r>
          </w:p>
        </w:tc>
      </w:tr>
      <w:tr>
        <w:tc>
          <w:tcPr>
            <w:noWrap/>
          </w:tcPr>
          <w:p>
            <w:pPr>
              <w:pStyle w:val="Compact"/>
              <w:spacing w:before="20" w:after="20"/>
              <w:jc w:val="left"/>
            </w:pPr>
            <w:r>
              <w:rPr>
                <w:sz w:val="18"/>
              </w:rPr>
              <w:t xml:space="preserve">Orchestration</w:t>
            </w:r>
          </w:p>
        </w:tc>
        <w:tc>
          <w:tcPr/>
          <w:p>
            <w:pPr>
              <w:pStyle w:val="Compact"/>
              <w:spacing w:before="20" w:after="20"/>
              <w:jc w:val="left"/>
            </w:pPr>
            <w:r>
              <w:rPr>
                <w:rStyle w:val="VerbatimChar"/>
                <w:sz w:val="18"/>
              </w:rPr>
              <w:t xml:space="preserve">src/application/ratingService.js</w:t>
            </w:r>
          </w:p>
        </w:tc>
      </w:tr>
      <w:tr>
        <w:tc>
          <w:tcPr/>
          <w:p>
            <w:pPr>
              <w:pStyle w:val="Compact"/>
              <w:spacing w:before="20" w:after="20"/>
              <w:jc w:val="left"/>
            </w:pPr>
            <w:r>
              <w:rPr>
                <w:sz w:val="18"/>
              </w:rPr>
              <w:t xml:space="preserve">Modes (</w:t>
            </w:r>
            <w:r>
              <w:rPr>
                <w:rStyle w:val="VerbatimChar"/>
                <w:sz w:val="18"/>
              </w:rPr>
              <w:t xml:space="preserve">RATING_SOURCE</w:t>
            </w:r>
            <w:r>
              <w:rPr>
                <w:sz w:val="18"/>
              </w:rPr>
              <w:t xml:space="preserve">)</w:t>
            </w:r>
          </w:p>
        </w:tc>
        <w:tc>
          <w:tcPr/>
          <w:p>
            <w:pPr>
              <w:pStyle w:val="Compact"/>
              <w:spacing w:before="20" w:after="20"/>
              <w:jc w:val="left"/>
            </w:pPr>
            <w:r>
              <w:rPr>
                <w:rStyle w:val="VerbatimChar"/>
                <w:sz w:val="18"/>
              </w:rPr>
              <w:t xml:space="preserve">rules</w:t>
            </w:r>
            <w:r>
              <w:rPr>
                <w:sz w:val="18"/>
              </w:rPr>
              <w:t xml:space="preserve"> </w:t>
            </w:r>
            <w:r>
              <w:rPr>
                <w:sz w:val="18"/>
              </w:rPr>
              <w:t xml:space="preserve">(local, default for development; refused in production unless</w:t>
            </w:r>
            <w:r>
              <w:rPr>
                <w:sz w:val="18"/>
              </w:rPr>
              <w:t xml:space="preserve"> </w:t>
            </w:r>
            <w:r>
              <w:rPr>
                <w:rStyle w:val="VerbatimChar"/>
                <w:sz w:val="18"/>
              </w:rPr>
              <w:t xml:space="preserve">ALLOW_LOCAL_RATING=true</w:t>
            </w:r>
            <w:r>
              <w:rPr>
                <w:sz w:val="18"/>
              </w:rPr>
              <w:t xml:space="preserve">),</w:t>
            </w:r>
            <w:r>
              <w:rPr>
                <w:sz w:val="18"/>
              </w:rPr>
              <w:t xml:space="preserve"> </w:t>
            </w:r>
            <w:r>
              <w:rPr>
                <w:rStyle w:val="VerbatimChar"/>
                <w:sz w:val="18"/>
              </w:rPr>
              <w:t xml:space="preserve">core</w:t>
            </w:r>
            <w:r>
              <w:rPr>
                <w:sz w:val="18"/>
              </w:rPr>
              <w:t xml:space="preserve"> </w:t>
            </w:r>
            <w:r>
              <w:rPr>
                <w:sz w:val="18"/>
              </w:rPr>
              <w:t xml:space="preserve">(fail closed: 503 when core is unavailable),</w:t>
            </w:r>
            <w:r>
              <w:rPr>
                <w:sz w:val="18"/>
              </w:rPr>
              <w:t xml:space="preserve"> </w:t>
            </w:r>
            <w:r>
              <w:rPr>
                <w:rStyle w:val="VerbatimChar"/>
                <w:sz w:val="18"/>
              </w:rPr>
              <w:t xml:space="preserve">core_with_fallback</w:t>
            </w:r>
            <w:r>
              <w:rPr>
                <w:sz w:val="18"/>
              </w:rPr>
              <w:t xml:space="preserve"> </w:t>
            </w:r>
            <w:r>
              <w:rPr>
                <w:sz w:val="18"/>
              </w:rPr>
              <w:t xml:space="preserve">(an indicative local price is shown, marked</w:t>
            </w:r>
            <w:r>
              <w:rPr>
                <w:sz w:val="18"/>
              </w:rPr>
              <w:t xml:space="preserve"> </w:t>
            </w:r>
            <w:r>
              <w:rPr>
                <w:rStyle w:val="VerbatimChar"/>
                <w:sz w:val="18"/>
              </w:rPr>
              <w:t xml:space="preserve">indicative: true</w:t>
            </w:r>
            <w:r>
              <w:rPr>
                <w:sz w:val="18"/>
              </w:rPr>
              <w:t xml:space="preserve">, and payment is blocked until</w:t>
            </w:r>
            <w:r>
              <w:rPr>
                <w:sz w:val="18"/>
              </w:rPr>
              <w:t xml:space="preserve"> </w:t>
            </w:r>
            <w:r>
              <w:rPr>
                <w:rStyle w:val="VerbatimChar"/>
                <w:sz w:val="18"/>
              </w:rPr>
              <w:t xml:space="preserve">POST /api/quotes/:id/rerate</w:t>
            </w:r>
            <w:r>
              <w:rPr>
                <w:sz w:val="18"/>
              </w:rPr>
              <w:t xml:space="preserve"> </w:t>
            </w:r>
            <w:r>
              <w:rPr>
                <w:sz w:val="18"/>
              </w:rPr>
              <w:t xml:space="preserve">or</w:t>
            </w:r>
            <w:r>
              <w:rPr>
                <w:sz w:val="18"/>
              </w:rPr>
              <w:t xml:space="preserve"> </w:t>
            </w:r>
            <w:r>
              <w:rPr>
                <w:rStyle w:val="VerbatimChar"/>
                <w:sz w:val="18"/>
              </w:rPr>
              <w:t xml:space="preserve">POST /api/customer/quotes/:id/rerate</w:t>
            </w:r>
            <w:r>
              <w:rPr>
                <w:sz w:val="18"/>
              </w:rPr>
              <w:t xml:space="preserve"> </w:t>
            </w:r>
            <w:r>
              <w:rPr>
                <w:sz w:val="18"/>
              </w:rPr>
              <w:t xml:space="preserve">obtains a core price)</w:t>
            </w:r>
          </w:p>
        </w:tc>
      </w:tr>
      <w:tr>
        <w:tc>
          <w:tcPr>
            <w:noWrap/>
          </w:tcPr>
          <w:p>
            <w:pPr>
              <w:pStyle w:val="Compact"/>
              <w:spacing w:before="20" w:after="20"/>
              <w:jc w:val="left"/>
            </w:pPr>
            <w:r>
              <w:rPr>
                <w:sz w:val="18"/>
              </w:rPr>
              <w:t xml:space="preserve">Binding</w:t>
            </w:r>
          </w:p>
        </w:tc>
        <w:tc>
          <w:tcPr/>
          <w:p>
            <w:pPr>
              <w:pStyle w:val="Compact"/>
              <w:spacing w:before="20" w:after="20"/>
              <w:jc w:val="left"/>
            </w:pPr>
            <w:r>
              <w:rPr>
                <w:rStyle w:val="VerbatimChar"/>
                <w:sz w:val="18"/>
              </w:rPr>
              <w:t xml:space="preserve">purchase()</w:t>
            </w:r>
            <w:r>
              <w:rPr>
                <w:sz w:val="18"/>
              </w:rPr>
              <w:t xml:space="preserve"> </w:t>
            </w:r>
            <w:r>
              <w:rPr>
                <w:sz w:val="18"/>
              </w:rPr>
              <w:t xml:space="preserve">rejects indicative quotes and passes</w:t>
            </w:r>
            <w:r>
              <w:rPr>
                <w:sz w:val="18"/>
              </w:rPr>
              <w:t xml:space="preserve"> </w:t>
            </w:r>
            <w:r>
              <w:rPr>
                <w:rStyle w:val="VerbatimChar"/>
                <w:sz w:val="18"/>
              </w:rPr>
              <w:t xml:space="preserve">coreQuoteRef</w:t>
            </w:r>
            <w:r>
              <w:rPr>
                <w:sz w:val="18"/>
              </w:rPr>
              <w:t xml:space="preserve"> </w:t>
            </w:r>
            <w:r>
              <w:rPr>
                <w:sz w:val="18"/>
              </w:rPr>
              <w:t xml:space="preserve">to</w:t>
            </w:r>
            <w:r>
              <w:rPr>
                <w:sz w:val="18"/>
              </w:rPr>
              <w:t xml:space="preserve"> </w:t>
            </w:r>
            <w:r>
              <w:rPr>
                <w:rStyle w:val="VerbatimChar"/>
                <w:sz w:val="18"/>
              </w:rPr>
              <w:t xml:space="preserve">issuePolicy</w:t>
            </w:r>
            <w:r>
              <w:rPr>
                <w:sz w:val="18"/>
              </w:rPr>
              <w:t xml:space="preserve">, so core binds exactly the price it quoted</w:t>
            </w:r>
          </w:p>
        </w:tc>
      </w:tr>
      <w:tr>
        <w:tc>
          <w:tcPr/>
          <w:p>
            <w:pPr>
              <w:pStyle w:val="Compact"/>
              <w:spacing w:before="20" w:after="20"/>
              <w:jc w:val="left"/>
            </w:pPr>
            <w:r>
              <w:rPr>
                <w:sz w:val="18"/>
              </w:rPr>
              <w:t xml:space="preserve">Data minimisation</w:t>
            </w:r>
          </w:p>
        </w:tc>
        <w:tc>
          <w:tcPr/>
          <w:p>
            <w:pPr>
              <w:pStyle w:val="Compact"/>
              <w:spacing w:before="20" w:after="20"/>
              <w:jc w:val="left"/>
            </w:pPr>
            <w:r>
              <w:rPr>
                <w:sz w:val="18"/>
              </w:rPr>
              <w:t xml:space="preserve">Rating requests carry risk attributes only (vehicle category, usage, seats, age, holder type). Plate and holder name go to core only at issuance.</w:t>
            </w:r>
          </w:p>
        </w:tc>
      </w:tr>
      <w:tr>
        <w:tc>
          <w:tcPr>
            <w:noWrap/>
          </w:tcPr>
          <w:p>
            <w:pPr>
              <w:pStyle w:val="Compact"/>
              <w:spacing w:before="20" w:after="20"/>
              <w:jc w:val="left"/>
            </w:pPr>
            <w:r>
              <w:rPr>
                <w:sz w:val="18"/>
              </w:rPr>
              <w:t xml:space="preserve">Catalogue</w:t>
            </w:r>
          </w:p>
        </w:tc>
        <w:tc>
          <w:tcPr/>
          <w:p>
            <w:pPr>
              <w:pStyle w:val="Compact"/>
              <w:spacing w:before="20" w:after="20"/>
              <w:jc w:val="left"/>
            </w:pPr>
            <w:r>
              <w:rPr>
                <w:rStyle w:val="VerbatimChar"/>
                <w:sz w:val="18"/>
              </w:rPr>
              <w:t xml:space="preserve">catalogueService.sync()</w:t>
            </w:r>
            <w:r>
              <w:rPr>
                <w:sz w:val="18"/>
              </w:rPr>
              <w:t xml:space="preserve"> </w:t>
            </w:r>
            <w:r>
              <w:rPr>
                <w:sz w:val="18"/>
              </w:rPr>
              <w:t xml:space="preserve">(job</w:t>
            </w:r>
            <w:r>
              <w:rPr>
                <w:sz w:val="18"/>
              </w:rPr>
              <w:t xml:space="preserve"> </w:t>
            </w:r>
            <w:r>
              <w:rPr>
                <w:rStyle w:val="VerbatimChar"/>
                <w:sz w:val="18"/>
              </w:rPr>
              <w:t xml:space="preserve">sync-catalogue</w:t>
            </w:r>
            <w:r>
              <w:rPr>
                <w:sz w:val="18"/>
              </w:rPr>
              <w:t xml:space="preserve">, CronJob 01:00 Vietnam time, or</w:t>
            </w:r>
            <w:r>
              <w:rPr>
                <w:sz w:val="18"/>
              </w:rPr>
              <w:t xml:space="preserve"> </w:t>
            </w:r>
            <w:r>
              <w:rPr>
                <w:rStyle w:val="VerbatimChar"/>
                <w:sz w:val="18"/>
              </w:rPr>
              <w:t xml:space="preserve">POST /api/ops/jobs/catalogue-sync</w:t>
            </w:r>
            <w:r>
              <w:rPr>
                <w:sz w:val="18"/>
              </w:rPr>
              <w:t xml:space="preserve">) proposes a new</w:t>
            </w:r>
            <w:r>
              <w:rPr>
                <w:sz w:val="18"/>
              </w:rPr>
              <w:t xml:space="preserve"> </w:t>
            </w:r>
            <w:r>
              <w:rPr>
                <w:rStyle w:val="VerbatimChar"/>
                <w:sz w:val="18"/>
              </w:rPr>
              <w:t xml:space="preserve">products</w:t>
            </w:r>
            <w:r>
              <w:rPr>
                <w:sz w:val="18"/>
              </w:rPr>
              <w:t xml:space="preserve"> </w:t>
            </w:r>
            <w:r>
              <w:rPr>
                <w:sz w:val="18"/>
              </w:rPr>
              <w:t xml:space="preserve">rule set and submits it for approval with the differences in the audit trail. It is never activated automatically, and the system actor cannot approve its own proposal.</w:t>
            </w:r>
          </w:p>
        </w:tc>
      </w:tr>
      <w:tr>
        <w:tc>
          <w:tcPr>
            <w:noWrap/>
          </w:tcPr>
          <w:p>
            <w:pPr>
              <w:pStyle w:val="Compact"/>
              <w:spacing w:before="20" w:after="20"/>
              <w:jc w:val="left"/>
            </w:pPr>
            <w:r>
              <w:rPr>
                <w:sz w:val="18"/>
              </w:rPr>
              <w:t xml:space="preserve">Visibility</w:t>
            </w:r>
          </w:p>
        </w:tc>
        <w:tc>
          <w:tcPr/>
          <w:p>
            <w:pPr>
              <w:pStyle w:val="Compact"/>
              <w:spacing w:before="20" w:after="20"/>
              <w:jc w:val="left"/>
            </w:pPr>
            <w:r>
              <w:rPr>
                <w:rStyle w:val="VerbatimChar"/>
                <w:sz w:val="18"/>
              </w:rPr>
              <w:t xml:space="preserve">GET /api/integrations/status</w:t>
            </w:r>
            <w:r>
              <w:rPr>
                <w:sz w:val="18"/>
              </w:rPr>
              <w:t xml:space="preserve"> </w:t>
            </w:r>
            <w:r>
              <w:rPr>
                <w:sz w:val="18"/>
              </w:rPr>
              <w:t xml:space="preserve">shows the rating source, circuit states and last catalogue sync</w:t>
            </w:r>
          </w:p>
        </w:tc>
      </w:tr>
    </w:tbl>
    <w:bookmarkStart w:id="26" w:name="consequences"/>
    <w:p>
      <w:pPr>
        <w:pStyle w:val="Heading3"/>
      </w:pPr>
      <w:r>
        <w:t xml:space="preserve">Consequences</w:t>
      </w:r>
    </w:p>
    <w:p>
      <w:pPr>
        <w:numPr>
          <w:ilvl w:val="0"/>
          <w:numId w:val="1004"/>
        </w:numPr>
        <w:pStyle w:val="Compact"/>
      </w:pPr>
      <w:r>
        <w:t xml:space="preserve">Good: core is the only authority on price, and the audit trail records which system rated each quote and with which version.</w:t>
      </w:r>
    </w:p>
    <w:p>
      <w:pPr>
        <w:numPr>
          <w:ilvl w:val="0"/>
          <w:numId w:val="1004"/>
        </w:numPr>
        <w:pStyle w:val="Compact"/>
      </w:pPr>
      <w:r>
        <w:t xml:space="preserve">Good: TASCO chooses availability (fallback) or certainty (fail closed) by configuration.</w:t>
      </w:r>
    </w:p>
    <w:p>
      <w:pPr>
        <w:numPr>
          <w:ilvl w:val="0"/>
          <w:numId w:val="1004"/>
        </w:numPr>
        <w:pStyle w:val="Compact"/>
      </w:pPr>
      <w:r>
        <w:t xml:space="preserve">Good: sandbox, UAT and automated tests run unchanged against the simulated core.</w:t>
      </w:r>
    </w:p>
    <w:p>
      <w:pPr>
        <w:numPr>
          <w:ilvl w:val="0"/>
          <w:numId w:val="1004"/>
        </w:numPr>
        <w:pStyle w:val="Compact"/>
      </w:pPr>
      <w:r>
        <w:t xml:space="preserve">Bad: the customer journey depends on core latency. A rating response time of 1 second or less at the 95th percentile must be agreed with TASCO core.</w:t>
      </w:r>
    </w:p>
    <w:p>
      <w:pPr>
        <w:numPr>
          <w:ilvl w:val="0"/>
          <w:numId w:val="1004"/>
        </w:numPr>
        <w:pStyle w:val="Compact"/>
      </w:pPr>
      <w:r>
        <w:t xml:space="preserve">Bad / constraints: the REST paths, payloads and error codes are assumptions until TASCO's interface specification is received in discovery; only the mapping inside the adapter changes. If core cannot expose a rating API in time, option 3 is the interim path, with core re-rating at issue and rejecting mismatches.</w:t>
      </w:r>
    </w:p>
    <w:bookmarkEnd w:id="26"/>
    <w:bookmarkEnd w:id="27"/>
    <w:bookmarkStart w:id="28" w:name="pros-and-cons-of-the-options"/>
    <w:p>
      <w:pPr>
        <w:pStyle w:val="Heading2"/>
      </w:pPr>
      <w:r>
        <w:t xml:space="preserve">Pros and cons of the options</w:t>
      </w:r>
    </w:p>
    <w:p>
      <w:pPr>
        <w:pStyle w:val="FirstParagraph"/>
      </w:pPr>
      <w:r>
        <w:rPr>
          <w:bCs/>
          <w:b/>
        </w:rPr>
        <w:t xml:space="preserve">Reconcile after issue (option 2).</w:t>
      </w:r>
      <w:r>
        <w:t xml:space="preserve"> </w:t>
      </w:r>
      <w:r>
        <w:t xml:space="preserve">Simple, but a mismatch is found only after the customer has paid. Rejected.</w:t>
      </w:r>
    </w:p>
    <w:p>
      <w:pPr>
        <w:pStyle w:val="BodyText"/>
      </w:pPr>
      <w:r>
        <w:rPr>
          <w:bCs/>
          <w:b/>
        </w:rPr>
        <w:t xml:space="preserve">Replicate tariffs (option 3).</w:t>
      </w:r>
      <w:r>
        <w:t xml:space="preserve"> </w:t>
      </w:r>
      <w:r>
        <w:t xml:space="preserve">Works without a rating API and is fast, but it duplicates rating logic and needs strict version control. Kept as the interim fallback path only.</w:t>
      </w:r>
    </w:p>
    <w:bookmarkEnd w:id="28"/>
    <w:sectPr>
      <w:headerReference r:id="rId9" w:type="default"/>
      <w:footerReference r:id="rId10" w:type="default"/>
      <w:pgSz w:h="16838" w:w="11906"/>
      <w:pgMar w:bottom="1020" w:left="1020" w:right="102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t xml:space="preserve">Prepared by iorta TechNXT · Confidential · Page </w:t>
    </w:r>
    <w:r>
      <w:rPr>
        <w:sz w:val="16"/>
      </w:rPr>
      <w:fldChar w:fldCharType="begin"/>
      <w:instrText>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213368"/>
        <w:sz w:val="16"/>
      </w:rPr>
      <w:t>TASCO Insurance × VETC — Growth Platform</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121A33"/>
      <w:sz w:val="22"/>
    </w:rPr>
  </w:style>
  <w:style w:styleId="BodyText" w:type="paragraph">
    <w:name w:val="Body Text"/>
    <w:basedOn w:val="Normal"/>
    <w:link w:val="BodyTextChar"/>
    <w:pPr>
      <w:spacing w:after="180" w:before="180"/>
    </w:pPr>
    <w:qFormat/>
    <w:rPr>
      <w:rFonts w:ascii="Calibri" w:cs="Calibri" w:eastAsia="Calibri" w:hAnsi="Calibri"/>
      <w:color w:val="121A33"/>
      <w:sz w:val="22"/>
    </w:rPr>
  </w:style>
  <w:style w:customStyle="1" w:styleId="FirstParagraph" w:type="paragraph">
    <w:name w:val="First Paragraph"/>
    <w:basedOn w:val="BodyText"/>
    <w:next w:val="BodyText"/>
    <w:qFormat/>
    <w:rPr>
      <w:rFonts w:ascii="Calibri" w:cs="Calibri" w:eastAsia="Calibri" w:hAnsi="Calibri"/>
      <w:color w:val="121A33"/>
      <w:sz w:val="22"/>
    </w:rPr>
  </w:style>
  <w:style w:customStyle="1" w:styleId="Compact" w:type="paragraph">
    <w:name w:val="Compact"/>
    <w:basedOn w:val="BodyText"/>
    <w:qFormat/>
    <w:pPr>
      <w:spacing w:after="36" w:before="36"/>
    </w:pPr>
    <w:rPr>
      <w:rFonts w:ascii="Calibri" w:cs="Calibri" w:eastAsia="Calibri" w:hAnsi="Calibri"/>
      <w:color w:val="121A33"/>
      <w:sz w:val="22"/>
    </w:rPr>
  </w:style>
  <w:style w:styleId="Title" w:type="paragraph">
    <w:name w:val="Title"/>
    <w:basedOn w:val="Normal"/>
    <w:next w:val="BodyText"/>
    <w:qFormat/>
    <w:pPr>
      <w:keepNext/>
      <w:keepLines/>
      <w:spacing w:after="240" w:before="480"/>
      <w:jc w:val="center"/>
    </w:pPr>
    <w:rPr>
      <w:rFonts w:ascii="Calibri" w:asciiTheme="majorHAnsi" w:cs="Calibri" w:cstheme="majorBidi" w:eastAsia="Calibri" w:eastAsiaTheme="majorEastAsia" w:hAnsi="Calibri" w:hAnsiTheme="majorHAnsi"/>
      <w:b/>
      <w:bCs/>
      <w:color w:val="213368"/>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val="0"/>
      <w:color w:val="0B6B66"/>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color w:val="121A33"/>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sz w:val="18"/>
    </w:rPr>
    <w:tblPr>
      <w:tblInd w:type="dxa" w:w="0"/>
      <w:tblCellMar>
        <w:top w:type="dxa" w:w="0"/>
        <w:left w:type="dxa" w:w="108"/>
        <w:bottom w:type="dxa" w:w="0"/>
        <w:right w:type="dxa" w:w="108"/>
      </w:tblCellMar>
      <w:tblBorders>
        <w:top w:color="C9D1E0" w:sz="4" w:val="single"/>
        <w:left w:color="C9D1E0" w:sz="4" w:val="single"/>
        <w:bottom w:color="C9D1E0" w:sz="4" w:val="single"/>
        <w:right w:color="C9D1E0" w:sz="4" w:val="single"/>
        <w:insideH w:color="C9D1E0" w:sz="4" w:val="single"/>
        <w:insideV w:color="C9D1E0"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2A3A6E"/>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B6B66"/>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0" Type="http://schemas.openxmlformats.org/officeDocument/2006/relationships/hyperlink" Target="../integration-architecture.pdf" TargetMode="External"/><Relationship Id="rId22" Type="http://schemas.openxmlformats.org/officeDocument/2006/relationships/hyperlink" Target="../solution-architecture.pdf" TargetMode="External"/><Relationship Id="rId21" Type="http://schemas.openxmlformats.org/officeDocument/2006/relationships/hyperlink" Target="ADR-003-rules-engine-maker-checker.pdf"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integration-architecture.pdf" TargetMode="External"/><Relationship Id="rId22" Type="http://schemas.openxmlformats.org/officeDocument/2006/relationships/hyperlink" Target="../solution-architecture.pdf" TargetMode="External"/><Relationship Id="rId21" Type="http://schemas.openxmlformats.org/officeDocument/2006/relationships/hyperlink" Target="ADR-003-rules-engine-maker-checke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ADR-013: TASCO Core as the Master for Products and Rating</dc:title>
  <dc:creator>iorta TechNXT</dc:creator>
  <cp:keywords/>
  <dcterms:created xsi:type="dcterms:W3CDTF">2026-10-07T22:35:45Z</dcterms:created>
  <dcterms:modified xsi:type="dcterms:W3CDTF">2026-10-07T22:35:45Z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07 October 2026</vt:lpwstr>
  </property>
  <property fmtid="{D5CDD505-2E9C-101B-9397-08002B2CF9AE}" pid="3" name="subtitle">
    <vt:lpwstr>TASCO Insurance × VETC Growth Platform — Architecture Decision Record</vt:lpwstr>
  </property>
</Properties>
</file>