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Solution Architecture</w:t>
      </w:r>
    </w:p>
    <w:p>
      <w:pPr>
        <w:pStyle w:val="Subtitle"/>
      </w:pPr>
      <w:r>
        <w:t xml:space="preserve">TASCO Insurance × VETC Growth Platform — Architecture</w:t>
      </w:r>
    </w:p>
    <w:p>
      <w:pPr>
        <w:pStyle w:val="Author"/>
      </w:pPr>
      <w:r>
        <w:t xml:space="preserve">iorta TechNXT</w:t>
      </w:r>
    </w:p>
    <w:p>
      <w:pPr>
        <w:pStyle w:val="Date"/>
      </w:pPr>
      <w:r>
        <w:t xml:space="preserve">Version 1.0 · 07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Document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Solution Architecture</w:t>
            </w:r>
          </w:p>
        </w:tc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07 October 2026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iorta TechNXT Architecture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Issued for submission</w:t>
            </w:r>
          </w:p>
        </w:tc>
      </w:tr>
    </w:tbl>
    <w:p>
      <w:pPr>
        <w:pStyle w:val="BlockText"/>
      </w:pPr>
      <w:r>
        <w:t xml:space="preserve">Scope: the TASCO Growth Platform codebase (</w:t>
      </w:r>
      <w:r>
        <w:rPr>
          <w:rStyle w:val="VerbatimChar"/>
        </w:rPr>
        <w:t xml:space="preserve">/src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/db</w:t>
      </w:r>
      <w:r>
        <w:t xml:space="preserve">). Companion documents:</w:t>
      </w:r>
      <w:r>
        <w:t xml:space="preserve"> </w:t>
      </w:r>
      <w:hyperlink r:id="rId20">
        <w:r>
          <w:rPr>
            <w:rStyle w:val="Hyperlink"/>
          </w:rPr>
          <w:t xml:space="preserve">Integration Architecture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Deployment and Infrastructure Architecture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Data Architecture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Security Architecture</w:t>
        </w:r>
      </w:hyperlink>
      <w:r>
        <w:t xml:space="preserve">,</w:t>
      </w:r>
      <w:r>
        <w:t xml:space="preserve"> </w:t>
      </w:r>
      <w:hyperlink r:id="rId24">
        <w:r>
          <w:rPr>
            <w:rStyle w:val="Hyperlink"/>
          </w:rPr>
          <w:t xml:space="preserve">AI and Prompt Governance</w:t>
        </w:r>
      </w:hyperlink>
      <w:r>
        <w:t xml:space="preserve"> </w:t>
      </w:r>
      <w:r>
        <w:t xml:space="preserve">and the architecture decision records listed in the</w:t>
      </w:r>
      <w:r>
        <w:t xml:space="preserve"> </w:t>
      </w:r>
      <w:hyperlink r:id="rId25">
        <w:r>
          <w:rPr>
            <w:rStyle w:val="Hyperlink"/>
          </w:rPr>
          <w:t xml:space="preserve">Architecture Documentation index</w:t>
        </w:r>
      </w:hyperlink>
      <w:r>
        <w:t xml:space="preserve">.</w:t>
      </w:r>
    </w:p>
    <w:bookmarkStart w:id="26" w:name="X2923612f7139ac79af154c6e9b8cee0ed4e93e4"/>
    <w:p>
      <w:pPr>
        <w:pStyle w:val="Heading2"/>
      </w:pPr>
      <w:r>
        <w:t xml:space="preserve">1. Business context in one paragraph</w:t>
      </w:r>
    </w:p>
    <w:p>
      <w:pPr>
        <w:pStyle w:val="FirstParagraph"/>
      </w:pPr>
      <w:r>
        <w:t xml:space="preserve">VETC runs electronic toll collection for about 6 million vehicles. Its records hold a plate, a phone number and engagement signals for every vehicle. Only about 1 in 10 records has a verified motor insurance certificate (</w:t>
      </w:r>
      <w:r>
        <w:rPr>
          <w:rStyle w:val="VerbatimChar"/>
        </w:rPr>
        <w:t xml:space="preserve">src/adapters/integrations/syntheticVetcSource.js</w:t>
      </w:r>
      <w:r>
        <w:t xml:space="preserve"> </w:t>
      </w:r>
      <w:r>
        <w:t xml:space="preserve">reproduces this). TASCO Insurance wants to:</w:t>
      </w:r>
    </w:p>
    <w:p>
      <w:pPr>
        <w:numPr>
          <w:ilvl w:val="0"/>
          <w:numId w:val="1001"/>
        </w:numPr>
        <w:pStyle w:val="Compact"/>
      </w:pPr>
      <w:r>
        <w:t xml:space="preserve">win</w:t>
      </w:r>
      <w:r>
        <w:t xml:space="preserve"> </w:t>
      </w:r>
      <w:r>
        <w:rPr>
          <w:bCs/>
          <w:b/>
        </w:rPr>
        <w:t xml:space="preserve">new business</w:t>
      </w:r>
      <w:r>
        <w:t xml:space="preserve">, meaning uninsured, lapsed and newly registered vehicles;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retain</w:t>
      </w:r>
      <w:r>
        <w:t xml:space="preserve"> </w:t>
      </w:r>
      <w:r>
        <w:t xml:space="preserve">its own TNDS (compulsory third-party liability) customers;</w:t>
      </w:r>
    </w:p>
    <w:p>
      <w:pPr>
        <w:numPr>
          <w:ilvl w:val="0"/>
          <w:numId w:val="1001"/>
        </w:numPr>
        <w:pStyle w:val="Compact"/>
      </w:pPr>
      <w:r>
        <w:t xml:space="preserve">work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t xml:space="preserve">the partners (banks, showrooms, agents, fleets, inspection centres) who close most TNDS sales today, not against them;</w:t>
      </w:r>
    </w:p>
    <w:p>
      <w:pPr>
        <w:numPr>
          <w:ilvl w:val="0"/>
          <w:numId w:val="1001"/>
        </w:numPr>
        <w:pStyle w:val="Compact"/>
      </w:pPr>
      <w:r>
        <w:t xml:space="preserve">give customers a trustworthy digital experience, including claims FNOL.</w:t>
      </w:r>
    </w:p>
    <w:p>
      <w:pPr>
        <w:pStyle w:val="FirstParagraph"/>
      </w:pPr>
      <w:r>
        <w:t xml:space="preserve">The TNDS premium is set by regulation (</w:t>
      </w:r>
      <w:r>
        <w:rPr>
          <w:rStyle w:val="VerbatimChar"/>
        </w:rPr>
        <w:t xml:space="preserve">config/rules/tariff.tnds_car.json</w:t>
      </w:r>
      <w:r>
        <w:t xml:space="preserve">, Decree 67/2023/ND-CP;</w:t>
      </w:r>
      <w:r>
        <w:t xml:space="preserve"> </w:t>
      </w:r>
      <w:r>
        <w:rPr>
          <w:bCs/>
          <w:b/>
        </w:rPr>
        <w:t xml:space="preserve">confirm with TASCO legal</w:t>
      </w:r>
      <w:r>
        <w:t xml:space="preserve">). Price therefore cannot be the lever. The platform competes on four things instead:</w:t>
      </w:r>
      <w:r>
        <w:t xml:space="preserve"> </w:t>
      </w:r>
      <w:r>
        <w:rPr>
          <w:bCs/>
          <w:b/>
        </w:rPr>
        <w:t xml:space="preserve">data, timing, channel and service value</w:t>
      </w:r>
      <w:r>
        <w:t xml:space="preserve">.</w:t>
      </w:r>
    </w:p>
    <w:bookmarkEnd w:id="26"/>
    <w:bookmarkStart w:id="32" w:name="X20425d522817430b2638a986172e7c550d08056"/>
    <w:p>
      <w:pPr>
        <w:pStyle w:val="Heading2"/>
      </w:pPr>
      <w:r>
        <w:t xml:space="preserve">2. Architecture principles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#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Principle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How the code enforces it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Domain at the centre, adapters at the edge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(hexagonal)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src/domain/*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imports only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src/shared/*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src/rules/*</w:t>
            </w:r>
            <w:r>
              <w:rPr>
                <w:sz w:val="18"/>
              </w:rPr>
              <w:t xml:space="preserve">. Adapters are chosen only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src/bootstrap/container.js</w:t>
            </w:r>
            <w:r>
              <w:rPr>
                <w:sz w:val="18"/>
              </w:rPr>
              <w:t xml:space="preserve">. See</w:t>
            </w:r>
            <w:r>
              <w:rPr>
                <w:sz w:val="18"/>
              </w:rPr>
              <w:t xml:space="preserve"> </w:t>
            </w:r>
            <w:hyperlink r:id="rId27">
              <w:r>
                <w:rPr>
                  <w:rStyle w:val="Hyperlink"/>
                </w:rPr>
                <w:t xml:space="preserve">ADR-001</w:t>
              </w:r>
            </w:hyperlink>
            <w:r>
              <w:rPr>
                <w:sz w:val="18"/>
              </w:rPr>
              <w:t xml:space="preserve">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Business rules are data, not code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21 rule kinds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config/rules/*.json</w:t>
            </w:r>
            <w:r>
              <w:rPr>
                <w:sz w:val="18"/>
              </w:rPr>
              <w:t xml:space="preserve">, evaluated by a safe JSON Logic subset (</w:t>
            </w:r>
            <w:r>
              <w:rPr>
                <w:rStyle w:val="VerbatimChar"/>
                <w:sz w:val="18"/>
              </w:rPr>
              <w:t xml:space="preserve">src/rules/jsonLogic.js</w:t>
            </w:r>
            <w:r>
              <w:rPr>
                <w:sz w:val="18"/>
              </w:rPr>
              <w:t xml:space="preserve">). Changes go through maker-checker (</w:t>
            </w:r>
            <w:r>
              <w:rPr>
                <w:rStyle w:val="VerbatimChar"/>
                <w:sz w:val="18"/>
              </w:rPr>
              <w:t xml:space="preserve">src/application/rulesService.js</w:t>
            </w:r>
            <w:r>
              <w:rPr>
                <w:sz w:val="18"/>
              </w:rPr>
              <w:t xml:space="preserve">). See</w:t>
            </w:r>
            <w:r>
              <w:rPr>
                <w:sz w:val="18"/>
              </w:rPr>
              <w:t xml:space="preserve"> </w:t>
            </w:r>
            <w:hyperlink r:id="rId28">
              <w:r>
                <w:rPr>
                  <w:rStyle w:val="Hyperlink"/>
                </w:rPr>
                <w:t xml:space="preserve">ADR-003</w:t>
              </w:r>
            </w:hyperlink>
            <w:r>
              <w:rPr>
                <w:sz w:val="18"/>
              </w:rPr>
              <w:t xml:space="preserve">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Secure by default, deny by default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Every route declares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auth</w:t>
            </w:r>
            <w:r>
              <w:rPr>
                <w:sz w:val="18"/>
              </w:rPr>
              <w:t xml:space="preserve">/</w:t>
            </w:r>
            <w:r>
              <w:rPr>
                <w:rStyle w:val="VerbatimChar"/>
                <w:sz w:val="18"/>
              </w:rPr>
              <w:t xml:space="preserve">perm</w:t>
            </w:r>
            <w:r>
              <w:rPr>
                <w:sz w:val="18"/>
              </w:rPr>
              <w:t xml:space="preserve">/schemas (</w:t>
            </w:r>
            <w:r>
              <w:rPr>
                <w:rStyle w:val="VerbatimChar"/>
                <w:sz w:val="18"/>
              </w:rPr>
              <w:t xml:space="preserve">src/adapters/http/routes.js</w:t>
            </w:r>
            <w:r>
              <w:rPr>
                <w:sz w:val="18"/>
              </w:rPr>
              <w:t xml:space="preserve">). Validation rejects unknown fields (</w:t>
            </w:r>
            <w:r>
              <w:rPr>
                <w:rStyle w:val="VerbatimChar"/>
                <w:sz w:val="18"/>
              </w:rPr>
              <w:t xml:space="preserve">src/shared/validation.js</w:t>
            </w:r>
            <w:r>
              <w:rPr>
                <w:sz w:val="18"/>
              </w:rPr>
              <w:t xml:space="preserve">). PII is encrypted per field (</w:t>
            </w:r>
            <w:r>
              <w:rPr>
                <w:rStyle w:val="VerbatimChar"/>
                <w:sz w:val="18"/>
              </w:rPr>
              <w:t xml:space="preserve">codec.js</w:t>
            </w:r>
            <w:r>
              <w:rPr>
                <w:sz w:val="18"/>
              </w:rPr>
              <w:t xml:space="preserve">). Production refuses to boot without secrets or a database, or with demo mode on (</w:t>
            </w:r>
            <w:r>
              <w:rPr>
                <w:rStyle w:val="VerbatimChar"/>
                <w:sz w:val="18"/>
              </w:rPr>
              <w:t xml:space="preserve">src/shared/config.js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P4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Explainability over black boxes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The lead score is a weighted sum of named factors with reason strings (</w:t>
            </w:r>
            <w:r>
              <w:rPr>
                <w:rStyle w:val="VerbatimChar"/>
                <w:sz w:val="18"/>
              </w:rPr>
              <w:t xml:space="preserve">src/domain/leads.js#score</w:t>
            </w:r>
            <w:r>
              <w:rPr>
                <w:sz w:val="18"/>
              </w:rPr>
              <w:t xml:space="preserve">). Each NBA result carries a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ruleId</w:t>
            </w:r>
            <w:r>
              <w:rPr>
                <w:sz w:val="18"/>
              </w:rPr>
              <w:t xml:space="preserve">. Golden-record fields carry lineage and confidence (</w:t>
            </w:r>
            <w:r>
              <w:rPr>
                <w:rStyle w:val="VerbatimChar"/>
                <w:sz w:val="18"/>
              </w:rPr>
              <w:t xml:space="preserve">src/domain/enrichment.js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P5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Consent and trust first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Every outbound touch passes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canContact()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rStyle w:val="VerbatimChar"/>
                <w:sz w:val="18"/>
              </w:rPr>
              <w:t xml:space="preserve">src/domain/contactPolicy.js</w:t>
            </w:r>
            <w:r>
              <w:rPr>
                <w:sz w:val="18"/>
              </w:rPr>
              <w:t xml:space="preserve">) and the copy guard. The voice bot discloses that it is automated and verifies the plate first (</w:t>
            </w:r>
            <w:r>
              <w:rPr>
                <w:rStyle w:val="VerbatimChar"/>
                <w:sz w:val="18"/>
              </w:rPr>
              <w:t xml:space="preserve">src/domain/voicebot.js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Idempotent, at-least-once integration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Orders use idempotency keys, and the quote is claimed atomically before payment (</w:t>
            </w:r>
            <w:r>
              <w:rPr>
                <w:rStyle w:val="VerbatimChar"/>
                <w:sz w:val="18"/>
              </w:rPr>
              <w:t xml:space="preserve">salesService.purchase</w:t>
            </w:r>
            <w:r>
              <w:rPr>
                <w:sz w:val="18"/>
              </w:rPr>
              <w:t xml:space="preserve">). Outbound calls are wrapped in timeout + retry + circuit breaker (</w:t>
            </w:r>
            <w:r>
              <w:rPr>
                <w:rStyle w:val="VerbatimChar"/>
                <w:sz w:val="18"/>
              </w:rPr>
              <w:t xml:space="preserve">src/shared/resilience.js</w:t>
            </w:r>
            <w:r>
              <w:rPr>
                <w:sz w:val="18"/>
              </w:rPr>
              <w:t xml:space="preserve">). Event handlers are named and tracked per event (</w:t>
            </w:r>
            <w:r>
              <w:rPr>
                <w:rStyle w:val="VerbatimChar"/>
                <w:sz w:val="18"/>
              </w:rPr>
              <w:t xml:space="preserve">outboxEventBus.js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P7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Minimal supply chain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One runtime dependency (</w:t>
            </w:r>
            <w:r>
              <w:rPr>
                <w:rStyle w:val="VerbatimChar"/>
                <w:sz w:val="18"/>
              </w:rPr>
              <w:t xml:space="preserve">pg</w:t>
            </w:r>
            <w:r>
              <w:rPr>
                <w:sz w:val="18"/>
              </w:rPr>
              <w:t xml:space="preserve">). Crypto, HTTP, routing, metrics and validation come from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node:*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built-ins. See</w:t>
            </w:r>
            <w:r>
              <w:rPr>
                <w:sz w:val="18"/>
              </w:rPr>
              <w:t xml:space="preserve"> </w:t>
            </w:r>
            <w:hyperlink r:id="rId29">
              <w:r>
                <w:rPr>
                  <w:rStyle w:val="Hyperlink"/>
                </w:rPr>
                <w:t xml:space="preserve">ADR-002</w:t>
              </w:r>
            </w:hyperlink>
            <w:r>
              <w:rPr>
                <w:sz w:val="18"/>
              </w:rPr>
              <w:t xml:space="preserve">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P8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Twelve-factor, stateless processes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Config comes from env or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*_FILE</w:t>
            </w:r>
            <w:r>
              <w:rPr>
                <w:sz w:val="18"/>
              </w:rPr>
              <w:t xml:space="preserve">. Logs are JSON on stdout. State lives in Postgres. Shutdown is graceful (</w:t>
            </w:r>
            <w:r>
              <w:rPr>
                <w:rStyle w:val="VerbatimChar"/>
                <w:sz w:val="18"/>
              </w:rPr>
              <w:t xml:space="preserve">src/server.js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P9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Same behaviour in every environment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The in-memory and Postgres stores share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codec.js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query.js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auditChain.js</w:t>
            </w:r>
            <w:r>
              <w:rPr>
                <w:sz w:val="18"/>
              </w:rPr>
              <w:t xml:space="preserve">, so encryption, filtering and audit chaining behave the same (</w:t>
            </w:r>
            <w:hyperlink r:id="rId30">
              <w:r>
                <w:rPr>
                  <w:rStyle w:val="Hyperlink"/>
                </w:rPr>
                <w:t xml:space="preserve">ADR-004</w:t>
              </w:r>
            </w:hyperlink>
            <w:r>
              <w:rPr>
                <w:sz w:val="18"/>
              </w:rPr>
              <w:t xml:space="preserve">).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P10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Tamper-evident accountability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 hash-chained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audit_log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 database triggers that block UPDATE, DELETE (</w:t>
            </w:r>
            <w:r>
              <w:rPr>
                <w:rStyle w:val="VerbatimChar"/>
                <w:sz w:val="18"/>
              </w:rPr>
              <w:t xml:space="preserve">db/migrations/001_init.sql</w:t>
            </w:r>
            <w:r>
              <w:rPr>
                <w:sz w:val="18"/>
              </w:rPr>
              <w:t xml:space="preserve">) and TRUNCATE (</w:t>
            </w:r>
            <w:r>
              <w:rPr>
                <w:rStyle w:val="VerbatimChar"/>
                <w:sz w:val="18"/>
              </w:rPr>
              <w:t xml:space="preserve">002_integrity_hardening.sql</w:t>
            </w:r>
            <w:r>
              <w:rPr>
                <w:sz w:val="18"/>
              </w:rPr>
              <w:t xml:space="preserve">) (</w:t>
            </w:r>
            <w:r>
              <w:rPr>
                <w:sz w:val="18"/>
              </w:rPr>
              <w:t xml:space="preserve"> </w:t>
            </w:r>
            <w:hyperlink r:id="rId31">
              <w:r>
                <w:rPr>
                  <w:rStyle w:val="Hyperlink"/>
                </w:rPr>
                <w:t xml:space="preserve">ADR-008</w:t>
              </w:r>
            </w:hyperlink>
            <w:r>
              <w:rPr>
                <w:sz w:val="18"/>
              </w:rPr>
              <w:t xml:space="preserve">).</w:t>
            </w:r>
          </w:p>
        </w:tc>
      </w:tr>
    </w:tbl>
    <w:bookmarkEnd w:id="32"/>
    <w:bookmarkStart w:id="36" w:name="X71e5de22e4695b168b35a58d5a38641d84c6294"/>
    <w:p>
      <w:pPr>
        <w:pStyle w:val="Heading2"/>
      </w:pPr>
      <w:r>
        <w:t xml:space="preserve">3. C4 Level 1 — System context</w:t>
      </w:r>
    </w:p>
    <w:p>
      <w:pPr>
        <w:pStyle w:val="FirstParagraph"/>
      </w:pPr>
      <w:r>
        <w:t xml:space="preserve">The platform sits between VETC's customer base and channels, TASCO's core systems and the partner network.</w:t>
      </w:r>
    </w:p>
    <w:p>
      <w:pPr>
        <w:pStyle w:val="BodyText"/>
      </w:pPr>
      <w:r>
        <w:drawing>
          <wp:inline>
            <wp:extent cx="6119999" cy="163054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solution-architectur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1630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83bf4180b87e321454aeee1a1dee48b8ea0b73b"/>
    <w:p>
      <w:pPr>
        <w:pStyle w:val="Heading2"/>
      </w:pPr>
      <w:r>
        <w:t xml:space="preserve">4. C4 Level 2 — Containers</w:t>
      </w:r>
    </w:p>
    <w:p>
      <w:pPr>
        <w:pStyle w:val="FirstParagraph"/>
      </w:pPr>
      <w:r>
        <w:drawing>
          <wp:inline>
            <wp:extent cx="6119999" cy="318677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solution-architecture-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3186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Container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Technology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Responsibility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Scaling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API server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Node.js 22,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node:http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src/server.js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All synchronous APIs, static SPA,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/health/*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/metrics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/api/openapi.json</w:t>
            </w:r>
            <w:r>
              <w:rPr>
                <w:sz w:val="18"/>
              </w:rPr>
              <w:t xml:space="preserve">; background outbox relay every 1 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Horizontal (stateless). HPA on CPU. The outbox relay is safe on N replicas (</w:t>
            </w:r>
            <w:r>
              <w:rPr>
                <w:rStyle w:val="VerbatimChar"/>
                <w:sz w:val="18"/>
              </w:rPr>
              <w:t xml:space="preserve">FOR UPDATE SKIP LOCKED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Batch jobs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Same image,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node src/jobs/cli.js &lt;job&gt;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journeys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recompute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reconcile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retention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relay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migrate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seed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(requires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DEMO_MODE</w:t>
            </w:r>
            <w:r>
              <w:rPr>
                <w:sz w:val="18"/>
              </w:rPr>
              <w:t xml:space="preserve">),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openapi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One pod per CronJob run. Use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concurrencyPolicy: Forbid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(see the deployment document).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PostgreSQL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Managed PostgreSQL 16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System of record, outbox, audit chain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Vertical, plus a read replica. Partitioning at scale (§10).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SPA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Static files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public/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served by the API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Staff console, customer app, certificate verification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CDN-cacheable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/assets/*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rStyle w:val="VerbatimChar"/>
                <w:sz w:val="18"/>
              </w:rPr>
              <w:t xml:space="preserve">Cache-Control: max-age=86400</w:t>
            </w:r>
            <w:r>
              <w:rPr>
                <w:sz w:val="18"/>
              </w:rPr>
              <w:t xml:space="preserve">)</w:t>
            </w:r>
          </w:p>
        </w:tc>
      </w:tr>
    </w:tbl>
    <w:bookmarkEnd w:id="40"/>
    <w:bookmarkStart w:id="44" w:name="X15caae1bc6f124b7c33fb32d4246906f1b15df8"/>
    <w:p>
      <w:pPr>
        <w:pStyle w:val="Heading2"/>
      </w:pPr>
      <w:r>
        <w:t xml:space="preserve">5. C4 Level 3 — Components (API server)</w:t>
      </w:r>
    </w:p>
    <w:p>
      <w:pPr>
        <w:pStyle w:val="FirstParagraph"/>
      </w:pPr>
      <w:r>
        <w:t xml:space="preserve">Inside the API server, the HTTP adapter calls application services, which use the domain, the rules engine and the driven adapters.</w:t>
      </w:r>
    </w:p>
    <w:p>
      <w:pPr>
        <w:pStyle w:val="BodyText"/>
      </w:pPr>
      <w:r>
        <w:drawing>
          <wp:inline>
            <wp:extent cx="4936082" cy="683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solution-architecture-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082" cy="68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7365cda21a31a45c9cc3242e09c3ff1ebeceb7c"/>
    <w:p>
      <w:pPr>
        <w:pStyle w:val="Heading2"/>
      </w:pPr>
      <w:r>
        <w:t xml:space="preserve">6. Hexagonal layering and the dependency rule</w:t>
      </w:r>
    </w:p>
    <w:p>
      <w:pPr>
        <w:pStyle w:val="FirstParagraph"/>
      </w:pPr>
      <w:r>
        <w:drawing>
          <wp:inline>
            <wp:extent cx="6119999" cy="354795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solution-architecture-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3547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Dependency rule.</w:t>
      </w:r>
      <w:r>
        <w:t xml:space="preserve"> </w:t>
      </w:r>
      <w:r>
        <w:t xml:space="preserve">Source dependencies point inward only: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src/domain/*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src/rules/*</w:t>
      </w:r>
      <w:r>
        <w:t xml:space="preserve"> </w:t>
      </w:r>
      <w:r>
        <w:t xml:space="preserve">depend only on</w:t>
      </w:r>
      <w:r>
        <w:t xml:space="preserve"> </w:t>
      </w:r>
      <w:r>
        <w:rPr>
          <w:rStyle w:val="VerbatimChar"/>
        </w:rPr>
        <w:t xml:space="preserve">src/shared/*</w:t>
      </w:r>
      <w:r>
        <w:t xml:space="preserve">. They do no I/O and read no clock (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is passed in), so they can be unit-tested deterministically.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src/application/*</w:t>
      </w:r>
      <w:r>
        <w:t xml:space="preserve"> </w:t>
      </w:r>
      <w:r>
        <w:t xml:space="preserve">depends on the domain, plus</w:t>
      </w:r>
      <w:r>
        <w:t xml:space="preserve"> </w:t>
      </w:r>
      <w:r>
        <w:rPr>
          <w:bCs/>
          <w:b/>
        </w:rPr>
        <w:t xml:space="preserve">ports</w:t>
      </w:r>
      <w:r>
        <w:t xml:space="preserve"> </w:t>
      </w:r>
      <w:r>
        <w:t xml:space="preserve">injected through the factory arguments</w:t>
      </w:r>
      <w:r>
        <w:t xml:space="preserve"> </w:t>
      </w:r>
      <w:r>
        <w:rPr>
          <w:rStyle w:val="VerbatimChar"/>
        </w:rPr>
        <w:t xml:space="preserve">{ store, rules, audit, events, clock, logger, metrics, gateways }</w:t>
      </w:r>
      <w:r>
        <w:t xml:space="preserve">. It never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s an adapter.</w:t>
      </w:r>
    </w:p>
    <w:p>
      <w:pPr>
        <w:numPr>
          <w:ilvl w:val="0"/>
          <w:numId w:val="1002"/>
        </w:numPr>
        <w:pStyle w:val="Compact"/>
      </w:pPr>
      <w:r>
        <w:t xml:space="preserve">Adapters depend on application/domain types. Only</w:t>
      </w:r>
      <w:r>
        <w:t xml:space="preserve"> </w:t>
      </w:r>
      <w:r>
        <w:rPr>
          <w:rStyle w:val="VerbatimChar"/>
        </w:rPr>
        <w:t xml:space="preserve">src/bootstrap/container.js</w:t>
      </w:r>
      <w:r>
        <w:t xml:space="preserve"> </w:t>
      </w:r>
      <w:r>
        <w:t xml:space="preserve">knows which adapter implements which port. For example,</w:t>
      </w:r>
      <w:r>
        <w:t xml:space="preserve"> </w:t>
      </w:r>
      <w:r>
        <w:rPr>
          <w:rStyle w:val="VerbatimChar"/>
        </w:rPr>
        <w:t xml:space="preserve">createPostgresStore</w:t>
      </w:r>
      <w:r>
        <w:t xml:space="preserve"> </w:t>
      </w:r>
      <w:r>
        <w:t xml:space="preserve">is chosen when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set, and</w:t>
      </w:r>
      <w:r>
        <w:t xml:space="preserve"> </w:t>
      </w:r>
      <w:r>
        <w:rPr>
          <w:rStyle w:val="VerbatimChar"/>
        </w:rPr>
        <w:t xml:space="preserve">createMemoryStore</w:t>
      </w:r>
      <w:r>
        <w:t xml:space="preserve"> </w:t>
      </w:r>
      <w:r>
        <w:t xml:space="preserve">otherwise.</w:t>
      </w:r>
    </w:p>
    <w:p>
      <w:pPr>
        <w:pStyle w:val="FirstParagraph"/>
      </w:pPr>
      <w:r>
        <w:rPr>
          <w:bCs/>
          <w:b/>
        </w:rPr>
        <w:t xml:space="preserve">Ports (implicit interfaces, JS + JSDoc;</w:t>
      </w:r>
      <w:r>
        <w:rPr>
          <w:bCs/>
          <w:b/>
        </w:rPr>
        <w:t xml:space="preserve"> </w:t>
      </w:r>
      <w:hyperlink r:id="rId29">
        <w:r>
          <w:rPr>
            <w:rStyle w:val="Hyperlink"/>
            <w:bCs/>
            <w:b/>
          </w:rPr>
          <w:t xml:space="preserve">ADR-002</w:t>
        </w:r>
      </w:hyperlink>
      <w:r>
        <w:rPr>
          <w:bCs/>
          <w:b/>
        </w:rP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Port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Methods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Adapters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Store / Collection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get, insert, update (optimistic version), upsert, bulkUpsert, find({where, orderBy, limit, offset}), count, countBy, delete, deleteWhere, raw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memoryStore.js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postgresStore.js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Store extras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transaction(fn)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claimEvents(limit)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migrate()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ping()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close()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audit.{append,list,verify,count}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same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EventBus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publish(type, payload, {actor, correlationId})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subscribe(type, name, fn)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relay(limit)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drain()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outboxEventBus.js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PaymentGateway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debit({idempotencyKey, customerId, amount, description})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refund({transactionId, amount})</w:t>
            </w:r>
            <w:r>
              <w:rPr>
                <w:sz w:val="18"/>
              </w:rPr>
              <w:t xml:space="preserve">. Debits are made only for customer-confirmed orders.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createVetcWalletGateway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(sandbox)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PolicyAdministration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issuePolicy({...})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cancelPolicy({policyNo, reason})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createTascoCoreGateway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(sandbox)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NotificationChannel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send({to, text, templateKey, idempotencyKey})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createNotificationGateway({channel})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×3 (sandbox)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Telephony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runCall(dialogue, session, plateDisplay)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createSimulatedCaller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(sandbox)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SourceFeed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fetchBatch()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createSyntheticVetcSource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(sandbox)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RulesProvider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get(kind)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getRecord(kind)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rulesService.js</w:t>
            </w:r>
          </w:p>
        </w:tc>
      </w:tr>
    </w:tbl>
    <w:p>
      <w:pPr>
        <w:pStyle w:val="BodyText"/>
      </w:pPr>
      <w:r>
        <w:t xml:space="preserve">Full contracts are in the</w:t>
      </w:r>
      <w:r>
        <w:t xml:space="preserve"> </w:t>
      </w:r>
      <w:hyperlink r:id="rId20">
        <w:r>
          <w:rPr>
            <w:rStyle w:val="Hyperlink"/>
          </w:rPr>
          <w:t xml:space="preserve">Integration Architecture</w:t>
        </w:r>
      </w:hyperlink>
      <w:r>
        <w:t xml:space="preserve">.</w:t>
      </w:r>
    </w:p>
    <w:bookmarkEnd w:id="48"/>
    <w:bookmarkStart w:id="73" w:name="X0f62f3e816419f5f612184a0f158fed5dfd714c"/>
    <w:p>
      <w:pPr>
        <w:pStyle w:val="Heading2"/>
      </w:pPr>
      <w:r>
        <w:t xml:space="preserve">7. Key flows</w:t>
      </w:r>
    </w:p>
    <w:p>
      <w:pPr>
        <w:pStyle w:val="FirstParagraph"/>
      </w:pPr>
      <w:r>
        <w:t xml:space="preserve">The following sequences show the main runtime paths and the code that implements each step.</w:t>
      </w:r>
    </w:p>
    <w:bookmarkStart w:id="52" w:name="X8ffe3c69fcfc1fc0319ebada4ddaa622af7f673"/>
    <w:p>
      <w:pPr>
        <w:pStyle w:val="Heading3"/>
      </w:pPr>
      <w:r>
        <w:t xml:space="preserve">7.1 Ingest → golden record → score → journey</w:t>
      </w:r>
    </w:p>
    <w:p>
      <w:pPr>
        <w:pStyle w:val="FirstParagraph"/>
      </w:pPr>
      <w:r>
        <w:drawing>
          <wp:inline>
            <wp:extent cx="6119999" cy="292011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solution-architecture-5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2920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Notes. The rebuild is</w:t>
      </w:r>
      <w:r>
        <w:t xml:space="preserve"> </w:t>
      </w:r>
      <w:r>
        <w:rPr>
          <w:bCs/>
          <w:b/>
        </w:rPr>
        <w:t xml:space="preserve">incremental by plate</w:t>
      </w:r>
      <w:r>
        <w:t xml:space="preserve">: only the plates in the batch are rebuilt. Facts captured on the platform (</w:t>
      </w:r>
      <w:r>
        <w:rPr>
          <w:rStyle w:val="VerbatimChar"/>
        </w:rPr>
        <w:t xml:space="preserve">customer_declared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voice_bot</w:t>
      </w:r>
      <w:r>
        <w:t xml:space="preserve">,</w:t>
      </w:r>
      <w:r>
        <w:t xml:space="preserve"> </w:t>
      </w:r>
      <w:r>
        <w:rPr>
          <w:rStyle w:val="VerbatimChar"/>
        </w:rPr>
        <w:t xml:space="preserve">tasco_issued</w:t>
      </w:r>
      <w:r>
        <w:t xml:space="preserve">) survive a rebuild when they have higher confidence (</w:t>
      </w:r>
      <w:r>
        <w:rPr>
          <w:rStyle w:val="VerbatimChar"/>
        </w:rPr>
        <w:t xml:space="preserve">ingestionService.rebuild</w:t>
      </w:r>
      <w:r>
        <w:t xml:space="preserve">). A vehicle with an active TASCO TNDS policy gets NBA</w:t>
      </w:r>
      <w:r>
        <w:t xml:space="preserve"> </w:t>
      </w:r>
      <w:r>
        <w:rPr>
          <w:rStyle w:val="VerbatimChar"/>
        </w:rPr>
        <w:t xml:space="preserve">insured</w:t>
      </w:r>
      <w:r>
        <w:t xml:space="preserve">, and its journey is cleared (</w:t>
      </w:r>
      <w:r>
        <w:rPr>
          <w:rStyle w:val="VerbatimChar"/>
        </w:rPr>
        <w:t xml:space="preserve">leadService.recomputeOne</w:t>
      </w:r>
      <w:r>
        <w:t xml:space="preserve">).</w:t>
      </w:r>
    </w:p>
    <w:bookmarkEnd w:id="52"/>
    <w:bookmarkStart w:id="56" w:name="Xc589e82323363907161b628e44f2a909a2b5230"/>
    <w:p>
      <w:pPr>
        <w:pStyle w:val="Heading3"/>
      </w:pPr>
      <w:r>
        <w:t xml:space="preserve">7.2 Voice bot call → handoff</w:t>
      </w:r>
    </w:p>
    <w:p>
      <w:pPr>
        <w:pStyle w:val="FirstParagraph"/>
      </w:pPr>
      <w:r>
        <w:t xml:space="preserve">An automated call runs only after the contact policy allows it, and every outcome updates data or consent.</w:t>
      </w:r>
    </w:p>
    <w:p>
      <w:pPr>
        <w:pStyle w:val="BodyText"/>
      </w:pPr>
      <w:r>
        <w:drawing>
          <wp:inline>
            <wp:extent cx="6119999" cy="380314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solution-architecture-6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3803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59b377fde21abdb7b4b8d8334dc37e3d58f041"/>
    <w:p>
      <w:pPr>
        <w:pStyle w:val="Heading3"/>
      </w:pPr>
      <w:r>
        <w:t xml:space="preserve">7.3 Quote → send → customer pays → issue → e-certificate (idempotency and compensation)</w:t>
      </w:r>
    </w:p>
    <w:p>
      <w:pPr>
        <w:pStyle w:val="FirstParagraph"/>
      </w:pPr>
      <w:r>
        <w:t xml:space="preserve">Staff never take payment. Telesales and supervisors quote (</w:t>
      </w:r>
      <w:r>
        <w:rPr>
          <w:rStyle w:val="VerbatimChar"/>
        </w:rPr>
        <w:t xml:space="preserve">POST /api/quotes</w:t>
      </w:r>
      <w:r>
        <w:t xml:space="preserve">) and send the quote to the customer's VETC app or Zalo as a service message (</w:t>
      </w:r>
      <w:r>
        <w:rPr>
          <w:rStyle w:val="VerbatimChar"/>
        </w:rPr>
        <w:t xml:space="preserve">POST /api/quotes/:id/send</w:t>
      </w:r>
      <w:r>
        <w:t xml:space="preserve">). The customer sees open quotes (</w:t>
      </w:r>
      <w:r>
        <w:rPr>
          <w:rStyle w:val="VerbatimChar"/>
        </w:rPr>
        <w:t xml:space="preserve">GET /api/customer/quotes</w:t>
      </w:r>
      <w:r>
        <w:t xml:space="preserve">), or creates one in the app (</w:t>
      </w:r>
      <w:r>
        <w:rPr>
          <w:rStyle w:val="VerbatimChar"/>
        </w:rPr>
        <w:t xml:space="preserve">POST /api/customer/quotes</w:t>
      </w:r>
      <w:r>
        <w:t xml:space="preserve">), and pays inside the app. Physical damage cover (</w:t>
      </w:r>
      <w:r>
        <w:rPr>
          <w:rStyle w:val="VerbatimChar"/>
        </w:rPr>
        <w:t xml:space="preserve">MOTOR_PD</w:t>
      </w:r>
      <w:r>
        <w:t xml:space="preserve">) needs a recorded vehicle inspection (</w:t>
      </w:r>
      <w:r>
        <w:rPr>
          <w:rStyle w:val="VerbatimChar"/>
        </w:rPr>
        <w:t xml:space="preserve">POST /api/quotes/:id/inspection</w:t>
      </w:r>
      <w:r>
        <w:t xml:space="preserve">) before payment.</w:t>
      </w:r>
    </w:p>
    <w:p>
      <w:pPr>
        <w:pStyle w:val="BodyText"/>
      </w:pPr>
      <w:r>
        <w:drawing>
          <wp:inline>
            <wp:extent cx="6119999" cy="338348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solution-architecture-7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338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design is idempotent and concurrency-safe at four levels: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Order id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(quoteId, Idempotency-Key)</w:t>
      </w:r>
      <w:r>
        <w:t xml:space="preserve">. Replaying a completed request returns the stored order; reusing the key of a failed attempt returns HTTP 409, so the client retries with a new key.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Quote claim.</w:t>
      </w:r>
      <w:r>
        <w:t xml:space="preserve"> </w:t>
      </w:r>
      <w:r>
        <w:t xml:space="preserve">The quote moves from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paying</w:t>
      </w:r>
      <w:r>
        <w:t xml:space="preserve"> </w:t>
      </w:r>
      <w:r>
        <w:t xml:space="preserve">with an optimistic version check before any payment, so two concurrent purchases with different keys cannot both debit the wallet; the loser receives 409.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payment idempotency key</w:t>
      </w:r>
      <w:r>
        <w:t xml:space="preserve"> </w:t>
      </w:r>
      <w:r>
        <w:t xml:space="preserve">is the order id. The wallet adapter must deduplicate on it; the sandbox does (</w:t>
      </w:r>
      <w:r>
        <w:rPr>
          <w:rStyle w:val="VerbatimChar"/>
        </w:rPr>
        <w:t xml:space="preserve">processed</w:t>
      </w:r>
      <w:r>
        <w:t xml:space="preserve"> </w:t>
      </w:r>
      <w:r>
        <w:t xml:space="preserve">map).</w:t>
      </w:r>
    </w:p>
    <w:p>
      <w:pPr>
        <w:numPr>
          <w:ilvl w:val="0"/>
          <w:numId w:val="1003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message idempotency key</w:t>
      </w:r>
      <w:r>
        <w:t xml:space="preserve"> </w:t>
      </w:r>
      <w:r>
        <w:t xml:space="preserve">is the message id.</w:t>
      </w:r>
    </w:p>
    <w:p>
      <w:pPr>
        <w:pStyle w:val="FirstParagraph"/>
      </w:pPr>
      <w:r>
        <w:t xml:space="preserve">Compensation is a</w:t>
      </w:r>
      <w:r>
        <w:t xml:space="preserve"> </w:t>
      </w:r>
      <w:r>
        <w:rPr>
          <w:bCs/>
          <w:b/>
        </w:rPr>
        <w:t xml:space="preserve">saga</w:t>
      </w:r>
      <w:r>
        <w:t xml:space="preserve">: issued lines are cancelled through</w:t>
      </w:r>
      <w:r>
        <w:t xml:space="preserve"> </w:t>
      </w:r>
      <w:r>
        <w:rPr>
          <w:rStyle w:val="VerbatimChar"/>
        </w:rPr>
        <w:t xml:space="preserve">cancelPolicy</w:t>
      </w:r>
      <w:r>
        <w:t xml:space="preserve">, then the full amount is refunded through the payment breaker. If any compensation step fails, the order is set to</w:t>
      </w:r>
      <w:r>
        <w:t xml:space="preserve"> </w:t>
      </w:r>
      <w:r>
        <w:rPr>
          <w:rStyle w:val="VerbatimChar"/>
        </w:rPr>
        <w:t xml:space="preserve">compensation_failed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opsService.reconcile</w:t>
      </w:r>
      <w:r>
        <w:t xml:space="preserve"> </w:t>
      </w:r>
      <w:r>
        <w:t xml:space="preserve">flags it for manual action. Partner orders are partner-collected (no wallet debit;</w:t>
      </w:r>
      <w:r>
        <w:t xml:space="preserve"> </w:t>
      </w:r>
      <w:r>
        <w:rPr>
          <w:rStyle w:val="VerbatimChar"/>
        </w:rPr>
        <w:t xml:space="preserve">paymentRef</w:t>
      </w:r>
      <w:r>
        <w:t xml:space="preserve"> </w:t>
      </w:r>
      <w:r>
        <w:t xml:space="preserve">starts with</w:t>
      </w:r>
      <w:r>
        <w:t xml:space="preserve"> </w:t>
      </w:r>
      <w:r>
        <w:rPr>
          <w:rStyle w:val="VerbatimChar"/>
        </w:rPr>
        <w:t xml:space="preserve">PARTNER-</w:t>
      </w:r>
      <w:r>
        <w:t xml:space="preserve">), so their compensation has no refund step.</w:t>
      </w:r>
    </w:p>
    <w:p>
      <w:pPr>
        <w:pStyle w:val="BlockText"/>
      </w:pPr>
      <w:r>
        <w:t xml:space="preserve">Follow-up (tracked in the findings register of the</w:t>
      </w:r>
      <w:r>
        <w:t xml:space="preserve"> </w:t>
      </w:r>
      <w:hyperlink r:id="rId23">
        <w:r>
          <w:rPr>
            <w:rStyle w:val="Hyperlink"/>
          </w:rPr>
          <w:t xml:space="preserve">Security Architecture</w:t>
        </w:r>
      </w:hyperlink>
      <w:r>
        <w:t xml:space="preserve">, G18): retry failed refunds automatically through a</w:t>
      </w:r>
      <w:r>
        <w:t xml:space="preserve"> </w:t>
      </w:r>
      <w:r>
        <w:rPr>
          <w:rStyle w:val="VerbatimChar"/>
        </w:rPr>
        <w:t xml:space="preserve">payment.refund_requested</w:t>
      </w:r>
      <w:r>
        <w:t xml:space="preserve"> </w:t>
      </w:r>
      <w:r>
        <w:t xml:space="preserve">outbox event with backoff and a dead letter.</w:t>
      </w:r>
    </w:p>
    <w:bookmarkEnd w:id="60"/>
    <w:bookmarkStart w:id="64" w:name="X637e2b0a23e762dca89d15d29b2d1769bc1d872"/>
    <w:p>
      <w:pPr>
        <w:pStyle w:val="Heading3"/>
      </w:pPr>
      <w:r>
        <w:t xml:space="preserve">7.4 Partner API new-business onboarding</w:t>
      </w:r>
    </w:p>
    <w:p>
      <w:pPr>
        <w:pStyle w:val="FirstParagraph"/>
      </w:pPr>
      <w:r>
        <w:t xml:space="preserve">Partners quote by plate; unknown vehicles are onboarded into the golden record, and the partner collects the premium.</w:t>
      </w:r>
    </w:p>
    <w:p>
      <w:pPr>
        <w:pStyle w:val="BodyText"/>
      </w:pPr>
      <w:r>
        <w:drawing>
          <wp:inline>
            <wp:extent cx="6119999" cy="2308114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solution-architecture-8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2308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3c7aadad3975b76ed8f9a25f1935da1da7b7406"/>
    <w:p>
      <w:pPr>
        <w:pStyle w:val="Heading3"/>
      </w:pPr>
      <w:r>
        <w:t xml:space="preserve">7.5 Rule change with maker-checker</w:t>
      </w:r>
    </w:p>
    <w:p>
      <w:pPr>
        <w:pStyle w:val="FirstParagraph"/>
      </w:pPr>
      <w:r>
        <w:t xml:space="preserve">Every rule change is validated, submitted by its author and approved by a different person before it becomes active.</w:t>
      </w:r>
    </w:p>
    <w:p>
      <w:pPr>
        <w:pStyle w:val="BodyText"/>
      </w:pPr>
      <w:r>
        <w:drawing>
          <wp:inline>
            <wp:extent cx="6119999" cy="250045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solution-architecture-9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25004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60414ea90dead277ad89f319926825f9e442508"/>
    <w:p>
      <w:pPr>
        <w:pStyle w:val="Heading3"/>
      </w:pPr>
      <w:r>
        <w:t xml:space="preserve">7.6 Ecosystem event trigger (moment of truth)</w:t>
      </w:r>
    </w:p>
    <w:p>
      <w:pPr>
        <w:pStyle w:val="FirstParagraph"/>
      </w:pPr>
      <w:r>
        <w:drawing>
          <wp:inline>
            <wp:extent cx="6119999" cy="258351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solution-architecture-10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2583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Today the ecosystem event endpoint is a staff-authenticated API (</w:t>
      </w:r>
      <w:r>
        <w:rPr>
          <w:rStyle w:val="VerbatimChar"/>
        </w:rPr>
        <w:t xml:space="preserve">perm: journeys:run</w:t>
      </w:r>
      <w:r>
        <w:t xml:space="preserve">). The production source is a VETC event stream; see section 3.6 of the</w:t>
      </w:r>
      <w:r>
        <w:t xml:space="preserve"> </w:t>
      </w:r>
      <w:hyperlink r:id="rId20">
        <w:r>
          <w:rPr>
            <w:rStyle w:val="Hyperlink"/>
          </w:rPr>
          <w:t xml:space="preserve">Integration Architecture</w:t>
        </w:r>
      </w:hyperlink>
      <w:r>
        <w:t xml:space="preserve">.</w:t>
      </w:r>
    </w:p>
    <w:bookmarkEnd w:id="72"/>
    <w:bookmarkEnd w:id="73"/>
    <w:bookmarkStart w:id="80" w:name="Xfc995a18d27939c5f46e58b2e8a59137be3ed40"/>
    <w:p>
      <w:pPr>
        <w:pStyle w:val="Heading2"/>
      </w:pPr>
      <w:r>
        <w:t xml:space="preserve">8. Event-driven design</w:t>
      </w:r>
    </w:p>
    <w:p>
      <w:pPr>
        <w:pStyle w:val="FirstParagraph"/>
      </w:pPr>
      <w:r>
        <w:t xml:space="preserve">The platform uses domain events for</w:t>
      </w:r>
      <w:r>
        <w:t xml:space="preserve"> </w:t>
      </w:r>
      <w:r>
        <w:rPr>
          <w:bCs/>
          <w:b/>
        </w:rPr>
        <w:t xml:space="preserve">reactions that must not block the caller</w:t>
      </w:r>
      <w:r>
        <w:t xml:space="preserve">: re-scoring, sending confirmations and acknowledgements, cache invalidation. Later it will also use them for</w:t>
      </w:r>
      <w:r>
        <w:t xml:space="preserve"> </w:t>
      </w:r>
      <w:r>
        <w:rPr>
          <w:bCs/>
          <w:b/>
        </w:rPr>
        <w:t xml:space="preserve">integration fan-out</w:t>
      </w:r>
      <w:r>
        <w:t xml:space="preserve">.</w:t>
      </w:r>
    </w:p>
    <w:p>
      <w:pPr>
        <w:pStyle w:val="BodyText"/>
      </w:pPr>
      <w:r>
        <w:t xml:space="preserve">The current implementation (</w:t>
      </w:r>
      <w:r>
        <w:rPr>
          <w:rStyle w:val="VerbatimChar"/>
        </w:rPr>
        <w:t xml:space="preserve">src/adapters/messaging/outboxEventBus.js</w:t>
      </w:r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ADR-005</w:t>
        </w:r>
      </w:hyperlink>
      <w:r>
        <w:t xml:space="preserve">) works as follows: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publish()</w:t>
      </w:r>
      <w:r>
        <w:t xml:space="preserve"> </w:t>
      </w:r>
      <w:r>
        <w:t xml:space="preserve">inserts into the</w:t>
      </w:r>
      <w:r>
        <w:t xml:space="preserve"> </w:t>
      </w:r>
      <w:r>
        <w:rPr>
          <w:rStyle w:val="VerbatimChar"/>
        </w:rPr>
        <w:t xml:space="preserve">domain_events</w:t>
      </w:r>
      <w:r>
        <w:t xml:space="preserve"> </w:t>
      </w:r>
      <w:r>
        <w:t xml:space="preserve">table with</w:t>
      </w:r>
      <w:r>
        <w:t xml:space="preserve"> </w:t>
      </w:r>
      <w:r>
        <w:rPr>
          <w:rStyle w:val="VerbatimChar"/>
        </w:rPr>
        <w:t xml:space="preserve">status = 'pending'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relay()</w:t>
      </w:r>
      <w:r>
        <w:t xml:space="preserve"> </w:t>
      </w:r>
      <w:r>
        <w:t xml:space="preserve">claims a batch with</w:t>
      </w:r>
      <w:r>
        <w:t xml:space="preserve"> </w:t>
      </w:r>
      <w:r>
        <w:rPr>
          <w:rStyle w:val="VerbatimChar"/>
        </w:rPr>
        <w:t xml:space="preserve">UPDATE … WHERE id IN (SELECT … FOR UPDATE SKIP LOCKED)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postgresStore.claimEvents</w:t>
      </w:r>
      <w:r>
        <w:t xml:space="preserve">). Rows left in</w:t>
      </w:r>
      <w:r>
        <w:t xml:space="preserve"> </w:t>
      </w:r>
      <w:r>
        <w:rPr>
          <w:rStyle w:val="VerbatimChar"/>
        </w:rPr>
        <w:t xml:space="preserve">processing</w:t>
      </w:r>
      <w:r>
        <w:t xml:space="preserve"> </w:t>
      </w:r>
      <w:r>
        <w:t xml:space="preserve">for more than 5 minutes (for example after a crash) are reclaimed.</w:t>
      </w:r>
    </w:p>
    <w:p>
      <w:pPr>
        <w:numPr>
          <w:ilvl w:val="0"/>
          <w:numId w:val="1004"/>
        </w:numPr>
        <w:pStyle w:val="Compact"/>
      </w:pPr>
      <w:r>
        <w:t xml:space="preserve">Each subscriber is a named handler. Handlers that succeed are recorded in</w:t>
      </w:r>
      <w:r>
        <w:t xml:space="preserve"> </w:t>
      </w:r>
      <w:r>
        <w:rPr>
          <w:rStyle w:val="VerbatimChar"/>
        </w:rPr>
        <w:t xml:space="preserve">evt.handled</w:t>
      </w:r>
      <w:r>
        <w:t xml:space="preserve">, so on a retry only the failed handlers run again.</w:t>
      </w:r>
    </w:p>
    <w:p>
      <w:pPr>
        <w:numPr>
          <w:ilvl w:val="0"/>
          <w:numId w:val="1004"/>
        </w:numPr>
        <w:pStyle w:val="Compact"/>
      </w:pPr>
      <w:r>
        <w:t xml:space="preserve">After 5 attempts the event moves to</w:t>
      </w:r>
      <w:r>
        <w:t xml:space="preserve"> </w:t>
      </w:r>
      <w:r>
        <w:rPr>
          <w:rStyle w:val="VerbatimChar"/>
        </w:rPr>
        <w:t xml:space="preserve">dead_letter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Delivery is</w:t>
      </w:r>
      <w:r>
        <w:t xml:space="preserve"> </w:t>
      </w:r>
      <w:r>
        <w:rPr>
          <w:bCs/>
          <w:b/>
        </w:rPr>
        <w:t xml:space="preserve">at-least-once</w:t>
      </w:r>
      <w:r>
        <w:t xml:space="preserve">, so handlers must be idempotent.</w:t>
      </w:r>
    </w:p>
    <w:p>
      <w:pPr>
        <w:numPr>
          <w:ilvl w:val="0"/>
          <w:numId w:val="1004"/>
        </w:numPr>
        <w:pStyle w:val="Compact"/>
      </w:pPr>
      <w:r>
        <w:t xml:space="preserve">The relay runs every 1 s in each API replica (</w:t>
      </w:r>
      <w:r>
        <w:rPr>
          <w:rStyle w:val="VerbatimChar"/>
        </w:rPr>
        <w:t xml:space="preserve">src/server.js</w:t>
      </w:r>
      <w:r>
        <w:t xml:space="preserve">), as the</w:t>
      </w:r>
      <w:r>
        <w:t xml:space="preserve"> </w:t>
      </w:r>
      <w:r>
        <w:rPr>
          <w:rStyle w:val="VerbatimChar"/>
        </w:rPr>
        <w:t xml:space="preserve">relay</w:t>
      </w:r>
      <w:r>
        <w:t xml:space="preserve"> </w:t>
      </w:r>
      <w:r>
        <w:t xml:space="preserve">CronJob, and synchronously via</w:t>
      </w:r>
      <w:r>
        <w:t xml:space="preserve"> </w:t>
      </w:r>
      <w:r>
        <w:rPr>
          <w:rStyle w:val="VerbatimChar"/>
        </w:rPr>
        <w:t xml:space="preserve">events.drain()</w:t>
      </w:r>
      <w:r>
        <w:t xml:space="preserve"> </w:t>
      </w:r>
      <w:r>
        <w:t xml:space="preserve">at the end of interactive requests that need read-your-writes (for example</w:t>
      </w:r>
      <w:r>
        <w:t xml:space="preserve"> </w:t>
      </w:r>
      <w:r>
        <w:rPr>
          <w:rStyle w:val="VerbatimChar"/>
        </w:rPr>
        <w:t xml:space="preserve">POST /api/customer/orders</w:t>
      </w:r>
      <w:r>
        <w:t xml:space="preserve">).</w:t>
      </w:r>
    </w:p>
    <w:bookmarkStart w:id="75" w:name="X129e5147006dcb95a2455d1d422a07587a2972d"/>
    <w:p>
      <w:pPr>
        <w:pStyle w:val="Heading3"/>
      </w:pPr>
      <w:r>
        <w:t xml:space="preserve">8.1 Event catalogue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Event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Producer (file)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Payload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Subscribers (</w:t>
            </w:r>
            <w:r>
              <w:rPr>
                <w:rStyle w:val="VerbatimChar"/>
                <w:b/>
                <w:color w:val="FFFFFF"/>
                <w:sz w:val="17"/>
              </w:rPr>
              <w:t xml:space="preserve">src/bootstrap/container.js</w:t>
            </w:r>
            <w:r>
              <w:rPr>
                <w:b/>
                <w:color w:val="FFFFFF"/>
                <w:sz w:val="17"/>
              </w:rPr>
              <w:t xml:space="preserve">)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Idempotency of handler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profiles.rebuilt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ingestionService.ingest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{batchId, profileIds[]}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recompute-leads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leadService.recompute(ids)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Recompute is a pure function of current state; upserts by profile id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lead.recompute_requested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journeyService.handleEcosystemEvent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enrol_journey</w:t>
            </w:r>
            <w:r>
              <w:rPr>
                <w:sz w:val="17"/>
              </w:rPr>
              <w:t xml:space="preserve">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voiceService.finalize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(opt-out, already-renewed),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customerService.declareExpiry/updateConsent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{profileIds[], reason}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recompute-leads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Same as above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policy.issued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salesService.purchase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{orderId, profileId, policies[{id, product, endDate}], channel, journey}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stop-journeys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(recompute → NBA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insured</w:t>
            </w:r>
            <w:r>
              <w:rPr>
                <w:sz w:val="17"/>
              </w:rPr>
              <w:t xml:space="preserve">, deletes scheduled touchpoints),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confirmation-and-cross-sell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(service message on push/Zalo; cross-sell touchpoints with deterministic ids if marketing consent)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Touchpoint ids are deterministic (</w:t>
            </w:r>
            <w:r>
              <w:rPr>
                <w:rStyle w:val="VerbatimChar"/>
                <w:sz w:val="17"/>
              </w:rPr>
              <w:t xml:space="preserve">profile:cross_sell:step:due</w:t>
            </w:r>
            <w:r>
              <w:rPr>
                <w:sz w:val="17"/>
              </w:rPr>
              <w:t xml:space="preserve">).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The confirmation message is not deduplicated on replay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(new message id each time); see</w:t>
            </w:r>
            <w:r>
              <w:rPr>
                <w:sz w:val="17"/>
              </w:rPr>
              <w:t xml:space="preserve"> </w:t>
            </w:r>
            <w:hyperlink r:id="rId74">
              <w:r>
                <w:rPr>
                  <w:rStyle w:val="Hyperlink"/>
                </w:rPr>
                <w:t xml:space="preserve">ADR-005</w:t>
              </w:r>
            </w:hyperlink>
            <w:r>
              <w:rPr>
                <w:sz w:val="17"/>
              </w:rPr>
              <w:t xml:space="preserve">, gap 6.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renewal.link_requested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voiceService.finalize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link_sent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{profileId, journey}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send-link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(push → Zalo → SMS, non-marketing, first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wins)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Not deduplicated on replay (same caveat)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handoff.created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voiceService.finalize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hot_handoff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{handoffId, profileId}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none today. Target: CTI / dialler queue, supervisor alert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n/a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claim.submitted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claimsService.submit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{claimId, profileId}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acknowledge-claim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claim_received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service message, push → Zalo → SMS, with the SLA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claimAckSlaHours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service_levels</w:t>
            </w:r>
            <w:r>
              <w:rPr>
                <w:sz w:val="17"/>
              </w:rPr>
              <w:t xml:space="preserve">). Target: TASCO core claims FNOL API.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Not deduplicated on replay (same caveat)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rules.activated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rulesService.approve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{kind, id, checksum}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invalidate-cache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Naturally idempotent</w:t>
            </w:r>
          </w:p>
        </w:tc>
      </w:tr>
    </w:tbl>
    <w:p>
      <w:pPr>
        <w:pStyle w:val="BodyText"/>
      </w:pPr>
      <w:r>
        <w:t xml:space="preserve">Events carry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correlationId</w:t>
      </w:r>
      <w:r>
        <w:t xml:space="preserve"> </w:t>
      </w:r>
      <w:r>
        <w:t xml:space="preserve">(nullable today; target: the HTTP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),</w:t>
      </w:r>
      <w:r>
        <w:t xml:space="preserve"> </w:t>
      </w:r>
      <w:r>
        <w:rPr>
          <w:rStyle w:val="VerbatimChar"/>
        </w:rPr>
        <w:t xml:space="preserve">occurredAt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handled[]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processedAt</w:t>
      </w:r>
      <w:r>
        <w:t xml:space="preserve">.</w:t>
      </w:r>
    </w:p>
    <w:bookmarkEnd w:id="75"/>
    <w:bookmarkStart w:id="79" w:name="Xde1ed6f76cce849dd21661b0cab7f183daaf479"/>
    <w:p>
      <w:pPr>
        <w:pStyle w:val="Heading3"/>
      </w:pPr>
      <w:r>
        <w:t xml:space="preserve">8.2 Event lifecycle</w:t>
      </w:r>
    </w:p>
    <w:p>
      <w:pPr>
        <w:pStyle w:val="FirstParagraph"/>
      </w:pPr>
      <w:r>
        <w:t xml:space="preserve">Each event moves through the following states.</w:t>
      </w:r>
    </w:p>
    <w:p>
      <w:pPr>
        <w:pStyle w:val="BodyText"/>
      </w:pPr>
      <w:r>
        <w:drawing>
          <wp:inline>
            <wp:extent cx="6119999" cy="435442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solution-architecture-1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4354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Xa847807f5d112ac1d7aea1a335f1df1db8adb3e"/>
    <w:p>
      <w:pPr>
        <w:pStyle w:val="Heading2"/>
      </w:pPr>
      <w:r>
        <w:t xml:space="preserve">9. Configurability model</w:t>
      </w:r>
    </w:p>
    <w:p>
      <w:pPr>
        <w:pStyle w:val="FirstParagraph"/>
      </w:pPr>
      <w:r>
        <w:t xml:space="preserve">Business behaviour lives in rule sets. Each rule set is versioned in</w:t>
      </w:r>
      <w:r>
        <w:t xml:space="preserve"> </w:t>
      </w:r>
      <w:r>
        <w:rPr>
          <w:rStyle w:val="VerbatimChar"/>
        </w:rPr>
        <w:t xml:space="preserve">rulesets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kind@N</w:t>
      </w:r>
      <w:r>
        <w:t xml:space="preserve">), validated per kind (</w:t>
      </w:r>
      <w:r>
        <w:rPr>
          <w:rStyle w:val="VerbatimChar"/>
        </w:rPr>
        <w:t xml:space="preserve">src/rules/validators.js</w:t>
      </w:r>
      <w:r>
        <w:t xml:space="preserve">) and activated only by a second person. Code changes are needed only for a new</w:t>
      </w:r>
      <w:r>
        <w:t xml:space="preserve"> </w:t>
      </w:r>
      <w:r>
        <w:rPr>
          <w:bCs/>
          <w:b/>
        </w:rPr>
        <w:t xml:space="preserve">rating method</w:t>
      </w:r>
      <w:r>
        <w:t xml:space="preserve">,</w:t>
      </w:r>
      <w:r>
        <w:t xml:space="preserve"> </w:t>
      </w:r>
      <w:r>
        <w:rPr>
          <w:bCs/>
          <w:b/>
        </w:rPr>
        <w:t xml:space="preserve">dialogue state</w:t>
      </w:r>
      <w:r>
        <w:t xml:space="preserve">,</w:t>
      </w:r>
      <w:r>
        <w:t xml:space="preserve"> </w:t>
      </w:r>
      <w:r>
        <w:rPr>
          <w:bCs/>
          <w:b/>
        </w:rPr>
        <w:t xml:space="preserve">rule operator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integration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Rule kind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What it controls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Business owner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7"/>
              </w:rPr>
              <w:t xml:space="preserve">Change path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products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products.json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Catalogue, channels, rating method + rate kind, bundles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Product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Rules console, maker-checker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tariff.tnds_car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tariff.tnds_motorbike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tariff.*.json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Regulated TNDS premiums (Decree 67/2023,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confirm with TASCO legal</w:t>
            </w:r>
            <w:r>
              <w:rPr>
                <w:sz w:val="17"/>
              </w:rPr>
              <w:t xml:space="preserve">), VAT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Underwriting + Compliance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 (compliance approval recommended)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rating.motor_pd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rating.pa_seat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rating.*.json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Illustrative voluntary rates.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Replace with TASCO filed rates.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Actuarial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commission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commission.json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Partner commission table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statutoryCaps</w:t>
            </w:r>
            <w:r>
              <w:rPr>
                <w:sz w:val="17"/>
              </w:rPr>
              <w:t xml:space="preserve">. The validator rejects rates above the cap.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Finance + Legal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Maker-checker; approver must be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compliance_officer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enrichment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enrichment.json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Source trust, expiry evidence weights, corroboration, category table, DQ weights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Data office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 + DQ regression check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scoring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scoring.json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Factors (weights must sum to 100), tiers, damping,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zeroWhen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Growth analytics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 + simulate + model-risk review (</w:t>
            </w:r>
            <w:hyperlink r:id="rId24">
              <w:r>
                <w:rPr>
                  <w:rStyle w:val="Hyperlink"/>
                </w:rPr>
                <w:t xml:space="preserve">AI and Prompt Governance</w:t>
              </w:r>
            </w:hyperlink>
            <w:r>
              <w:rPr>
                <w:sz w:val="17"/>
              </w:rPr>
              <w:t xml:space="preserve">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nba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nba.json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Next-best-action decision table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Campaign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 + simulate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journeys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journeys.json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Audiences, anchors, steps, channels, marketing flag, cross-sell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Campaign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 + simulate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triggers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triggers.json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Ecosystem event → action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Campaign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benefits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benefits.json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Value-beyond-discount catalogue. Only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legalStatus=approved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available items reach customers; loyalty points stay pending legal review.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Product + Legal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Maker-checker, copy guard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content.messages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content.messages.json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Message templates (vi/en)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Marketing + Compliance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Maker-checker, copy guard. Zalo template registration is out of band (Integration Architecture, section 4).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content.voicebot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content.voicebot.json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Bot script lines and NLU keywords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CX + Compliance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Maker-checker, copy guard (</w:t>
            </w:r>
            <w:hyperlink r:id="rId24">
              <w:r>
                <w:rPr>
                  <w:rStyle w:val="Hyperlink"/>
                </w:rPr>
                <w:t xml:space="preserve">AI and Prompt Governance</w:t>
              </w:r>
            </w:hyperlink>
            <w:r>
              <w:rPr>
                <w:sz w:val="17"/>
              </w:rPr>
              <w:t xml:space="preserve">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copy_guard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copy_guard.json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Banned phrases (no discounts or rebates on regulated products), including whitespace and punctuation evasions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Compliance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Maker-checker; approver must be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compliance_officer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contact_policy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contact_policy.json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Contact window, frequency caps, consent per channel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Compliance / DPO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Maker-checker; approver must be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compliance_officer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abac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abac.json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Attribute policies (region, own handoffs)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InfoSec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Maker-checker; approver must be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compliance_officer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(InfoSec consulted)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retention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retention.json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Retention days and action per entity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DPO + Legal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Maker-checker; approver must be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compliance_officer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service_levels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service_levels.json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Quote TTL (24 h), claim acknowledgement SLA (4 h), evidence confidences for customer, steward and voice-bot facts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Operations + Data office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referral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referral.json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Referral programme (disabled pending legal)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Product + Legal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costs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costs.json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Unit costs for the business-case dashboard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Finance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Maker-checker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RBAC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7"/>
              </w:rPr>
              <w:t xml:space="preserve">config/security/rbac.json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Role → permission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7"/>
              </w:rPr>
              <w:t xml:space="preserve">InfoSec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7"/>
              </w:rPr>
              <w:t xml:space="preserve">Code review + CAB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(not a rule kind, deliberately)</w:t>
            </w:r>
          </w:p>
        </w:tc>
      </w:tr>
    </w:tbl>
    <w:p>
      <w:pPr>
        <w:pStyle w:val="BodyText"/>
      </w:pPr>
      <w:r>
        <w:t xml:space="preserve">Guard-rails present in code:</w:t>
      </w:r>
    </w:p>
    <w:p>
      <w:pPr>
        <w:numPr>
          <w:ilvl w:val="0"/>
          <w:numId w:val="1005"/>
        </w:numPr>
        <w:pStyle w:val="Compact"/>
      </w:pPr>
      <w:r>
        <w:t xml:space="preserve">the JSON Logic operator allow-list and forbidden keys (</w:t>
      </w:r>
      <w:r>
        <w:rPr>
          <w:rStyle w:val="VerbatimChar"/>
        </w:rPr>
        <w:t xml:space="preserve">__proto__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weights must sum to 100;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tiers.hot &gt; tiers.warm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unique ids;</w:t>
      </w:r>
    </w:p>
    <w:p>
      <w:pPr>
        <w:numPr>
          <w:ilvl w:val="0"/>
          <w:numId w:val="1005"/>
        </w:numPr>
        <w:pStyle w:val="Compact"/>
      </w:pPr>
      <w:r>
        <w:t xml:space="preserve">a valid contact window;</w:t>
      </w:r>
    </w:p>
    <w:p>
      <w:pPr>
        <w:numPr>
          <w:ilvl w:val="0"/>
          <w:numId w:val="1005"/>
        </w:numPr>
        <w:pStyle w:val="Compact"/>
      </w:pPr>
      <w:r>
        <w:t xml:space="preserve">VAT between 0 and 0.2;</w:t>
      </w:r>
    </w:p>
    <w:p>
      <w:pPr>
        <w:numPr>
          <w:ilvl w:val="0"/>
          <w:numId w:val="1005"/>
        </w:numPr>
        <w:pStyle w:val="Compact"/>
      </w:pPr>
      <w:r>
        <w:t xml:space="preserve">the copy guard on every customer-facing string;</w:t>
      </w:r>
    </w:p>
    <w:p>
      <w:pPr>
        <w:numPr>
          <w:ilvl w:val="0"/>
          <w:numId w:val="1005"/>
        </w:numPr>
        <w:pStyle w:val="Compact"/>
      </w:pPr>
      <w:r>
        <w:t xml:space="preserve">commission caps;</w:t>
      </w:r>
    </w:p>
    <w:p>
      <w:pPr>
        <w:numPr>
          <w:ilvl w:val="0"/>
          <w:numId w:val="1005"/>
        </w:numPr>
        <w:pStyle w:val="Compact"/>
      </w:pPr>
      <w:r>
        <w:t xml:space="preserve">one active version per kind (unique index, migration</w:t>
      </w:r>
      <w:r>
        <w:t xml:space="preserve"> </w:t>
      </w:r>
      <w:r>
        <w:rPr>
          <w:rStyle w:val="VerbatimChar"/>
        </w:rPr>
        <w:t xml:space="preserve">002_integrity_hardening.sql</w:t>
      </w:r>
      <w:r>
        <w:t xml:space="preserve">), with activation in a single transaction.</w:t>
      </w:r>
    </w:p>
    <w:p>
      <w:pPr>
        <w:pStyle w:val="FirstParagraph"/>
      </w:pPr>
      <w:r>
        <w:t xml:space="preserve">Approval writes</w:t>
      </w:r>
      <w:r>
        <w:t xml:space="preserve"> </w:t>
      </w:r>
      <w:r>
        <w:rPr>
          <w:rStyle w:val="VerbatimChar"/>
        </w:rPr>
        <w:t xml:space="preserve">rules.activated</w:t>
      </w:r>
      <w:r>
        <w:t xml:space="preserve">. The rules cache TTL is 15 s (</w:t>
      </w:r>
      <w:r>
        <w:rPr>
          <w:rStyle w:val="VerbatimChar"/>
        </w:rPr>
        <w:t xml:space="preserve">CACHE_TTL_MS</w:t>
      </w:r>
      <w:r>
        <w:t xml:space="preserve">).</w:t>
      </w:r>
    </w:p>
    <w:bookmarkEnd w:id="81"/>
    <w:bookmarkStart w:id="82" w:name="Xb43acc316e859235de22092113c36570e63629e"/>
    <w:p>
      <w:pPr>
        <w:pStyle w:val="Heading2"/>
      </w:pPr>
      <w:r>
        <w:t xml:space="preserve">10. Scalability to 6 million vehicles</w:t>
      </w:r>
    </w:p>
    <w:p>
      <w:pPr>
        <w:pStyle w:val="FirstParagraph"/>
      </w:pPr>
      <w:r>
        <w:t xml:space="preserve">Assumptions:</w:t>
      </w:r>
    </w:p>
    <w:p>
      <w:pPr>
        <w:numPr>
          <w:ilvl w:val="0"/>
          <w:numId w:val="1006"/>
        </w:numPr>
        <w:pStyle w:val="Compact"/>
      </w:pPr>
      <w:r>
        <w:t xml:space="preserve">6.0 M vehicles;</w:t>
      </w:r>
    </w:p>
    <w:p>
      <w:pPr>
        <w:numPr>
          <w:ilvl w:val="0"/>
          <w:numId w:val="1006"/>
        </w:numPr>
        <w:pStyle w:val="Compact"/>
      </w:pPr>
      <w:r>
        <w:t xml:space="preserve">about 1.3 source records per vehicle (7.8 M rows);</w:t>
      </w:r>
    </w:p>
    <w:p>
      <w:pPr>
        <w:numPr>
          <w:ilvl w:val="0"/>
          <w:numId w:val="1006"/>
        </w:numPr>
        <w:pStyle w:val="Compact"/>
      </w:pPr>
      <w:r>
        <w:t xml:space="preserve">expiries spread evenly, so about 16.4 k vehicles reach expiry per day;</w:t>
      </w:r>
    </w:p>
    <w:p>
      <w:pPr>
        <w:numPr>
          <w:ilvl w:val="0"/>
          <w:numId w:val="1006"/>
        </w:numPr>
        <w:pStyle w:val="Compact"/>
      </w:pPr>
      <w:r>
        <w:t xml:space="preserve">about 30 % of the base in an active journey at any time;</w:t>
      </w:r>
    </w:p>
    <w:p>
      <w:pPr>
        <w:numPr>
          <w:ilvl w:val="0"/>
          <w:numId w:val="1006"/>
        </w:numPr>
        <w:pStyle w:val="Compact"/>
      </w:pPr>
      <w:r>
        <w:t xml:space="preserve">detailed sizing in section 12 of the</w:t>
      </w:r>
      <w:r>
        <w:t xml:space="preserve"> </w:t>
      </w:r>
      <w:hyperlink r:id="rId21">
        <w:r>
          <w:rPr>
            <w:rStyle w:val="Hyperlink"/>
          </w:rPr>
          <w:t xml:space="preserve">Deployment and Infrastructure Architecture</w:t>
        </w:r>
      </w:hyperlink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Concern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Design already in code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Required at 6 M (planned)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Golden-record build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Incremental rebuild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by plate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 500-plate chunks (</w:t>
            </w:r>
            <w:r>
              <w:rPr>
                <w:rStyle w:val="VerbatimChar"/>
                <w:sz w:val="18"/>
              </w:rPr>
              <w:t xml:space="preserve">ingestionService.rebuild</w:t>
            </w:r>
            <w:r>
              <w:rPr>
                <w:sz w:val="18"/>
              </w:rPr>
              <w:t xml:space="preserve">). Only touched plates are rebuilt.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Initial load: bulk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into a staging table, then rebuild in parallel workers partitioned by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hash(plate_key) % 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(each worker a Job). Steady state: VETC CDC → small batches.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Lead recompute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Event-driven for changed profiles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The full recompute (</w:t>
            </w:r>
            <w:r>
              <w:rPr>
                <w:rStyle w:val="VerbatimChar"/>
                <w:sz w:val="18"/>
              </w:rPr>
              <w:t xml:space="preserve">recompute(null)</w:t>
            </w:r>
            <w:r>
              <w:rPr>
                <w:sz w:val="18"/>
              </w:rPr>
              <w:t xml:space="preserve">) uses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OFFSET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paging, which degrades at millions of rows. Move to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keyset pagination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w:r>
              <w:rPr>
                <w:rStyle w:val="VerbatimChar"/>
                <w:sz w:val="18"/>
              </w:rPr>
              <w:t xml:space="preserve">WHERE id &gt; $last ORDER BY id</w:t>
            </w:r>
            <w:r>
              <w:rPr>
                <w:sz w:val="18"/>
              </w:rPr>
              <w:t xml:space="preserve">) and shard across workers. Run nightly only for time-dependent facts (</w:t>
            </w:r>
            <w:r>
              <w:rPr>
                <w:rStyle w:val="VerbatimChar"/>
                <w:sz w:val="18"/>
              </w:rPr>
              <w:t xml:space="preserve">days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Journey execution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runDue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pages through all due touchpoints in batches of 1,000; touchpoints blocked only by the contact window are deferred, not skipped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Claim touchpoints with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FOR UPDATE SKIP LOCKED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(as the outbox does) so N workers can run in parallel without double sends. Today safety relies on CronJob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concurrencyPolicy: Forbid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Table growth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Indexed columns per collection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bCs/>
                <w:b/>
                <w:sz w:val="18"/>
              </w:rPr>
              <w:t xml:space="preserve">Range-partition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messages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touchpoints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by month, 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domain_events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occurred_at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 a purge of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done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events older than 30 days. Hash-partition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profiles</w:t>
            </w:r>
            <w:r>
              <w:rPr>
                <w:sz w:val="18"/>
              </w:rPr>
              <w:t xml:space="preserve">/</w:t>
            </w:r>
            <w:r>
              <w:rPr>
                <w:rStyle w:val="VerbatimChar"/>
                <w:sz w:val="18"/>
              </w:rPr>
              <w:t xml:space="preserve">leads</w:t>
            </w:r>
            <w:r>
              <w:rPr>
                <w:sz w:val="18"/>
              </w:rPr>
              <w:t xml:space="preserve">/</w:t>
            </w:r>
            <w:r>
              <w:rPr>
                <w:rStyle w:val="VerbatimChar"/>
                <w:sz w:val="18"/>
              </w:rPr>
              <w:t xml:space="preserve">source_records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only if the table exceeds about 100 GB.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Reads for BI and dashboards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countBy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 indexed columns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Route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/api/dashboard/*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 the analytics feed to a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read replica</w:t>
            </w:r>
            <w:r>
              <w:rPr>
                <w:sz w:val="18"/>
              </w:rPr>
              <w:t xml:space="preserve">. Replace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insightsService.governance()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full-chain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audit.verify()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 incremental verification from a checkpoint (</w:t>
            </w:r>
            <w:hyperlink r:id="rId31">
              <w:r>
                <w:rPr>
                  <w:rStyle w:val="Hyperlink"/>
                </w:rPr>
                <w:t xml:space="preserve">ADR-008</w:t>
              </w:r>
            </w:hyperlink>
            <w:r>
              <w:rPr>
                <w:sz w:val="18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Outbound volume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Breakers per channel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Queue offload: outbox → broker topic per channel → channel workers with provider rate limits (Zalo ZNS quotas, SMS TPS). See</w:t>
            </w:r>
            <w:r>
              <w:rPr>
                <w:sz w:val="18"/>
              </w:rPr>
              <w:t xml:space="preserve"> </w:t>
            </w:r>
            <w:hyperlink r:id="rId74">
              <w:r>
                <w:rPr>
                  <w:rStyle w:val="Hyperlink"/>
                </w:rPr>
                <w:t xml:space="preserve">ADR-005</w:t>
              </w:r>
            </w:hyperlink>
            <w:r>
              <w:rPr>
                <w:sz w:val="1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Audit throughput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pg_advisory_xact_lock(724001)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serialises appends to keep one linear chain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About 1–2 k appends/s on modest hardware is enough for the current audit points. If needed, use per-day chains or batched Merkle roots.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API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Stateless; HPA; edge rate limit at the ingress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Shared logout denylist and per-partner quotas (Redis or gateway) once there is more than one replica (Security Architecture, finding G7).</w:t>
            </w:r>
          </w:p>
        </w:tc>
      </w:tr>
    </w:tbl>
    <w:bookmarkEnd w:id="82"/>
    <w:bookmarkStart w:id="83" w:name="X7b78735b3ea0c2d6c469b1def6cdb4975888f6d"/>
    <w:p>
      <w:pPr>
        <w:pStyle w:val="Heading2"/>
      </w:pPr>
      <w:r>
        <w:t xml:space="preserve">11. Quality attributes (targets)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Attribute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Target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Mechanism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Availability (API)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99.9 % monthly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≥ 2 replicas across zones, PDB, readiness gating on DB ping, graceful drain (</w:t>
            </w:r>
            <w:r>
              <w:rPr>
                <w:rStyle w:val="VerbatimChar"/>
                <w:sz w:val="18"/>
              </w:rPr>
              <w:t xml:space="preserve">src/server.js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Latency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p95 &lt; 300 ms for read APIs; p95 &lt; 1.5 s for purchase (dominated by wallet and core)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Indexed column filters;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statement_timeout 15 s</w:t>
            </w:r>
            <w:r>
              <w:rPr>
                <w:sz w:val="18"/>
              </w:rPr>
              <w:t xml:space="preserve">; breaker timeouts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RPO / RTO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RPO ≤ 5 min (PITR), RTO ≤ 1 h (prod)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Managed Postgres PITR + cross-region replica in DR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Rule change lead time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≤ 1 day from draft to active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Maker-checker console; target published in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insightsService.adoption()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Explainability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100 % of scores carry factor reasons; 100 % of NBAs carry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ruleId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domain/leads.js</w:t>
            </w:r>
          </w:p>
        </w:tc>
      </w:tr>
      <w:tr>
        <w:tc>
          <w:tcPr>
            <w:noWrap/>
          </w:tcPr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Auditability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Every state-changing use case audited; chain verifiable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rStyle w:val="VerbatimChar"/>
                <w:sz w:val="18"/>
              </w:rPr>
              <w:t xml:space="preserve">auditService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/api/audit/verify</w:t>
            </w:r>
          </w:p>
        </w:tc>
      </w:tr>
    </w:tbl>
    <w:bookmarkEnd w:id="83"/>
    <w:bookmarkStart w:id="89" w:name="X72f5cb5b7e183207b708ac92a3d882feed690e0"/>
    <w:p>
      <w:pPr>
        <w:pStyle w:val="Heading2"/>
      </w:pPr>
      <w:r>
        <w:t xml:space="preserve">12. Evolution roadmap</w:t>
      </w:r>
    </w:p>
    <w:p>
      <w:pPr>
        <w:pStyle w:val="FirstParagraph"/>
      </w:pPr>
      <w:r>
        <w:drawing>
          <wp:inline>
            <wp:extent cx="6119999" cy="420171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/tmp/claude-0/-home-user-TASCO/19e5534d-12b5-5956-9b60-3e77efde0f49/scratchpad/conv/img/architecture__solution-architecture-1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999" cy="4201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</w:trPr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Item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Why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Approach</w:t>
            </w:r>
          </w:p>
        </w:tc>
        <w:tc>
          <w:tcPr>
            <w:shd w:val="clear" w:color="auto" w:fill="213368"/>
          </w:tcPr>
          <w:p>
            <w:pPr>
              <w:pStyle w:val="Compact"/>
              <w:spacing w:before="20" w:after="20"/>
              <w:jc w:val="left"/>
            </w:pPr>
            <w:r>
              <w:rPr>
                <w:b/>
                <w:color w:val="FFFFFF"/>
                <w:sz w:val="18"/>
              </w:rPr>
              <w:t xml:space="preserve">Constraint kept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Kafka / Pub/Sub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Fan-out to CTI, data platform, TASCO core; replay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Relay publishes outbox rows to topics; consumers keep the named-handler idempotency model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Publishers do not change (</w:t>
            </w:r>
            <w:r>
              <w:rPr>
                <w:rStyle w:val="VerbatimChar"/>
                <w:sz w:val="18"/>
              </w:rPr>
              <w:t xml:space="preserve">events.publish</w:t>
            </w:r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LLM NLU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Better intent recall on free speech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Implement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classify(text) → intent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 the same contract 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keywordClassifier</w:t>
            </w:r>
            <w:r>
              <w:rPr>
                <w:sz w:val="18"/>
              </w:rPr>
              <w:t xml:space="preserve">, behind a feature flag; evaluate against a labelled set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The dialogue state machine and script stay deterministic and governed (</w:t>
            </w:r>
            <w:hyperlink r:id="rId87">
              <w:r>
                <w:rPr>
                  <w:rStyle w:val="Hyperlink"/>
                </w:rPr>
                <w:t xml:space="preserve">ADR-009</w:t>
              </w:r>
            </w:hyperlink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Real IdP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Joiner-mover-leaver, SSO, central MFA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OIDC code flow with PKCE (staff); RS256 tokens verified by JWKS; roles from IdP groups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Principal shape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{id, roles, region}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unchanged (</w:t>
            </w:r>
            <w:hyperlink r:id="rId88">
              <w:r>
                <w:rPr>
                  <w:rStyle w:val="Hyperlink"/>
                </w:rPr>
                <w:t xml:space="preserve">ADR-007</w:t>
              </w:r>
            </w:hyperlink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Data platform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BI, model training, regulatory reporting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Logical replication / CDC of the indexed columns into pseudonymised curated marts (no decrypted PII)</w:t>
            </w:r>
          </w:p>
        </w:tc>
        <w:tc>
          <w:tcPr/>
          <w:p>
            <w:pPr>
              <w:pStyle w:val="Compact"/>
              <w:spacing w:before="20" w:after="20"/>
              <w:jc w:val="left"/>
            </w:pPr>
            <w:r>
              <w:rPr>
                <w:sz w:val="18"/>
              </w:rPr>
              <w:t xml:space="preserve">PII is minimised and pseudonymised by plate-key HMAC (Data Architecture, section 11)</w:t>
            </w:r>
          </w:p>
        </w:tc>
      </w:tr>
    </w:tbl>
    <w:bookmarkEnd w:id="89"/>
    <w:sectPr>
      <w:headerReference r:id="rId9" w:type="default"/>
      <w:footerReference r:id="rId10" w:type="default"/>
      <w:pgSz w:h="16838" w:w="11906"/>
      <w:pgMar w:bottom="1020" w:left="1020" w:right="102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16"/>
      </w:rPr>
      <w:t xml:space="preserve">Prepared by iorta TechNXT · Confidential · Page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213368"/>
        <w:sz w:val="16"/>
      </w:rPr>
      <w:t>TASCO Insurance × VETC — Growth Platform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21A33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21A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21A33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21A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color w:val="213368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0B6B66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cs="Calibri" w:eastAsia="Calibri" w:hAnsi="Calibri"/>
      <w:color w:val="121A33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1E0" w:sz="4" w:val="single"/>
        <w:left w:color="C9D1E0" w:sz="4" w:val="single"/>
        <w:bottom w:color="C9D1E0" w:sz="4" w:val="single"/>
        <w:right w:color="C9D1E0" w:sz="4" w:val="single"/>
        <w:insideH w:color="C9D1E0" w:sz="4" w:val="single"/>
        <w:insideV w:color="C9D1E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2A3A6E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B6B6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3" Type="http://schemas.openxmlformats.org/officeDocument/2006/relationships/image" Target="media/rId33.png"/><Relationship Id="rId69" Type="http://schemas.openxmlformats.org/officeDocument/2006/relationships/image" Target="media/rId69.png"/><Relationship Id="rId76" Type="http://schemas.openxmlformats.org/officeDocument/2006/relationships/image" Target="media/rId76.png"/><Relationship Id="rId84" Type="http://schemas.openxmlformats.org/officeDocument/2006/relationships/image" Target="media/rId84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57" Type="http://schemas.openxmlformats.org/officeDocument/2006/relationships/image" Target="media/rId57.png"/><Relationship Id="rId61" Type="http://schemas.openxmlformats.org/officeDocument/2006/relationships/image" Target="media/rId61.png"/><Relationship Id="rId65" Type="http://schemas.openxmlformats.org/officeDocument/2006/relationships/image" Target="media/rId65.png"/><Relationship Id="rId25" Type="http://schemas.openxmlformats.org/officeDocument/2006/relationships/hyperlink" Target="00-index.pdf" TargetMode="External"/><Relationship Id="rId27" Type="http://schemas.openxmlformats.org/officeDocument/2006/relationships/hyperlink" Target="adr/ADR-001-hexagonal-architecture.pdf" TargetMode="External"/><Relationship Id="rId29" Type="http://schemas.openxmlformats.org/officeDocument/2006/relationships/hyperlink" Target="adr/ADR-002-nodejs-minimal-dependencies.pdf" TargetMode="External"/><Relationship Id="rId28" Type="http://schemas.openxmlformats.org/officeDocument/2006/relationships/hyperlink" Target="adr/ADR-003-rules-engine-maker-checker.pdf" TargetMode="External"/><Relationship Id="rId30" Type="http://schemas.openxmlformats.org/officeDocument/2006/relationships/hyperlink" Target="adr/ADR-004-persistence.pdf" TargetMode="External"/><Relationship Id="rId74" Type="http://schemas.openxmlformats.org/officeDocument/2006/relationships/hyperlink" Target="adr/ADR-005-transactional-outbox.pdf" TargetMode="External"/><Relationship Id="rId88" Type="http://schemas.openxmlformats.org/officeDocument/2006/relationships/hyperlink" Target="adr/ADR-007-authentication-identity.pdf" TargetMode="External"/><Relationship Id="rId31" Type="http://schemas.openxmlformats.org/officeDocument/2006/relationships/hyperlink" Target="adr/ADR-008-hash-chained-audit.pdf" TargetMode="External"/><Relationship Id="rId87" Type="http://schemas.openxmlformats.org/officeDocument/2006/relationships/hyperlink" Target="adr/ADR-009-voice-bot-dialogue.pdf" TargetMode="External"/><Relationship Id="rId24" Type="http://schemas.openxmlformats.org/officeDocument/2006/relationships/hyperlink" Target="ai-governance.pdf" TargetMode="External"/><Relationship Id="rId22" Type="http://schemas.openxmlformats.org/officeDocument/2006/relationships/hyperlink" Target="data-architecture.pdf" TargetMode="External"/><Relationship Id="rId21" Type="http://schemas.openxmlformats.org/officeDocument/2006/relationships/hyperlink" Target="deployment-and-infrastructure-architecture.pdf" TargetMode="External"/><Relationship Id="rId20" Type="http://schemas.openxmlformats.org/officeDocument/2006/relationships/hyperlink" Target="integration-architecture.pdf" TargetMode="External"/><Relationship Id="rId23" Type="http://schemas.openxmlformats.org/officeDocument/2006/relationships/hyperlink" Target="security-architecture.pdf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00-index.pdf" TargetMode="External"/><Relationship Id="rId27" Type="http://schemas.openxmlformats.org/officeDocument/2006/relationships/hyperlink" Target="adr/ADR-001-hexagonal-architecture.pdf" TargetMode="External"/><Relationship Id="rId29" Type="http://schemas.openxmlformats.org/officeDocument/2006/relationships/hyperlink" Target="adr/ADR-002-nodejs-minimal-dependencies.pdf" TargetMode="External"/><Relationship Id="rId28" Type="http://schemas.openxmlformats.org/officeDocument/2006/relationships/hyperlink" Target="adr/ADR-003-rules-engine-maker-checker.pdf" TargetMode="External"/><Relationship Id="rId30" Type="http://schemas.openxmlformats.org/officeDocument/2006/relationships/hyperlink" Target="adr/ADR-004-persistence.pdf" TargetMode="External"/><Relationship Id="rId74" Type="http://schemas.openxmlformats.org/officeDocument/2006/relationships/hyperlink" Target="adr/ADR-005-transactional-outbox.pdf" TargetMode="External"/><Relationship Id="rId88" Type="http://schemas.openxmlformats.org/officeDocument/2006/relationships/hyperlink" Target="adr/ADR-007-authentication-identity.pdf" TargetMode="External"/><Relationship Id="rId31" Type="http://schemas.openxmlformats.org/officeDocument/2006/relationships/hyperlink" Target="adr/ADR-008-hash-chained-audit.pdf" TargetMode="External"/><Relationship Id="rId87" Type="http://schemas.openxmlformats.org/officeDocument/2006/relationships/hyperlink" Target="adr/ADR-009-voice-bot-dialogue.pdf" TargetMode="External"/><Relationship Id="rId24" Type="http://schemas.openxmlformats.org/officeDocument/2006/relationships/hyperlink" Target="ai-governance.pdf" TargetMode="External"/><Relationship Id="rId22" Type="http://schemas.openxmlformats.org/officeDocument/2006/relationships/hyperlink" Target="data-architecture.pdf" TargetMode="External"/><Relationship Id="rId21" Type="http://schemas.openxmlformats.org/officeDocument/2006/relationships/hyperlink" Target="deployment-and-infrastructure-architecture.pdf" TargetMode="External"/><Relationship Id="rId20" Type="http://schemas.openxmlformats.org/officeDocument/2006/relationships/hyperlink" Target="integration-architecture.pdf" TargetMode="External"/><Relationship Id="rId23" Type="http://schemas.openxmlformats.org/officeDocument/2006/relationships/hyperlink" Target="security-architecture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Architecture</dc:title>
  <dc:creator>iorta TechNXT</dc:creator>
  <cp:keywords/>
  <dcterms:created xsi:type="dcterms:W3CDTF">2026-10-07T22:35:51Z</dcterms:created>
  <dcterms:modified xsi:type="dcterms:W3CDTF">2026-10-07T22:35:51Z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· 07 October 2026</vt:lpwstr>
  </property>
  <property fmtid="{D5CDD505-2E9C-101B-9397-08002B2CF9AE}" pid="3" name="subtitle">
    <vt:lpwstr>TASCO Insurance × VETC Growth Platform — Architecture</vt:lpwstr>
  </property>
</Properties>
</file>