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Business and Product Documentation</w:t>
      </w:r>
    </w:p>
    <w:p>
      <w:pPr>
        <w:pStyle w:val="Subtitle"/>
      </w:pPr>
      <w:r>
        <w:t xml:space="preserve">TASCO Insurance × VETC Growth Platform — Business &amp; Product</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Document</w:t>
            </w:r>
          </w:p>
        </w:tc>
        <w:tc>
          <w:tcPr>
            <w:shd w:val="clear" w:color="auto" w:fill="213368"/>
          </w:tcPr>
          <w:p>
            <w:pPr>
              <w:pStyle w:val="Compact"/>
              <w:spacing w:before="20" w:after="20"/>
              <w:jc w:val="left"/>
            </w:pPr>
            <w:r>
              <w:rPr>
                <w:b/>
                <w:color w:val="FFFFFF"/>
                <w:sz w:val="17"/>
              </w:rPr>
              <w:t xml:space="preserve">Version</w:t>
            </w:r>
          </w:p>
        </w:tc>
        <w:tc>
          <w:tcPr>
            <w:shd w:val="clear" w:color="auto" w:fill="213368"/>
          </w:tcPr>
          <w:p>
            <w:pPr>
              <w:pStyle w:val="Compact"/>
              <w:spacing w:before="20" w:after="20"/>
              <w:jc w:val="left"/>
            </w:pPr>
            <w:r>
              <w:rPr>
                <w:b/>
                <w:color w:val="FFFFFF"/>
                <w:sz w:val="17"/>
              </w:rPr>
              <w:t xml:space="preserve">Date</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Status</w:t>
            </w:r>
          </w:p>
        </w:tc>
      </w:tr>
      <w:tr>
        <w:tc>
          <w:tcPr/>
          <w:p>
            <w:pPr>
              <w:pStyle w:val="Compact"/>
              <w:spacing w:before="20" w:after="20"/>
              <w:jc w:val="left"/>
            </w:pPr>
            <w:r>
              <w:rPr>
                <w:sz w:val="17"/>
              </w:rPr>
              <w:t xml:space="preserve">Business and product documentation index</w:t>
            </w:r>
          </w:p>
        </w:tc>
        <w:tc>
          <w:tcPr>
            <w:noWrap/>
          </w:tcPr>
          <w:p>
            <w:pPr>
              <w:pStyle w:val="Compact"/>
              <w:spacing w:before="20" w:after="20"/>
              <w:jc w:val="left"/>
            </w:pPr>
            <w:r>
              <w:rPr>
                <w:sz w:val="17"/>
              </w:rPr>
              <w:t xml:space="preserve">1.0</w:t>
            </w:r>
          </w:p>
        </w:tc>
        <w:tc>
          <w:tcPr/>
          <w:p>
            <w:pPr>
              <w:pStyle w:val="Compact"/>
              <w:spacing w:before="20" w:after="20"/>
              <w:jc w:val="left"/>
            </w:pPr>
            <w:r>
              <w:rPr>
                <w:sz w:val="17"/>
              </w:rPr>
              <w:t xml:space="preserve">07 October 2026</w:t>
            </w:r>
          </w:p>
        </w:tc>
        <w:tc>
          <w:tcPr/>
          <w:p>
            <w:pPr>
              <w:pStyle w:val="Compact"/>
              <w:spacing w:before="20" w:after="20"/>
              <w:jc w:val="left"/>
            </w:pPr>
            <w:r>
              <w:rPr>
                <w:sz w:val="17"/>
              </w:rPr>
              <w:t xml:space="preserve">iorta TechNXT — Business Analysis</w:t>
            </w:r>
          </w:p>
        </w:tc>
        <w:tc>
          <w:tcPr/>
          <w:p>
            <w:pPr>
              <w:pStyle w:val="Compact"/>
              <w:spacing w:before="20" w:after="20"/>
              <w:jc w:val="left"/>
            </w:pPr>
            <w:r>
              <w:rPr>
                <w:sz w:val="17"/>
              </w:rPr>
              <w:t xml:space="preserve">Issued for submission</w:t>
            </w:r>
          </w:p>
        </w:tc>
      </w:tr>
    </w:tbl>
    <w:p>
      <w:pPr>
        <w:pStyle w:val="BodyText"/>
      </w:pPr>
      <w:r>
        <w:rPr>
          <w:bCs/>
          <w:b/>
        </w:rPr>
        <w:t xml:space="preserve">TASCO Insurance × VETC Motor Insurance Growth Platform</w:t>
      </w:r>
      <w:r>
        <w:t xml:space="preserve"> </w:t>
      </w:r>
      <w:r>
        <w:t xml:space="preserve">· prepared by iorta TechNXT for TASCO Insurance</w:t>
      </w:r>
    </w:p>
    <w:p>
      <w:pPr>
        <w:pStyle w:val="BodyText"/>
      </w:pPr>
      <w:r>
        <w:t xml:space="preserve">This folder holds the business case, requirements and engagement model for the platform: new business, renewal, partners and value beyond discount. The documents are written to be read in order but can stand alone. IDs are consistent across all of them. In the documents, a reference such as "doc 05" means the document with that number in the table below.</w:t>
      </w:r>
    </w:p>
    <w:bookmarkStart w:id="27" w:name="documents"/>
    <w:p>
      <w:pPr>
        <w:pStyle w:val="Heading2"/>
      </w:pPr>
      <w:r>
        <w:t xml:space="preserve">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spacing w:before="20" w:after="20"/>
              <w:jc w:val="left"/>
            </w:pPr>
            <w:r>
              <w:rPr>
                <w:b/>
                <w:color w:val="FFFFFF"/>
                <w:sz w:val="18"/>
              </w:rPr>
              <w:t xml:space="preserve">#</w:t>
            </w:r>
          </w:p>
        </w:tc>
        <w:tc>
          <w:tcPr>
            <w:shd w:val="clear" w:color="auto" w:fill="213368"/>
          </w:tcPr>
          <w:p>
            <w:pPr>
              <w:pStyle w:val="Compact"/>
              <w:spacing w:before="20" w:after="20"/>
              <w:jc w:val="left"/>
            </w:pPr>
            <w:r>
              <w:rPr>
                <w:b/>
                <w:color w:val="FFFFFF"/>
                <w:sz w:val="18"/>
              </w:rPr>
              <w:t xml:space="preserve">Document</w:t>
            </w:r>
          </w:p>
        </w:tc>
        <w:tc>
          <w:tcPr>
            <w:shd w:val="clear" w:color="auto" w:fill="213368"/>
          </w:tcPr>
          <w:p>
            <w:pPr>
              <w:pStyle w:val="Compact"/>
              <w:spacing w:before="20" w:after="20"/>
              <w:jc w:val="left"/>
            </w:pPr>
            <w:r>
              <w:rPr>
                <w:b/>
                <w:color w:val="FFFFFF"/>
                <w:sz w:val="18"/>
              </w:rPr>
              <w:t xml:space="preserve">What it answers</w:t>
            </w:r>
          </w:p>
        </w:tc>
        <w:tc>
          <w:tcPr>
            <w:shd w:val="clear" w:color="auto" w:fill="213368"/>
          </w:tcPr>
          <w:p>
            <w:pPr>
              <w:pStyle w:val="Compact"/>
              <w:spacing w:before="20" w:after="20"/>
              <w:jc w:val="left"/>
            </w:pPr>
            <w:r>
              <w:rPr>
                <w:b/>
                <w:color w:val="FFFFFF"/>
                <w:sz w:val="18"/>
              </w:rPr>
              <w:t xml:space="preserve">Primary audience</w:t>
            </w:r>
          </w:p>
        </w:tc>
      </w:tr>
      <w:tr>
        <w:tc>
          <w:tcPr>
            <w:noWrap/>
          </w:tcPr>
          <w:p>
            <w:pPr>
              <w:pStyle w:val="Compact"/>
              <w:spacing w:before="20" w:after="20"/>
              <w:jc w:val="left"/>
            </w:pPr>
            <w:r>
              <w:rPr>
                <w:sz w:val="18"/>
              </w:rPr>
              <w:t xml:space="preserve">01</w:t>
            </w:r>
          </w:p>
        </w:tc>
        <w:tc>
          <w:tcPr/>
          <w:p>
            <w:pPr>
              <w:pStyle w:val="Compact"/>
              <w:spacing w:before="20" w:after="20"/>
              <w:jc w:val="left"/>
            </w:pPr>
            <w:hyperlink r:id="rId20">
              <w:r>
                <w:rPr>
                  <w:rStyle w:val="Hyperlink"/>
                </w:rPr>
                <w:t xml:space="preserve">Business Context and Growth Strategy</w:t>
              </w:r>
            </w:hyperlink>
          </w:p>
        </w:tc>
        <w:tc>
          <w:tcPr/>
          <w:p>
            <w:pPr>
              <w:pStyle w:val="Compact"/>
              <w:spacing w:before="20" w:after="20"/>
              <w:jc w:val="left"/>
            </w:pPr>
            <w:r>
              <w:rPr>
                <w:sz w:val="18"/>
              </w:rPr>
              <w:t xml:space="preserve">Why own-channel renewals are near zero; segment, channel, trust, value and data strategy; roadmap; KPI tree; illustrative business case</w:t>
            </w:r>
          </w:p>
        </w:tc>
        <w:tc>
          <w:tcPr/>
          <w:p>
            <w:pPr>
              <w:pStyle w:val="Compact"/>
              <w:spacing w:before="20" w:after="20"/>
              <w:jc w:val="left"/>
            </w:pPr>
            <w:r>
              <w:rPr>
                <w:sz w:val="18"/>
              </w:rPr>
              <w:t xml:space="preserve">Executives, judges, steering committee</w:t>
            </w:r>
          </w:p>
        </w:tc>
      </w:tr>
      <w:tr>
        <w:tc>
          <w:tcPr>
            <w:noWrap/>
          </w:tcPr>
          <w:p>
            <w:pPr>
              <w:pStyle w:val="Compact"/>
              <w:spacing w:before="20" w:after="20"/>
              <w:jc w:val="left"/>
            </w:pPr>
            <w:r>
              <w:rPr>
                <w:sz w:val="18"/>
              </w:rPr>
              <w:t xml:space="preserve">02</w:t>
            </w:r>
          </w:p>
        </w:tc>
        <w:tc>
          <w:tcPr/>
          <w:p>
            <w:pPr>
              <w:pStyle w:val="Compact"/>
              <w:spacing w:before="20" w:after="20"/>
              <w:jc w:val="left"/>
            </w:pPr>
            <w:hyperlink r:id="rId21">
              <w:r>
                <w:rPr>
                  <w:rStyle w:val="Hyperlink"/>
                </w:rPr>
                <w:t xml:space="preserve">Functional Requirements Specification</w:t>
              </w:r>
            </w:hyperlink>
          </w:p>
        </w:tc>
        <w:tc>
          <w:tcPr/>
          <w:p>
            <w:pPr>
              <w:pStyle w:val="Compact"/>
              <w:spacing w:before="20" w:after="20"/>
              <w:jc w:val="left"/>
            </w:pPr>
            <w:r>
              <w:rPr>
                <w:sz w:val="18"/>
              </w:rPr>
              <w:t xml:space="preserve">What the platform must do: FR-001 – FR-110 by capability, with business rules, priority, track and build status</w:t>
            </w:r>
          </w:p>
        </w:tc>
        <w:tc>
          <w:tcPr/>
          <w:p>
            <w:pPr>
              <w:pStyle w:val="Compact"/>
              <w:spacing w:before="20" w:after="20"/>
              <w:jc w:val="left"/>
            </w:pPr>
            <w:r>
              <w:rPr>
                <w:sz w:val="18"/>
              </w:rPr>
              <w:t xml:space="preserve">Product owners, BAs, engineering</w:t>
            </w:r>
          </w:p>
        </w:tc>
      </w:tr>
      <w:tr>
        <w:tc>
          <w:tcPr>
            <w:noWrap/>
          </w:tcPr>
          <w:p>
            <w:pPr>
              <w:pStyle w:val="Compact"/>
              <w:spacing w:before="20" w:after="20"/>
              <w:jc w:val="left"/>
            </w:pPr>
            <w:r>
              <w:rPr>
                <w:sz w:val="18"/>
              </w:rPr>
              <w:t xml:space="preserve">03</w:t>
            </w:r>
          </w:p>
        </w:tc>
        <w:tc>
          <w:tcPr/>
          <w:p>
            <w:pPr>
              <w:pStyle w:val="Compact"/>
              <w:spacing w:before="20" w:after="20"/>
              <w:jc w:val="left"/>
            </w:pPr>
            <w:hyperlink r:id="rId22">
              <w:r>
                <w:rPr>
                  <w:rStyle w:val="Hyperlink"/>
                </w:rPr>
                <w:t xml:space="preserve">Non-Functional Requirements</w:t>
              </w:r>
            </w:hyperlink>
          </w:p>
        </w:tc>
        <w:tc>
          <w:tcPr/>
          <w:p>
            <w:pPr>
              <w:pStyle w:val="Compact"/>
              <w:spacing w:before="20" w:after="20"/>
              <w:jc w:val="left"/>
            </w:pPr>
            <w:r>
              <w:rPr>
                <w:sz w:val="18"/>
              </w:rPr>
              <w:t xml:space="preserve">How well it must do it: NFR-001 – NFR-069 (performance, SLOs, security, privacy, accessibility, DR, configurability)</w:t>
            </w:r>
          </w:p>
        </w:tc>
        <w:tc>
          <w:tcPr/>
          <w:p>
            <w:pPr>
              <w:pStyle w:val="Compact"/>
              <w:spacing w:before="20" w:after="20"/>
              <w:jc w:val="left"/>
            </w:pPr>
            <w:r>
              <w:rPr>
                <w:sz w:val="18"/>
              </w:rPr>
              <w:t xml:space="preserve">Architects, security, operations</w:t>
            </w:r>
          </w:p>
        </w:tc>
      </w:tr>
      <w:tr>
        <w:tc>
          <w:tcPr>
            <w:noWrap/>
          </w:tcPr>
          <w:p>
            <w:pPr>
              <w:pStyle w:val="Compact"/>
              <w:spacing w:before="20" w:after="20"/>
              <w:jc w:val="left"/>
            </w:pPr>
            <w:r>
              <w:rPr>
                <w:sz w:val="18"/>
              </w:rPr>
              <w:t xml:space="preserve">04</w:t>
            </w:r>
          </w:p>
        </w:tc>
        <w:tc>
          <w:tcPr/>
          <w:p>
            <w:pPr>
              <w:pStyle w:val="Compact"/>
              <w:spacing w:before="20" w:after="20"/>
              <w:jc w:val="left"/>
            </w:pPr>
            <w:hyperlink r:id="rId23">
              <w:r>
                <w:rPr>
                  <w:rStyle w:val="Hyperlink"/>
                </w:rPr>
                <w:t xml:space="preserve">User Stories and Acceptance Criteria</w:t>
              </w:r>
            </w:hyperlink>
          </w:p>
        </w:tc>
        <w:tc>
          <w:tcPr/>
          <w:p>
            <w:pPr>
              <w:pStyle w:val="Compact"/>
              <w:spacing w:before="20" w:after="20"/>
              <w:jc w:val="left"/>
            </w:pPr>
            <w:r>
              <w:rPr>
                <w:sz w:val="18"/>
              </w:rPr>
              <w:t xml:space="preserve">US-001 – US-077 in 15 epics, with Gherkin acceptance criteria linked to FRs</w:t>
            </w:r>
          </w:p>
        </w:tc>
        <w:tc>
          <w:tcPr/>
          <w:p>
            <w:pPr>
              <w:pStyle w:val="Compact"/>
              <w:spacing w:before="20" w:after="20"/>
              <w:jc w:val="left"/>
            </w:pPr>
            <w:r>
              <w:rPr>
                <w:sz w:val="18"/>
              </w:rPr>
              <w:t xml:space="preserve">Delivery team, QA, UAT users</w:t>
            </w:r>
          </w:p>
        </w:tc>
      </w:tr>
      <w:tr>
        <w:tc>
          <w:tcPr>
            <w:noWrap/>
          </w:tcPr>
          <w:p>
            <w:pPr>
              <w:pStyle w:val="Compact"/>
              <w:spacing w:before="20" w:after="20"/>
              <w:jc w:val="left"/>
            </w:pPr>
            <w:r>
              <w:rPr>
                <w:sz w:val="18"/>
              </w:rPr>
              <w:t xml:space="preserve">05</w:t>
            </w:r>
          </w:p>
        </w:tc>
        <w:tc>
          <w:tcPr/>
          <w:p>
            <w:pPr>
              <w:pStyle w:val="Compact"/>
              <w:spacing w:before="20" w:after="20"/>
              <w:jc w:val="left"/>
            </w:pPr>
            <w:hyperlink r:id="rId24">
              <w:r>
                <w:rPr>
                  <w:rStyle w:val="Hyperlink"/>
                </w:rPr>
                <w:t xml:space="preserve">Requirements Traceability Matrix</w:t>
              </w:r>
            </w:hyperlink>
          </w:p>
        </w:tc>
        <w:tc>
          <w:tcPr/>
          <w:p>
            <w:pPr>
              <w:pStyle w:val="Compact"/>
              <w:spacing w:before="20" w:after="20"/>
              <w:jc w:val="left"/>
            </w:pPr>
            <w:r>
              <w:rPr>
                <w:sz w:val="18"/>
              </w:rPr>
              <w:t xml:space="preserve">FR → US → code → API → rule kind → test file, plus engineering notes E-01 – E-22</w:t>
            </w:r>
          </w:p>
        </w:tc>
        <w:tc>
          <w:tcPr/>
          <w:p>
            <w:pPr>
              <w:pStyle w:val="Compact"/>
              <w:spacing w:before="20" w:after="20"/>
              <w:jc w:val="left"/>
            </w:pPr>
            <w:r>
              <w:rPr>
                <w:sz w:val="18"/>
              </w:rPr>
              <w:t xml:space="preserve">Engineering, QA, audit</w:t>
            </w:r>
          </w:p>
        </w:tc>
      </w:tr>
      <w:tr>
        <w:tc>
          <w:tcPr>
            <w:noWrap/>
          </w:tcPr>
          <w:p>
            <w:pPr>
              <w:pStyle w:val="Compact"/>
              <w:spacing w:before="20" w:after="20"/>
              <w:jc w:val="left"/>
            </w:pPr>
            <w:r>
              <w:rPr>
                <w:sz w:val="18"/>
              </w:rPr>
              <w:t xml:space="preserve">06</w:t>
            </w:r>
          </w:p>
        </w:tc>
        <w:tc>
          <w:tcPr/>
          <w:p>
            <w:pPr>
              <w:pStyle w:val="Compact"/>
              <w:spacing w:before="20" w:after="20"/>
              <w:jc w:val="left"/>
            </w:pPr>
            <w:hyperlink r:id="rId25">
              <w:r>
                <w:rPr>
                  <w:rStyle w:val="Hyperlink"/>
                </w:rPr>
                <w:t xml:space="preserve">Personas, Journey Maps and Service Blueprints</w:t>
              </w:r>
            </w:hyperlink>
          </w:p>
        </w:tc>
        <w:tc>
          <w:tcPr/>
          <w:p>
            <w:pPr>
              <w:pStyle w:val="Compact"/>
              <w:spacing w:before="20" w:after="20"/>
              <w:jc w:val="left"/>
            </w:pPr>
            <w:r>
              <w:rPr>
                <w:sz w:val="18"/>
              </w:rPr>
              <w:t xml:space="preserve">5 customer and 13 staff/partner personas; current and future journeys; service blueprints; pain points; moments of truth</w:t>
            </w:r>
          </w:p>
        </w:tc>
        <w:tc>
          <w:tcPr/>
          <w:p>
            <w:pPr>
              <w:pStyle w:val="Compact"/>
              <w:spacing w:before="20" w:after="20"/>
              <w:jc w:val="left"/>
            </w:pPr>
            <w:r>
              <w:rPr>
                <w:sz w:val="18"/>
              </w:rPr>
              <w:t xml:space="preserve">Product, UX, campaign managers</w:t>
            </w:r>
          </w:p>
        </w:tc>
      </w:tr>
      <w:tr>
        <w:tc>
          <w:tcPr>
            <w:noWrap/>
          </w:tcPr>
          <w:p>
            <w:pPr>
              <w:pStyle w:val="Compact"/>
              <w:spacing w:before="20" w:after="20"/>
              <w:jc w:val="left"/>
            </w:pPr>
            <w:r>
              <w:rPr>
                <w:sz w:val="18"/>
              </w:rPr>
              <w:t xml:space="preserve">07</w:t>
            </w:r>
          </w:p>
        </w:tc>
        <w:tc>
          <w:tcPr/>
          <w:p>
            <w:pPr>
              <w:pStyle w:val="Compact"/>
              <w:spacing w:before="20" w:after="20"/>
              <w:jc w:val="left"/>
            </w:pPr>
            <w:hyperlink r:id="rId26">
              <w:r>
                <w:rPr>
                  <w:rStyle w:val="Hyperlink"/>
                </w:rPr>
                <w:t xml:space="preserve">Commercials and Engagement Model</w:t>
              </w:r>
            </w:hyperlink>
          </w:p>
        </w:tc>
        <w:tc>
          <w:tcPr/>
          <w:p>
            <w:pPr>
              <w:pStyle w:val="Compact"/>
              <w:spacing w:before="20" w:after="20"/>
              <w:jc w:val="left"/>
            </w:pPr>
            <w:r>
              <w:rPr>
                <w:sz w:val="18"/>
              </w:rPr>
              <w:t xml:space="preserve">Phases, team, effort, Options A and B, run cost, 3- and 5-year TCO, milestones, assumptions, exclusions</w:t>
            </w:r>
          </w:p>
        </w:tc>
        <w:tc>
          <w:tcPr/>
          <w:p>
            <w:pPr>
              <w:pStyle w:val="Compact"/>
              <w:spacing w:before="20" w:after="20"/>
              <w:jc w:val="left"/>
            </w:pPr>
            <w:r>
              <w:rPr>
                <w:sz w:val="18"/>
              </w:rPr>
              <w:t xml:space="preserve">TASCO procurement and finance, executives</w:t>
            </w:r>
          </w:p>
        </w:tc>
      </w:tr>
    </w:tbl>
    <w:bookmarkEnd w:id="27"/>
    <w:bookmarkStart w:id="28" w:name="id-conventions"/>
    <w:p>
      <w:pPr>
        <w:pStyle w:val="Heading2"/>
      </w:pPr>
      <w:r>
        <w:t xml:space="preserve">ID conventions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Prefix</w:t>
            </w:r>
          </w:p>
        </w:tc>
        <w:tc>
          <w:tcPr>
            <w:shd w:val="clear" w:color="auto" w:fill="213368"/>
          </w:tcPr>
          <w:p>
            <w:pPr>
              <w:pStyle w:val="Compact"/>
              <w:spacing w:before="20" w:after="20"/>
              <w:jc w:val="left"/>
            </w:pPr>
            <w:r>
              <w:rPr>
                <w:b/>
                <w:color w:val="FFFFFF"/>
                <w:sz w:val="18"/>
              </w:rPr>
              <w:t xml:space="preserve">Meaning</w:t>
            </w:r>
          </w:p>
        </w:tc>
        <w:tc>
          <w:tcPr>
            <w:shd w:val="clear" w:color="auto" w:fill="213368"/>
          </w:tcPr>
          <w:p>
            <w:pPr>
              <w:pStyle w:val="Compact"/>
              <w:spacing w:before="20" w:after="20"/>
              <w:jc w:val="left"/>
            </w:pPr>
            <w:r>
              <w:rPr>
                <w:b/>
                <w:color w:val="FFFFFF"/>
                <w:sz w:val="18"/>
              </w:rPr>
              <w:t xml:space="preserve">Defined in</w:t>
            </w:r>
          </w:p>
        </w:tc>
      </w:tr>
      <w:tr>
        <w:tc>
          <w:tcPr>
            <w:noWrap/>
          </w:tcPr>
          <w:p>
            <w:pPr>
              <w:pStyle w:val="Compact"/>
              <w:spacing w:before="20" w:after="20"/>
              <w:jc w:val="left"/>
            </w:pPr>
            <w:r>
              <w:rPr>
                <w:rStyle w:val="VerbatimChar"/>
                <w:sz w:val="18"/>
              </w:rPr>
              <w:t xml:space="preserve">SEG-n</w:t>
            </w:r>
          </w:p>
        </w:tc>
        <w:tc>
          <w:tcPr/>
          <w:p>
            <w:pPr>
              <w:pStyle w:val="Compact"/>
              <w:spacing w:before="20" w:after="20"/>
              <w:jc w:val="left"/>
            </w:pPr>
            <w:r>
              <w:rPr>
                <w:sz w:val="18"/>
              </w:rPr>
              <w:t xml:space="preserve">Growth segment (lapsed, new vehicle, renewal, conquest, cross-sell, fleet, partner-led)</w:t>
            </w:r>
          </w:p>
        </w:tc>
        <w:tc>
          <w:tcPr/>
          <w:p>
            <w:pPr>
              <w:pStyle w:val="Compact"/>
              <w:spacing w:before="20" w:after="20"/>
              <w:jc w:val="left"/>
            </w:pPr>
            <w:r>
              <w:rPr>
                <w:sz w:val="18"/>
              </w:rPr>
              <w:t xml:space="preserve">01 §4</w:t>
            </w:r>
          </w:p>
        </w:tc>
      </w:tr>
      <w:tr>
        <w:tc>
          <w:tcPr>
            <w:noWrap/>
          </w:tcPr>
          <w:p>
            <w:pPr>
              <w:pStyle w:val="Compact"/>
              <w:spacing w:before="20" w:after="20"/>
              <w:jc w:val="left"/>
            </w:pPr>
            <w:r>
              <w:rPr>
                <w:rStyle w:val="VerbatimChar"/>
                <w:sz w:val="18"/>
              </w:rPr>
              <w:t xml:space="preserve">K-nn</w:t>
            </w:r>
          </w:p>
        </w:tc>
        <w:tc>
          <w:tcPr/>
          <w:p>
            <w:pPr>
              <w:pStyle w:val="Compact"/>
              <w:spacing w:before="20" w:after="20"/>
              <w:jc w:val="left"/>
            </w:pPr>
            <w:r>
              <w:rPr>
                <w:sz w:val="18"/>
              </w:rPr>
              <w:t xml:space="preserve">KPI</w:t>
            </w:r>
          </w:p>
        </w:tc>
        <w:tc>
          <w:tcPr/>
          <w:p>
            <w:pPr>
              <w:pStyle w:val="Compact"/>
              <w:spacing w:before="20" w:after="20"/>
              <w:jc w:val="left"/>
            </w:pPr>
            <w:r>
              <w:rPr>
                <w:sz w:val="18"/>
              </w:rPr>
              <w:t xml:space="preserve">01 §11</w:t>
            </w:r>
          </w:p>
        </w:tc>
      </w:tr>
      <w:tr>
        <w:tc>
          <w:tcPr>
            <w:noWrap/>
          </w:tcPr>
          <w:p>
            <w:pPr>
              <w:pStyle w:val="Compact"/>
              <w:spacing w:before="20" w:after="20"/>
              <w:jc w:val="left"/>
            </w:pPr>
            <w:r>
              <w:rPr>
                <w:rStyle w:val="VerbatimChar"/>
                <w:sz w:val="18"/>
              </w:rPr>
              <w:t xml:space="preserve">A-nn</w:t>
            </w:r>
          </w:p>
        </w:tc>
        <w:tc>
          <w:tcPr/>
          <w:p>
            <w:pPr>
              <w:pStyle w:val="Compact"/>
              <w:spacing w:before="20" w:after="20"/>
              <w:jc w:val="left"/>
            </w:pPr>
            <w:r>
              <w:rPr>
                <w:sz w:val="18"/>
              </w:rPr>
              <w:t xml:space="preserve">Business-case assumption</w:t>
            </w:r>
          </w:p>
        </w:tc>
        <w:tc>
          <w:tcPr/>
          <w:p>
            <w:pPr>
              <w:pStyle w:val="Compact"/>
              <w:spacing w:before="20" w:after="20"/>
              <w:jc w:val="left"/>
            </w:pPr>
            <w:r>
              <w:rPr>
                <w:sz w:val="18"/>
              </w:rPr>
              <w:t xml:space="preserve">01 §13</w:t>
            </w:r>
          </w:p>
        </w:tc>
      </w:tr>
      <w:tr>
        <w:tc>
          <w:tcPr>
            <w:noWrap/>
          </w:tcPr>
          <w:p>
            <w:pPr>
              <w:pStyle w:val="Compact"/>
              <w:spacing w:before="20" w:after="20"/>
              <w:jc w:val="left"/>
            </w:pPr>
            <w:r>
              <w:rPr>
                <w:rStyle w:val="VerbatimChar"/>
                <w:sz w:val="18"/>
              </w:rPr>
              <w:t xml:space="preserve">R-nn</w:t>
            </w:r>
          </w:p>
        </w:tc>
        <w:tc>
          <w:tcPr/>
          <w:p>
            <w:pPr>
              <w:pStyle w:val="Compact"/>
              <w:spacing w:before="20" w:after="20"/>
              <w:jc w:val="left"/>
            </w:pPr>
            <w:r>
              <w:rPr>
                <w:sz w:val="18"/>
              </w:rPr>
              <w:t xml:space="preserve">Strategic risk</w:t>
            </w:r>
          </w:p>
        </w:tc>
        <w:tc>
          <w:tcPr/>
          <w:p>
            <w:pPr>
              <w:pStyle w:val="Compact"/>
              <w:spacing w:before="20" w:after="20"/>
              <w:jc w:val="left"/>
            </w:pPr>
            <w:r>
              <w:rPr>
                <w:sz w:val="18"/>
              </w:rPr>
              <w:t xml:space="preserve">01 §16</w:t>
            </w:r>
          </w:p>
        </w:tc>
      </w:tr>
      <w:tr>
        <w:tc>
          <w:tcPr>
            <w:noWrap/>
          </w:tcPr>
          <w:p>
            <w:pPr>
              <w:pStyle w:val="Compact"/>
              <w:spacing w:before="20" w:after="20"/>
              <w:jc w:val="left"/>
            </w:pPr>
            <w:r>
              <w:rPr>
                <w:rStyle w:val="VerbatimChar"/>
                <w:sz w:val="18"/>
              </w:rPr>
              <w:t xml:space="preserve">FR-nnn</w:t>
            </w:r>
          </w:p>
        </w:tc>
        <w:tc>
          <w:tcPr/>
          <w:p>
            <w:pPr>
              <w:pStyle w:val="Compact"/>
              <w:spacing w:before="20" w:after="20"/>
              <w:jc w:val="left"/>
            </w:pPr>
            <w:r>
              <w:rPr>
                <w:sz w:val="18"/>
              </w:rPr>
              <w:t xml:space="preserve">Functional requirement</w:t>
            </w:r>
          </w:p>
        </w:tc>
        <w:tc>
          <w:tcPr>
            <w:noWrap/>
          </w:tcPr>
          <w:p>
            <w:pPr>
              <w:pStyle w:val="Compact"/>
              <w:spacing w:before="20" w:after="20"/>
              <w:jc w:val="left"/>
            </w:pPr>
            <w:r>
              <w:rPr>
                <w:sz w:val="18"/>
              </w:rPr>
              <w:t xml:space="preserve">02</w:t>
            </w:r>
          </w:p>
        </w:tc>
      </w:tr>
      <w:tr>
        <w:tc>
          <w:tcPr>
            <w:noWrap/>
          </w:tcPr>
          <w:p>
            <w:pPr>
              <w:pStyle w:val="Compact"/>
              <w:spacing w:before="20" w:after="20"/>
              <w:jc w:val="left"/>
            </w:pPr>
            <w:r>
              <w:rPr>
                <w:rStyle w:val="VerbatimChar"/>
                <w:sz w:val="18"/>
              </w:rPr>
              <w:t xml:space="preserve">NFR-nnn</w:t>
            </w:r>
          </w:p>
        </w:tc>
        <w:tc>
          <w:tcPr/>
          <w:p>
            <w:pPr>
              <w:pStyle w:val="Compact"/>
              <w:spacing w:before="20" w:after="20"/>
              <w:jc w:val="left"/>
            </w:pPr>
            <w:r>
              <w:rPr>
                <w:sz w:val="18"/>
              </w:rPr>
              <w:t xml:space="preserve">Non-functional requirement</w:t>
            </w:r>
          </w:p>
        </w:tc>
        <w:tc>
          <w:tcPr>
            <w:noWrap/>
          </w:tcPr>
          <w:p>
            <w:pPr>
              <w:pStyle w:val="Compact"/>
              <w:spacing w:before="20" w:after="20"/>
              <w:jc w:val="left"/>
            </w:pPr>
            <w:r>
              <w:rPr>
                <w:sz w:val="18"/>
              </w:rPr>
              <w:t xml:space="preserve">03</w:t>
            </w:r>
          </w:p>
        </w:tc>
      </w:tr>
      <w:tr>
        <w:tc>
          <w:tcPr>
            <w:noWrap/>
          </w:tcPr>
          <w:p>
            <w:pPr>
              <w:pStyle w:val="Compact"/>
              <w:spacing w:before="20" w:after="20"/>
              <w:jc w:val="left"/>
            </w:pPr>
            <w:r>
              <w:rPr>
                <w:rStyle w:val="VerbatimChar"/>
                <w:sz w:val="18"/>
              </w:rPr>
              <w:t xml:space="preserve">W-n</w:t>
            </w:r>
          </w:p>
        </w:tc>
        <w:tc>
          <w:tcPr/>
          <w:p>
            <w:pPr>
              <w:pStyle w:val="Compact"/>
              <w:spacing w:before="20" w:after="20"/>
              <w:jc w:val="left"/>
            </w:pPr>
            <w:r>
              <w:rPr>
                <w:sz w:val="18"/>
              </w:rPr>
              <w:t xml:space="preserve">Workload assumption</w:t>
            </w:r>
          </w:p>
        </w:tc>
        <w:tc>
          <w:tcPr/>
          <w:p>
            <w:pPr>
              <w:pStyle w:val="Compact"/>
              <w:spacing w:before="20" w:after="20"/>
              <w:jc w:val="left"/>
            </w:pPr>
            <w:r>
              <w:rPr>
                <w:sz w:val="18"/>
              </w:rPr>
              <w:t xml:space="preserve">03 §0</w:t>
            </w:r>
          </w:p>
        </w:tc>
      </w:tr>
      <w:tr>
        <w:tc>
          <w:tcPr/>
          <w:p>
            <w:pPr>
              <w:pStyle w:val="Compact"/>
              <w:spacing w:before="20" w:after="20"/>
              <w:jc w:val="left"/>
            </w:pPr>
            <w:r>
              <w:rPr>
                <w:rStyle w:val="VerbatimChar"/>
                <w:sz w:val="18"/>
              </w:rPr>
              <w:t xml:space="preserve">EP-nn</w:t>
            </w:r>
            <w:r>
              <w:rPr>
                <w:sz w:val="18"/>
              </w:rPr>
              <w:t xml:space="preserve">,</w:t>
            </w:r>
            <w:r>
              <w:rPr>
                <w:sz w:val="18"/>
              </w:rPr>
              <w:t xml:space="preserve"> </w:t>
            </w:r>
            <w:r>
              <w:rPr>
                <w:rStyle w:val="VerbatimChar"/>
                <w:sz w:val="18"/>
              </w:rPr>
              <w:t xml:space="preserve">US-nnn</w:t>
            </w:r>
          </w:p>
        </w:tc>
        <w:tc>
          <w:tcPr/>
          <w:p>
            <w:pPr>
              <w:pStyle w:val="Compact"/>
              <w:spacing w:before="20" w:after="20"/>
              <w:jc w:val="left"/>
            </w:pPr>
            <w:r>
              <w:rPr>
                <w:sz w:val="18"/>
              </w:rPr>
              <w:t xml:space="preserve">Epic, user story</w:t>
            </w:r>
          </w:p>
        </w:tc>
        <w:tc>
          <w:tcPr>
            <w:noWrap/>
          </w:tcPr>
          <w:p>
            <w:pPr>
              <w:pStyle w:val="Compact"/>
              <w:spacing w:before="20" w:after="20"/>
              <w:jc w:val="left"/>
            </w:pPr>
            <w:r>
              <w:rPr>
                <w:sz w:val="18"/>
              </w:rPr>
              <w:t xml:space="preserve">04</w:t>
            </w:r>
          </w:p>
        </w:tc>
      </w:tr>
      <w:tr>
        <w:tc>
          <w:tcPr>
            <w:noWrap/>
          </w:tcPr>
          <w:p>
            <w:pPr>
              <w:pStyle w:val="Compact"/>
              <w:spacing w:before="20" w:after="20"/>
              <w:jc w:val="left"/>
            </w:pPr>
            <w:r>
              <w:rPr>
                <w:rStyle w:val="VerbatimChar"/>
                <w:sz w:val="18"/>
              </w:rPr>
              <w:t xml:space="preserve">E-nn</w:t>
            </w:r>
          </w:p>
        </w:tc>
        <w:tc>
          <w:tcPr/>
          <w:p>
            <w:pPr>
              <w:pStyle w:val="Compact"/>
              <w:spacing w:before="20" w:after="20"/>
              <w:jc w:val="left"/>
            </w:pPr>
            <w:r>
              <w:rPr>
                <w:sz w:val="18"/>
              </w:rPr>
              <w:t xml:space="preserve">Engineering note (code inconsistency found during documentation, with resolution status)</w:t>
            </w:r>
          </w:p>
        </w:tc>
        <w:tc>
          <w:tcPr/>
          <w:p>
            <w:pPr>
              <w:pStyle w:val="Compact"/>
              <w:spacing w:before="20" w:after="20"/>
              <w:jc w:val="left"/>
            </w:pPr>
            <w:r>
              <w:rPr>
                <w:sz w:val="18"/>
              </w:rPr>
              <w:t xml:space="preserve">05 §3</w:t>
            </w:r>
          </w:p>
        </w:tc>
      </w:tr>
      <w:tr>
        <w:tc>
          <w:tcPr/>
          <w:p>
            <w:pPr>
              <w:pStyle w:val="Compact"/>
              <w:spacing w:before="20" w:after="20"/>
              <w:jc w:val="left"/>
            </w:pPr>
            <w:r>
              <w:rPr>
                <w:rStyle w:val="VerbatimChar"/>
                <w:sz w:val="18"/>
              </w:rPr>
              <w:t xml:space="preserve">PC-n</w:t>
            </w:r>
            <w:r>
              <w:rPr>
                <w:sz w:val="18"/>
              </w:rPr>
              <w:t xml:space="preserve">,</w:t>
            </w:r>
            <w:r>
              <w:rPr>
                <w:sz w:val="18"/>
              </w:rPr>
              <w:t xml:space="preserve"> </w:t>
            </w:r>
            <w:r>
              <w:rPr>
                <w:rStyle w:val="VerbatimChar"/>
                <w:sz w:val="18"/>
              </w:rPr>
              <w:t xml:space="preserve">PS-nn</w:t>
            </w:r>
          </w:p>
        </w:tc>
        <w:tc>
          <w:tcPr/>
          <w:p>
            <w:pPr>
              <w:pStyle w:val="Compact"/>
              <w:spacing w:before="20" w:after="20"/>
              <w:jc w:val="left"/>
            </w:pPr>
            <w:r>
              <w:rPr>
                <w:sz w:val="18"/>
              </w:rPr>
              <w:t xml:space="preserve">Customer persona, staff/partner persona</w:t>
            </w:r>
          </w:p>
        </w:tc>
        <w:tc>
          <w:tcPr>
            <w:noWrap/>
          </w:tcPr>
          <w:p>
            <w:pPr>
              <w:pStyle w:val="Compact"/>
              <w:spacing w:before="20" w:after="20"/>
              <w:jc w:val="left"/>
            </w:pPr>
            <w:r>
              <w:rPr>
                <w:sz w:val="18"/>
              </w:rPr>
              <w:t xml:space="preserve">06</w:t>
            </w:r>
          </w:p>
        </w:tc>
      </w:tr>
      <w:tr>
        <w:tc>
          <w:tcPr/>
          <w:p>
            <w:pPr>
              <w:pStyle w:val="Compact"/>
              <w:spacing w:before="20" w:after="20"/>
              <w:jc w:val="left"/>
            </w:pPr>
            <w:r>
              <w:rPr>
                <w:rStyle w:val="VerbatimChar"/>
                <w:sz w:val="18"/>
              </w:rPr>
              <w:t xml:space="preserve">PP-nn</w:t>
            </w:r>
            <w:r>
              <w:rPr>
                <w:sz w:val="18"/>
              </w:rPr>
              <w:t xml:space="preserve">,</w:t>
            </w:r>
            <w:r>
              <w:rPr>
                <w:sz w:val="18"/>
              </w:rPr>
              <w:t xml:space="preserve"> </w:t>
            </w:r>
            <w:r>
              <w:rPr>
                <w:rStyle w:val="VerbatimChar"/>
                <w:sz w:val="18"/>
              </w:rPr>
              <w:t xml:space="preserve">MoT-nn</w:t>
            </w:r>
          </w:p>
        </w:tc>
        <w:tc>
          <w:tcPr/>
          <w:p>
            <w:pPr>
              <w:pStyle w:val="Compact"/>
              <w:spacing w:before="20" w:after="20"/>
              <w:jc w:val="left"/>
            </w:pPr>
            <w:r>
              <w:rPr>
                <w:sz w:val="18"/>
              </w:rPr>
              <w:t xml:space="preserve">Pain point, moment of truth</w:t>
            </w:r>
          </w:p>
        </w:tc>
        <w:tc>
          <w:tcPr>
            <w:noWrap/>
          </w:tcPr>
          <w:p>
            <w:pPr>
              <w:pStyle w:val="Compact"/>
              <w:spacing w:before="20" w:after="20"/>
              <w:jc w:val="left"/>
            </w:pPr>
            <w:r>
              <w:rPr>
                <w:sz w:val="18"/>
              </w:rPr>
              <w:t xml:space="preserve">06</w:t>
            </w:r>
          </w:p>
        </w:tc>
      </w:tr>
      <w:tr>
        <w:tc>
          <w:tcPr>
            <w:noWrap/>
          </w:tcPr>
          <w:p>
            <w:pPr>
              <w:pStyle w:val="Compact"/>
              <w:spacing w:before="20" w:after="20"/>
              <w:jc w:val="left"/>
            </w:pPr>
            <w:r>
              <w:rPr>
                <w:rStyle w:val="VerbatimChar"/>
                <w:sz w:val="18"/>
              </w:rPr>
              <w:t xml:space="preserve">C-nn</w:t>
            </w:r>
          </w:p>
        </w:tc>
        <w:tc>
          <w:tcPr/>
          <w:p>
            <w:pPr>
              <w:pStyle w:val="Compact"/>
              <w:spacing w:before="20" w:after="20"/>
              <w:jc w:val="left"/>
            </w:pPr>
            <w:r>
              <w:rPr>
                <w:sz w:val="18"/>
              </w:rPr>
              <w:t xml:space="preserve">Commercial assumption</w:t>
            </w:r>
          </w:p>
        </w:tc>
        <w:tc>
          <w:tcPr/>
          <w:p>
            <w:pPr>
              <w:pStyle w:val="Compact"/>
              <w:spacing w:before="20" w:after="20"/>
              <w:jc w:val="left"/>
            </w:pPr>
            <w:r>
              <w:rPr>
                <w:sz w:val="18"/>
              </w:rPr>
              <w:t xml:space="preserve">07 §9</w:t>
            </w:r>
          </w:p>
        </w:tc>
      </w:tr>
      <w:tr>
        <w:tc>
          <w:tcPr/>
          <w:p>
            <w:pPr>
              <w:pStyle w:val="Compact"/>
              <w:spacing w:before="20" w:after="20"/>
              <w:jc w:val="left"/>
            </w:pPr>
            <w:r>
              <w:rPr>
                <w:rStyle w:val="VerbatimChar"/>
                <w:sz w:val="18"/>
              </w:rPr>
              <w:t xml:space="preserve">T1</w:t>
            </w:r>
            <w:r>
              <w:rPr>
                <w:sz w:val="18"/>
              </w:rPr>
              <w:t xml:space="preserve">–</w:t>
            </w:r>
            <w:r>
              <w:rPr>
                <w:rStyle w:val="VerbatimChar"/>
                <w:sz w:val="18"/>
              </w:rPr>
              <w:t xml:space="preserve">T4</w:t>
            </w:r>
            <w:r>
              <w:rPr>
                <w:sz w:val="18"/>
              </w:rPr>
              <w:t xml:space="preserve">,</w:t>
            </w:r>
            <w:r>
              <w:rPr>
                <w:sz w:val="18"/>
              </w:rPr>
              <w:t xml:space="preserve"> </w:t>
            </w:r>
            <w:r>
              <w:rPr>
                <w:rStyle w:val="VerbatimChar"/>
                <w:sz w:val="18"/>
              </w:rPr>
              <w:t xml:space="preserve">NB</w:t>
            </w:r>
            <w:r>
              <w:rPr>
                <w:sz w:val="18"/>
              </w:rPr>
              <w:t xml:space="preserve">,</w:t>
            </w:r>
            <w:r>
              <w:rPr>
                <w:sz w:val="18"/>
              </w:rPr>
              <w:t xml:space="preserve"> </w:t>
            </w:r>
            <w:r>
              <w:rPr>
                <w:rStyle w:val="VerbatimChar"/>
                <w:sz w:val="18"/>
              </w:rPr>
              <w:t xml:space="preserve">PL</w:t>
            </w:r>
          </w:p>
        </w:tc>
        <w:tc>
          <w:tcPr/>
          <w:p>
            <w:pPr>
              <w:pStyle w:val="Compact"/>
              <w:spacing w:before="20" w:after="20"/>
              <w:jc w:val="left"/>
            </w:pPr>
            <w:r>
              <w:rPr>
                <w:sz w:val="18"/>
              </w:rPr>
              <w:t xml:space="preserve">Challenge tracks 1–4, new-business extension, platform/governance</w:t>
            </w:r>
          </w:p>
        </w:tc>
        <w:tc>
          <w:tcPr/>
          <w:p>
            <w:pPr>
              <w:pStyle w:val="Compact"/>
              <w:spacing w:before="20" w:after="20"/>
              <w:jc w:val="left"/>
            </w:pPr>
            <w:r>
              <w:rPr>
                <w:sz w:val="18"/>
              </w:rPr>
              <w:t xml:space="preserve">02 §0</w:t>
            </w:r>
          </w:p>
        </w:tc>
      </w:tr>
    </w:tbl>
    <w:bookmarkEnd w:id="28"/>
    <w:bookmarkStart w:id="29" w:name="sources-and-conventions"/>
    <w:p>
      <w:pPr>
        <w:pStyle w:val="Heading2"/>
      </w:pPr>
      <w:r>
        <w:t xml:space="preserve">Sources and conventions</w:t>
      </w:r>
    </w:p>
    <w:p>
      <w:pPr>
        <w:numPr>
          <w:ilvl w:val="0"/>
          <w:numId w:val="1001"/>
        </w:numPr>
        <w:pStyle w:val="Compact"/>
      </w:pPr>
      <w:r>
        <w:rPr>
          <w:bCs/>
          <w:b/>
        </w:rPr>
        <w:t xml:space="preserve">Facts about TASCO, VETC and the market</w:t>
      </w:r>
      <w:r>
        <w:t xml:space="preserve"> </w:t>
      </w:r>
      <w:r>
        <w:t xml:space="preserve">come only from the client brief. Everything else is a labelled assumption.</w:t>
      </w:r>
    </w:p>
    <w:p>
      <w:pPr>
        <w:numPr>
          <w:ilvl w:val="0"/>
          <w:numId w:val="1001"/>
        </w:numPr>
        <w:pStyle w:val="Compact"/>
      </w:pPr>
      <w:r>
        <w:rPr>
          <w:bCs/>
          <w:b/>
        </w:rPr>
        <w:t xml:space="preserve">Facts about the solution</w:t>
      </w:r>
      <w:r>
        <w:t xml:space="preserve"> </w:t>
      </w:r>
      <w:r>
        <w:t xml:space="preserve">cite the codebase:</w:t>
      </w:r>
      <w:r>
        <w:t xml:space="preserve"> </w:t>
      </w:r>
      <w:r>
        <w:rPr>
          <w:rStyle w:val="VerbatimChar"/>
        </w:rPr>
        <w:t xml:space="preserve">config/rules/*.json</w:t>
      </w:r>
      <w:r>
        <w:t xml:space="preserve"> </w:t>
      </w:r>
      <w:r>
        <w:t xml:space="preserve">(business rules),</w:t>
      </w:r>
      <w:r>
        <w:t xml:space="preserve"> </w:t>
      </w:r>
      <w:r>
        <w:rPr>
          <w:rStyle w:val="VerbatimChar"/>
        </w:rPr>
        <w:t xml:space="preserve">config/security/rbac.json</w:t>
      </w:r>
      <w:r>
        <w:t xml:space="preserve">,</w:t>
      </w:r>
      <w:r>
        <w:t xml:space="preserve"> </w:t>
      </w:r>
      <w:r>
        <w:rPr>
          <w:rStyle w:val="VerbatimChar"/>
        </w:rPr>
        <w:t xml:space="preserve">src/domain</w:t>
      </w:r>
      <w:r>
        <w:t xml:space="preserve">,</w:t>
      </w:r>
      <w:r>
        <w:t xml:space="preserve"> </w:t>
      </w:r>
      <w:r>
        <w:rPr>
          <w:rStyle w:val="VerbatimChar"/>
        </w:rPr>
        <w:t xml:space="preserve">src/application</w:t>
      </w:r>
      <w:r>
        <w:t xml:space="preserve">,</w:t>
      </w:r>
      <w:r>
        <w:t xml:space="preserve"> </w:t>
      </w:r>
      <w:r>
        <w:rPr>
          <w:rStyle w:val="VerbatimChar"/>
        </w:rPr>
        <w:t xml:space="preserve">src/adapters/http/routes.js</w:t>
      </w:r>
      <w:r>
        <w:t xml:space="preserve"> </w:t>
      </w:r>
      <w:r>
        <w:t xml:space="preserve">(80 API routes, described in OpenAPI at</w:t>
      </w:r>
      <w:r>
        <w:t xml:space="preserve"> </w:t>
      </w:r>
      <w:r>
        <w:rPr>
          <w:rStyle w:val="VerbatimChar"/>
        </w:rPr>
        <w:t xml:space="preserve">/api/openapi.json</w:t>
      </w:r>
      <w:r>
        <w:t xml:space="preserve"> </w:t>
      </w:r>
      <w:r>
        <w:t xml:space="preserve">and</w:t>
      </w:r>
      <w:r>
        <w:t xml:space="preserve"> </w:t>
      </w:r>
      <w:r>
        <w:rPr>
          <w:rStyle w:val="VerbatimChar"/>
        </w:rPr>
        <w:t xml:space="preserve">docs/api/openapi.json</w:t>
      </w:r>
      <w:r>
        <w:t xml:space="preserve">) and</w:t>
      </w:r>
      <w:r>
        <w:t xml:space="preserve"> </w:t>
      </w:r>
      <w:r>
        <w:rPr>
          <w:rStyle w:val="VerbatimChar"/>
        </w:rPr>
        <w:t xml:space="preserve">src/bootstrap/seed.js</w:t>
      </w:r>
      <w:r>
        <w:t xml:space="preserve">.</w:t>
      </w:r>
    </w:p>
    <w:p>
      <w:pPr>
        <w:numPr>
          <w:ilvl w:val="0"/>
          <w:numId w:val="1001"/>
        </w:numPr>
        <w:pStyle w:val="Compact"/>
      </w:pPr>
      <w:r>
        <w:rPr>
          <w:bCs/>
          <w:b/>
        </w:rPr>
        <w:t xml:space="preserve">All financial figures are illustrative or indicative.</w:t>
      </w:r>
      <w:r>
        <w:t xml:space="preserve"> </w:t>
      </w:r>
      <w:r>
        <w:t xml:space="preserve">Unit costs come from</w:t>
      </w:r>
      <w:r>
        <w:t xml:space="preserve"> </w:t>
      </w:r>
      <w:r>
        <w:rPr>
          <w:rStyle w:val="VerbatimChar"/>
        </w:rPr>
        <w:t xml:space="preserve">config/rules/costs.json</w:t>
      </w:r>
      <w:r>
        <w:t xml:space="preserve"> </w:t>
      </w:r>
      <w:r>
        <w:t xml:space="preserve">and regulated premiums from</w:t>
      </w:r>
      <w:r>
        <w:t xml:space="preserve"> </w:t>
      </w:r>
      <w:r>
        <w:rPr>
          <w:rStyle w:val="VerbatimChar"/>
        </w:rPr>
        <w:t xml:space="preserve">config/rules/tariff.tnds_car.json</w:t>
      </w:r>
      <w:r>
        <w:t xml:space="preserve"> </w:t>
      </w:r>
      <w:r>
        <w:t xml:space="preserve">(Decree 67/2023/ND-CP, to be confirmed by TASCO underwriting); for example VND 480,700 incl. VAT for a car under 6 seats.</w:t>
      </w:r>
    </w:p>
    <w:p>
      <w:pPr>
        <w:numPr>
          <w:ilvl w:val="0"/>
          <w:numId w:val="1001"/>
        </w:numPr>
        <w:pStyle w:val="Compact"/>
      </w:pPr>
      <w:r>
        <w:rPr>
          <w:bCs/>
          <w:b/>
        </w:rPr>
        <w:t xml:space="preserve">Regulatory references</w:t>
      </w:r>
      <w:r>
        <w:t xml:space="preserve"> </w:t>
      </w:r>
      <w:r>
        <w:t xml:space="preserve">(Law on Insurance Business 08/2022/QH15, PDP Law 91/2025/QH15, Decree 13/2023/ND-CP, Decree 91/2020/ND-CP) are noted for</w:t>
      </w:r>
      <w:r>
        <w:t xml:space="preserve"> </w:t>
      </w:r>
      <w:r>
        <w:rPr>
          <w:bCs/>
          <w:b/>
        </w:rPr>
        <w:t xml:space="preserve">confirmation by TASCO legal</w:t>
      </w:r>
      <w:r>
        <w:t xml:space="preserve">. They are not legal advice.</w:t>
      </w:r>
    </w:p>
    <w:p>
      <w:pPr>
        <w:numPr>
          <w:ilvl w:val="0"/>
          <w:numId w:val="1001"/>
        </w:numPr>
        <w:pStyle w:val="Compact"/>
      </w:pPr>
      <w:r>
        <w:rPr>
          <w:bCs/>
          <w:b/>
        </w:rPr>
        <w:t xml:space="preserve">Dates</w:t>
      </w:r>
      <w:r>
        <w:t xml:space="preserve"> </w:t>
      </w:r>
      <w:r>
        <w:t xml:space="preserve">are written as DD Month YYYY in prose; ISO dates (YYYY-MM-DD) appear only in API examples and code.</w:t>
      </w:r>
    </w:p>
    <w:p>
      <w:pPr>
        <w:numPr>
          <w:ilvl w:val="0"/>
          <w:numId w:val="1001"/>
        </w:numPr>
        <w:pStyle w:val="Compact"/>
      </w:pPr>
      <w:r>
        <w:rPr>
          <w:bCs/>
          <w:b/>
        </w:rPr>
        <w:t xml:space="preserve">Vietnamese terms:</w:t>
      </w:r>
      <w:r>
        <w:t xml:space="preserve"> </w:t>
      </w:r>
      <w:r>
        <w:rPr>
          <w:iCs/>
          <w:i/>
        </w:rPr>
        <w:t xml:space="preserve">Bảo hiểm TNDS bắt buộc</w:t>
      </w:r>
      <w:r>
        <w:t xml:space="preserve"> </w:t>
      </w:r>
      <w:r>
        <w:t xml:space="preserve">(compulsory motor third-party liability),</w:t>
      </w:r>
      <w:r>
        <w:t xml:space="preserve"> </w:t>
      </w:r>
      <w:r>
        <w:rPr>
          <w:iCs/>
          <w:i/>
        </w:rPr>
        <w:t xml:space="preserve">đăng kiểm</w:t>
      </w:r>
      <w:r>
        <w:t xml:space="preserve"> </w:t>
      </w:r>
      <w:r>
        <w:t xml:space="preserve">(vehicle inspection),</w:t>
      </w:r>
      <w:r>
        <w:t xml:space="preserve"> </w:t>
      </w:r>
      <w:r>
        <w:rPr>
          <w:iCs/>
          <w:i/>
        </w:rPr>
        <w:t xml:space="preserve">bảo hiểm vật chất xe</w:t>
      </w:r>
      <w:r>
        <w:t xml:space="preserve"> </w:t>
      </w:r>
      <w:r>
        <w:t xml:space="preserve">(physical damage,</w:t>
      </w:r>
      <w:r>
        <w:t xml:space="preserve"> </w:t>
      </w:r>
      <w:r>
        <w:rPr>
          <w:rStyle w:val="VerbatimChar"/>
        </w:rPr>
        <w:t xml:space="preserve">MOTOR_PD</w:t>
      </w:r>
      <w:r>
        <w:t xml:space="preserve">),</w:t>
      </w:r>
      <w:r>
        <w:t xml:space="preserve"> </w:t>
      </w:r>
      <w:r>
        <w:rPr>
          <w:iCs/>
          <w:i/>
        </w:rPr>
        <w:t xml:space="preserve">tai nạn người ngồi trên xe</w:t>
      </w:r>
      <w:r>
        <w:t xml:space="preserve"> </w:t>
      </w:r>
      <w:r>
        <w:t xml:space="preserve">(passenger accident,</w:t>
      </w:r>
      <w:r>
        <w:t xml:space="preserve"> </w:t>
      </w:r>
      <w:r>
        <w:rPr>
          <w:rStyle w:val="VerbatimChar"/>
        </w:rPr>
        <w:t xml:space="preserve">PA_SEAT</w:t>
      </w:r>
      <w:r>
        <w:t xml:space="preserve">).</w:t>
      </w:r>
    </w:p>
    <w:bookmarkEnd w:id="29"/>
    <w:bookmarkStart w:id="32" w:name="related-documentation"/>
    <w:p>
      <w:pPr>
        <w:pStyle w:val="Heading2"/>
      </w:pPr>
      <w:r>
        <w:t xml:space="preserve">Related documentation</w:t>
      </w:r>
    </w:p>
    <w:p>
      <w:pPr>
        <w:pStyle w:val="FirstParagraph"/>
      </w:pPr>
      <w:r>
        <w:t xml:space="preserve">Architecture, delivery, operations, quality, UX and user manuals are maintained in sibling folders under</w:t>
      </w:r>
      <w:r>
        <w:t xml:space="preserve"> </w:t>
      </w:r>
      <w:r>
        <w:rPr>
          <w:rStyle w:val="VerbatimChar"/>
        </w:rPr>
        <w:t xml:space="preserve">docs/</w:t>
      </w:r>
      <w:r>
        <w:t xml:space="preserve">, each with its own index (</w:t>
      </w:r>
      <w:r>
        <w:rPr>
          <w:rStyle w:val="VerbatimChar"/>
        </w:rPr>
        <w:t xml:space="preserve">00-index.pdf</w:t>
      </w:r>
      <w:r>
        <w:t xml:space="preserve">), for example the</w:t>
      </w:r>
      <w:r>
        <w:t xml:space="preserve"> </w:t>
      </w:r>
      <w:hyperlink r:id="rId30">
        <w:r>
          <w:rPr>
            <w:rStyle w:val="Hyperlink"/>
          </w:rPr>
          <w:t xml:space="preserve">Solution Architecture</w:t>
        </w:r>
      </w:hyperlink>
      <w:r>
        <w:t xml:space="preserve"> </w:t>
      </w:r>
      <w:r>
        <w:t xml:space="preserve">(docs/architecture/solution-architecture.pdf) and the</w:t>
      </w:r>
      <w:r>
        <w:t xml:space="preserve"> </w:t>
      </w:r>
      <w:hyperlink r:id="rId31">
        <w:r>
          <w:rPr>
            <w:rStyle w:val="Hyperlink"/>
          </w:rPr>
          <w:t xml:space="preserve">Test Strategy</w:t>
        </w:r>
      </w:hyperlink>
      <w:r>
        <w:t xml:space="preserve"> </w:t>
      </w:r>
      <w:r>
        <w:t xml:space="preserve">(docs/quality/test-strategy.pdf). Test cases and the latest automated run are in the workbook docs/quality/TASCO-Test-Cases-and-Results.xlsx.</w:t>
      </w:r>
    </w:p>
    <w:bookmarkEnd w:id="32"/>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21A33"/>
      <w:sz w:val="22"/>
    </w:rPr>
  </w:style>
  <w:style w:styleId="BodyText" w:type="paragraph">
    <w:name w:val="Body Text"/>
    <w:basedOn w:val="Normal"/>
    <w:link w:val="BodyTextChar"/>
    <w:pPr>
      <w:spacing w:after="180" w:before="180"/>
    </w:pPr>
    <w:qFormat/>
    <w:rPr>
      <w:rFonts w:ascii="Calibri" w:cs="Calibri" w:eastAsia="Calibri" w:hAnsi="Calibri"/>
      <w:color w:val="121A33"/>
      <w:sz w:val="22"/>
    </w:rPr>
  </w:style>
  <w:style w:customStyle="1" w:styleId="FirstParagraph" w:type="paragraph">
    <w:name w:val="First Paragraph"/>
    <w:basedOn w:val="BodyText"/>
    <w:next w:val="BodyText"/>
    <w:qFormat/>
    <w:rPr>
      <w:rFonts w:ascii="Calibri" w:cs="Calibri" w:eastAsia="Calibri" w:hAnsi="Calibri"/>
      <w:color w:val="121A33"/>
      <w:sz w:val="22"/>
    </w:rPr>
  </w:style>
  <w:style w:customStyle="1" w:styleId="Compact" w:type="paragraph">
    <w:name w:val="Compact"/>
    <w:basedOn w:val="BodyText"/>
    <w:qFormat/>
    <w:pPr>
      <w:spacing w:after="36" w:before="36"/>
    </w:pPr>
    <w:rPr>
      <w:rFonts w:ascii="Calibri" w:cs="Calibri" w:eastAsia="Calibri" w:hAnsi="Calibri"/>
      <w:color w:val="121A33"/>
      <w:sz w:val="22"/>
    </w:rPr>
  </w:style>
  <w:style w:styleId="Title" w:type="paragraph">
    <w:name w:val="Title"/>
    <w:basedOn w:val="Normal"/>
    <w:next w:val="BodyText"/>
    <w:qFormat/>
    <w:pPr>
      <w:keepNext/>
      <w:keepLines/>
      <w:spacing w:after="240" w:before="480"/>
      <w:jc w:val="center"/>
    </w:pPr>
    <w:rPr>
      <w:rFonts w:ascii="Calibri" w:asciiTheme="majorHAnsi" w:cs="Calibri" w:cstheme="majorBidi" w:eastAsia="Calibri" w:eastAsiaTheme="majorEastAsia" w:hAnsi="Calibri" w:hAnsiTheme="majorHAnsi"/>
      <w:b/>
      <w:bCs/>
      <w:color w:val="213368"/>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121A33"/>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2A3A6E"/>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0" Type="http://schemas.openxmlformats.org/officeDocument/2006/relationships/hyperlink" Target="../architecture/solution-architecture.pdf" TargetMode="External"/><Relationship Id="rId31" Type="http://schemas.openxmlformats.org/officeDocument/2006/relationships/hyperlink" Target="../quality/test-strategy.pdf" TargetMode="External"/><Relationship Id="rId20" Type="http://schemas.openxmlformats.org/officeDocument/2006/relationships/hyperlink" Target="01-business-context-and-growth-strategy.pdf" TargetMode="External"/><Relationship Id="rId21" Type="http://schemas.openxmlformats.org/officeDocument/2006/relationships/hyperlink" Target="02-functional-requirements-specification.pdf" TargetMode="External"/><Relationship Id="rId22" Type="http://schemas.openxmlformats.org/officeDocument/2006/relationships/hyperlink" Target="03-non-functional-requirements.pdf" TargetMode="External"/><Relationship Id="rId23" Type="http://schemas.openxmlformats.org/officeDocument/2006/relationships/hyperlink" Target="04-user-stories-and-acceptance-criteria.pdf" TargetMode="External"/><Relationship Id="rId24" Type="http://schemas.openxmlformats.org/officeDocument/2006/relationships/hyperlink" Target="05-requirements-traceability-matrix.pdf" TargetMode="External"/><Relationship Id="rId25" Type="http://schemas.openxmlformats.org/officeDocument/2006/relationships/hyperlink" Target="06-personas-and-journey-maps.pdf" TargetMode="External"/><Relationship Id="rId26" Type="http://schemas.openxmlformats.org/officeDocument/2006/relationships/hyperlink" Target="07-commercials-and-engagement-model.pdf"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architecture/solution-architecture.pdf" TargetMode="External"/><Relationship Id="rId31" Type="http://schemas.openxmlformats.org/officeDocument/2006/relationships/hyperlink" Target="../quality/test-strategy.pdf" TargetMode="External"/><Relationship Id="rId20" Type="http://schemas.openxmlformats.org/officeDocument/2006/relationships/hyperlink" Target="01-business-context-and-growth-strategy.pdf" TargetMode="External"/><Relationship Id="rId21" Type="http://schemas.openxmlformats.org/officeDocument/2006/relationships/hyperlink" Target="02-functional-requirements-specification.pdf" TargetMode="External"/><Relationship Id="rId22" Type="http://schemas.openxmlformats.org/officeDocument/2006/relationships/hyperlink" Target="03-non-functional-requirements.pdf" TargetMode="External"/><Relationship Id="rId23" Type="http://schemas.openxmlformats.org/officeDocument/2006/relationships/hyperlink" Target="04-user-stories-and-acceptance-criteria.pdf" TargetMode="External"/><Relationship Id="rId24" Type="http://schemas.openxmlformats.org/officeDocument/2006/relationships/hyperlink" Target="05-requirements-traceability-matrix.pdf" TargetMode="External"/><Relationship Id="rId25" Type="http://schemas.openxmlformats.org/officeDocument/2006/relationships/hyperlink" Target="06-personas-and-journey-maps.pdf" TargetMode="External"/><Relationship Id="rId26" Type="http://schemas.openxmlformats.org/officeDocument/2006/relationships/hyperlink" Target="07-commercials-and-engagement-mode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and Product Documentation</dc:title>
  <dc:creator>iorta TechNXT</dc:creator>
  <cp:keywords/>
  <dcterms:created xsi:type="dcterms:W3CDTF">2026-10-07T22:36:02Z</dcterms:created>
  <dcterms:modified xsi:type="dcterms:W3CDTF">2026-10-07T22:36:02Z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Business &amp; Product</vt:lpwstr>
  </property>
</Properties>
</file>