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Non-Functional Requirements (NFR)</w:t>
      </w:r>
    </w:p>
    <w:p>
      <w:pPr>
        <w:pStyle w:val="Subtitle"/>
      </w:pPr>
      <w:r>
        <w:t xml:space="preserve">TASCO Insurance × VETC Growth Platform — Business &amp; Product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Non-Functional Requirements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Solution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TASCO Insurance × VETC Motor Insurance Growth Platform</w:t>
      </w:r>
      <w:r>
        <w:t xml:space="preserve"> </w:t>
      </w:r>
      <w:r>
        <w:t xml:space="preserve">· prepared by iorta TechNXT</w:t>
      </w:r>
    </w:p>
    <w:bookmarkStart w:id="21" w:name="Xda547aec3cdfabb4ff6d2cdbda7698df72c2eea"/>
    <w:p>
      <w:pPr>
        <w:pStyle w:val="Heading2"/>
      </w:pPr>
      <w:r>
        <w:t xml:space="preserve">0. Conventions</w:t>
      </w:r>
    </w:p>
    <w:p>
      <w:pPr>
        <w:numPr>
          <w:ilvl w:val="0"/>
          <w:numId w:val="1001"/>
        </w:numPr>
        <w:pStyle w:val="Compact"/>
      </w:pPr>
      <w:r>
        <w:t xml:space="preserve">IDs are</w:t>
      </w:r>
      <w:r>
        <w:t xml:space="preserve"> </w:t>
      </w:r>
      <w:r>
        <w:rPr>
          <w:rStyle w:val="VerbatimChar"/>
        </w:rPr>
        <w:t xml:space="preserve">NFR-nnn</w:t>
      </w:r>
      <w:r>
        <w:t xml:space="preserve">. Each NFR has a</w:t>
      </w:r>
      <w:r>
        <w:t xml:space="preserve"> </w:t>
      </w:r>
      <w:r>
        <w:rPr>
          <w:bCs/>
          <w:b/>
        </w:rPr>
        <w:t xml:space="preserve">measurable target</w:t>
      </w:r>
      <w:r>
        <w:t xml:space="preserve">, a</w:t>
      </w:r>
      <w:r>
        <w:t xml:space="preserve"> </w:t>
      </w:r>
      <w:r>
        <w:rPr>
          <w:bCs/>
          <w:b/>
        </w:rPr>
        <w:t xml:space="preserve">verification method</w:t>
      </w:r>
      <w:r>
        <w:t xml:space="preserve"> </w:t>
      </w:r>
      <w:r>
        <w:t xml:space="preserve">and its</w:t>
      </w:r>
      <w:r>
        <w:t xml:space="preserve"> </w:t>
      </w:r>
      <w:r>
        <w:rPr>
          <w:bCs/>
          <w:b/>
        </w:rPr>
        <w:t xml:space="preserve">current support in the codebase</w:t>
      </w:r>
      <w:r>
        <w:t xml:space="preserve"> </w:t>
      </w:r>
      <w:r>
        <w:t xml:space="preserve">as of 07 October 2026 (</w:t>
      </w:r>
      <w:r>
        <w:rPr>
          <w:iCs/>
          <w:i/>
        </w:rPr>
        <w:t xml:space="preserve">Built</w:t>
      </w:r>
      <w:r>
        <w:t xml:space="preserve">,</w:t>
      </w:r>
      <w:r>
        <w:t xml:space="preserve"> </w:t>
      </w:r>
      <w:r>
        <w:rPr>
          <w:iCs/>
          <w:i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Planned</w:t>
      </w:r>
      <w:r>
        <w:t xml:space="preserve">). References such as "doc 05" point to the companion documents listed in the Business and Product Documentation index (00-index.pdf).</w:t>
      </w:r>
    </w:p>
    <w:p>
      <w:pPr>
        <w:numPr>
          <w:ilvl w:val="0"/>
          <w:numId w:val="1001"/>
        </w:numPr>
        <w:pStyle w:val="Compact"/>
      </w:pPr>
      <w:r>
        <w:t xml:space="preserve">Targets are</w:t>
      </w:r>
      <w:r>
        <w:t xml:space="preserve"> </w:t>
      </w:r>
      <w:r>
        <w:rPr>
          <w:bCs/>
          <w:b/>
        </w:rPr>
        <w:t xml:space="preserve">proposed</w:t>
      </w:r>
      <w:r>
        <w:t xml:space="preserve">. They must be agreed with TASCO and VETC IT in Phase 0 and baselined in a full-scale performance test. The current load smoke test (</w:t>
      </w:r>
      <w:r>
        <w:rPr>
          <w:rStyle w:val="VerbatimChar"/>
        </w:rPr>
        <w:t xml:space="preserve">test/perf/load.js</w:t>
      </w:r>
      <w:r>
        <w:t xml:space="preserve">, one process, 25 concurrent clients) achieves about 337 requests/s with p95 ≈ 103 ms and 0% errors.</w:t>
      </w:r>
    </w:p>
    <w:p>
      <w:pPr>
        <w:numPr>
          <w:ilvl w:val="0"/>
          <w:numId w:val="1001"/>
        </w:numPr>
        <w:pStyle w:val="Compact"/>
      </w:pPr>
      <w:r>
        <w:t xml:space="preserve">Current quality baseline: 238 automated tests (235 pass, 0 fail, 3 manual/roadmap scenarios), coverage 99.5% lines, 91.6% branches and 97.2% functions, ESLint 0 errors.</w:t>
      </w:r>
    </w:p>
    <w:p>
      <w:pPr>
        <w:numPr>
          <w:ilvl w:val="0"/>
          <w:numId w:val="1001"/>
        </w:numPr>
        <w:pStyle w:val="Compact"/>
      </w:pPr>
      <w:r>
        <w:t xml:space="preserve">Sizing reference:</w:t>
      </w:r>
      <w:r>
        <w:t xml:space="preserve"> </w:t>
      </w:r>
      <w:r>
        <w:rPr>
          <w:bCs/>
          <w:b/>
        </w:rPr>
        <w:t xml:space="preserve">6,000,000 vehicles</w:t>
      </w:r>
      <w:r>
        <w:t xml:space="preserve"> </w:t>
      </w:r>
      <w:r>
        <w:t xml:space="preserve">(VETC car base, from the brief). Workload assumptions are labelled</w:t>
      </w:r>
      <w:r>
        <w:t xml:space="preserve"> </w:t>
      </w:r>
      <w:r>
        <w:rPr>
          <w:rStyle w:val="VerbatimChar"/>
        </w:rPr>
        <w:t xml:space="preserve">[W-n]</w:t>
      </w:r>
      <w:r>
        <w:t xml:space="preserve">.</w:t>
      </w:r>
    </w:p>
    <w:bookmarkStart w:id="20" w:name="Xfe185abd9e812b3efb215882e382413b1d5a39c"/>
    <w:p>
      <w:pPr>
        <w:pStyle w:val="Heading3"/>
      </w:pPr>
      <w:r>
        <w:t xml:space="preserve">0.1 Workload model (assumptions)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Assumption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Golden profiles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 M (12 M source records at about 2 per vehicle)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Leads re-scored nightly (full) / on events (partial)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 M per night / ≤ 50k per hour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Touchpoints due per day at peak (month-end and Tết)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300k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Concurrent staff 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300 (telesales 200, other 100)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app sessions at peak (push campaign)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2,000 requests/s for 15 minutes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Concurrent bot calls (vendor side)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200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API peak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50 requests/s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ca3bfeb4d4737346d8de966206dabc436d0c4b5"/>
    <w:p>
      <w:pPr>
        <w:pStyle w:val="Heading2"/>
      </w:pPr>
      <w:r>
        <w:t xml:space="preserve">1. Performance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API latency, read endpoints (leads list, customer 360, home, certificate verify)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p95 ≤ 300 ms, p99 ≤ 800 ms at W-4 / W-5 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test/perf/load.js</w:t>
            </w:r>
            <w:r>
              <w:rPr>
                <w:sz w:val="17"/>
              </w:rPr>
              <w:t xml:space="preserve">; histogram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http_request_duration_seconds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(metrics and load smoke test built; full-scale test planned)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API latency, quote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p95 ≤ 500 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test/perf/load.js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(includes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/api/quotes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(smoke level only)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Purchase (pay + issue) end-to-end excluding upstream latency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p95 ≤ 1.5 s; upstream timeouts 5 s with 2 retries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Load test; circuit-breaker config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src/shared/resilience.js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defaults: timeout 5,000 ms, retries 2)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Bot dialogue turn processing (excluding ASR and TTS)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p95 ≤ 150 ms per turn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Unit benchmark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voicebot.js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Ingestion throughput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≥ 2,000 records/s per worker; 12 M records rebuilt in ≤ 4 h with 4 workers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Batch benchmark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(incremental, chunked rebuild of 500 plates)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Lead 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Full 6 M recompute in ≤ 3 h nightly; event-driven partial recompute visible within ≤ 60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Job timings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job_runs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(paged by 1,000; parallel workers planned)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Journey run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300k due touchpoints executed within the 08:00–20:00 contact window in ≤ 2 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journeys.run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audit summary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 (sharding)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 change propagation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Active rules converge on all replicas in ≤ 15 s after approval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rulesService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cache TTL 15 s plus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rules.activated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</w:tbl>
    <w:bookmarkEnd w:id="22"/>
    <w:bookmarkStart w:id="23" w:name="Xc61d7c55cdea4613f4c8a37aee4a771cf8112e9"/>
    <w:p>
      <w:pPr>
        <w:pStyle w:val="Heading2"/>
      </w:pPr>
      <w:r>
        <w:t xml:space="preserve">2. Scalability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Horizontal scaling of the API tier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Stateless replicas behind a load balancer; HPA scales 3 → 20 pods at 65% CPU (</w:t>
            </w:r>
            <w:r>
              <w:rPr>
                <w:rStyle w:val="VerbatimChar"/>
                <w:sz w:val="17"/>
              </w:rPr>
              <w:t xml:space="preserve">deploy/k8s/40-hpa-pdb.yaml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K8s HPA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(stateless; shared logout-revocation and rate-limit store planned, E-15)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volume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6 M profiles, 12 M source records, 50 M messages per year, without query-plan regressions (all filters use indexed columns)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test/pg/postgres.test.js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(parameterised filters);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EXPLAIN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review in the performance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(filters restricted to declared indexed columns: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query.js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Background work scales 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Outbox relay safe to run on N replicas (</w:t>
            </w:r>
            <w:r>
              <w:rPr>
                <w:rStyle w:val="VerbatimChar"/>
                <w:sz w:val="17"/>
              </w:rPr>
              <w:t xml:space="preserve">SKIP LOCKED</w:t>
            </w:r>
            <w:r>
              <w:rPr>
                <w:sz w:val="17"/>
              </w:rPr>
              <w:t xml:space="preserve">), at-least-once delivery, idempotent handlers, maximum 5 attempts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test/pg/postgres.test.js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(exclusive claims),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test/unit/stores.test.js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outboxEventBus.js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Event streaming readiness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The outbox can forward to Kafka or Pub/Sub without changing publishers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Design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</w:tbl>
    <w:bookmarkEnd w:id="23"/>
    <w:bookmarkStart w:id="24" w:name="X52140ebd62dc6c0a473d8c7a39a5081d30832ac"/>
    <w:p>
      <w:pPr>
        <w:pStyle w:val="Heading2"/>
      </w:pPr>
      <w:r>
        <w:t xml:space="preserve">3. Availability and resilience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 (SLO)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Customer-facing purchase path (</w:t>
            </w:r>
            <w:r>
              <w:rPr>
                <w:rStyle w:val="VerbatimChar"/>
                <w:sz w:val="17"/>
              </w:rPr>
              <w:t xml:space="preserve">/api/customer/*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/api/partner/v1/*</w:t>
            </w:r>
            <w:r>
              <w:rPr>
                <w:sz w:val="17"/>
              </w:rPr>
              <w:t xml:space="preserve">, certificate verify)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99.9%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monthly (≤ 43.8 min downtime)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Uptime probe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/health/ready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synthetic purchase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Staff console and APIs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99.5%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monthly, business hours 07:00–21:00 ICT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Uptime probe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Graceful degradation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Failure of one integration (wallet, core, ZNS, SMS, push, voice) affects only that feature. Circuit opens after 5 failures and half-opens after 30 s.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Chaos test;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/api/ops/status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circuit state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 double charge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 duplicate debits under retries or concurrent taps (idempotency key on order and wallet; atomic quote claim)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test/integration/sales.test.js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test/security/security.test.js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Compensation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100% of issuance failures after payment refunded (issued lines cancelled) or flagged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compensation_failed</w:t>
            </w:r>
            <w:r>
              <w:rPr>
                <w:sz w:val="17"/>
              </w:rPr>
              <w:t xml:space="preserve">; reconciliation finds 0 unexplained mismatches daily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Reconciliation job report;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test/integration/sales.test.js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</w:tbl>
    <w:bookmarkEnd w:id="24"/>
    <w:bookmarkStart w:id="25" w:name="Xcccd0f639f6f2f382396e2dbb387a0cac6008bd"/>
    <w:p>
      <w:pPr>
        <w:pStyle w:val="Heading2"/>
      </w:pPr>
      <w:r>
        <w:t xml:space="preserve">4. Security (OWASP ASVS 4.0 Level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ASVS L2 compliance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across V1–V14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 open High or Critical findings at go-live; annual third-party penetration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  <w:r>
              <w:rPr>
                <w:sz w:val="17"/>
              </w:rPr>
              <w:t xml:space="preserve">; CI SAST (CodeQL), DAST baseline (OWASP ZAP), image scan (Trivy); external pentest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(external pentest pending)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Authentication (ASVS V2)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Passwords 12–128 characters, hashed with scrypt; lockout after 5 failures (password or code) for 15 minutes; TOTP MFA mandatory for privileged roles, self-enrolled, codes not reusable; login rate limit 10/min per IP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test/integration/governance.test.js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Session management (ASVS V3)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Access token TTL ≤ 30 min; logout revocation effective across all replicas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(password, role, status and region changes revoke tokens on all replicas; logout revocation per replica, E-15)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Access control (ASVS V4)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Deny by default; RBAC + ABAC on every route; partner scope = own quotes and policies; customer scope = own vehicle; 0 IDOR findings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(partner key scopes enforced; malformed path parameters return 400)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Input validation (ASVS V5)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Allow-list schemas on every body and query (types, lengths, enums, patterns); body ≤ 1 MB; parameterised SQL only; only declared columns filterable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(injection and hostile inputs)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validation.js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routes.js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schemas,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query.js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Cryptography (ASVS V6)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PII encrypted at rest with AES-256-GCM, with key rotation via key IDs (</w:t>
            </w:r>
            <w:r>
              <w:rPr>
                <w:rStyle w:val="VerbatimChar"/>
                <w:sz w:val="17"/>
              </w:rPr>
              <w:t xml:space="preserve">DATA_KEYS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DATA_KEY_ACTIVE</w:t>
            </w:r>
            <w:r>
              <w:rPr>
                <w:sz w:val="17"/>
              </w:rPr>
              <w:t xml:space="preserve">); HMAC blind index for phone search; API keys stored as SHA-256; TLS 1.2+ in transit; HSTS in 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Config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HTTP security (ASVS V14)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Strict CSP (</w:t>
            </w:r>
            <w:r>
              <w:rPr>
                <w:rStyle w:val="VerbatimChar"/>
                <w:sz w:val="17"/>
              </w:rPr>
              <w:t xml:space="preserve">default-src 'self'</w:t>
            </w:r>
            <w:r>
              <w:rPr>
                <w:sz w:val="17"/>
              </w:rPr>
              <w:t xml:space="preserve">, no inline script),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X-Frame-Options: DENY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nosniff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Referrer-Policy: no-referrer</w:t>
            </w:r>
            <w:r>
              <w:rPr>
                <w:sz w:val="17"/>
              </w:rPr>
              <w:t xml:space="preserve">, CORS allow-list, global rate limit 300 req/min; client IP from the right-most trusted proxy hop (</w:t>
            </w:r>
            <w:r>
              <w:rPr>
                <w:rStyle w:val="VerbatimChar"/>
                <w:sz w:val="17"/>
              </w:rPr>
              <w:t xml:space="preserve">TRUST_PROXY_HOPS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test/security/security.test.js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security.js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Secrets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 secrets in code;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*_FILE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convention for K8s, Docker or Vault secrets; production refuses to boot with missing secrets,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DATABASE_URL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with demo mode on; optional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METRICS_TOKEN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protects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/metrics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test/unit/platform.test.js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config.js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Dependency hygiene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npm audit --omit=dev --audit-level=high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 in CI; minimal runtime dependencies (currently 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CI (</w:t>
            </w:r>
            <w:r>
              <w:rPr>
                <w:rStyle w:val="VerbatimChar"/>
                <w:sz w:val="17"/>
              </w:rPr>
              <w:t xml:space="preserve">.github/workflows/ci.yml</w:t>
            </w:r>
            <w:r>
              <w:rPr>
                <w:sz w:val="17"/>
              </w:rPr>
              <w:t xml:space="preserve">: npm audit, dependency review, secret scan, SBOM)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Voice-channel fraud resistance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The bot never requests an OTP, card or payment; plate verified before any personal data is disclosed; plate and phone masked in summaries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Script review;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voicebot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unit tests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</w:tbl>
    <w:bookmarkEnd w:id="25"/>
    <w:bookmarkStart w:id="26" w:name="X7dcf0f38908bb5c3c14a834a9e39018cccebb11"/>
    <w:p>
      <w:pPr>
        <w:pStyle w:val="Heading2"/>
      </w:pPr>
      <w:r>
        <w:t xml:space="preserve">5. Privacy and data protection</w:t>
      </w:r>
    </w:p>
    <w:p>
      <w:pPr>
        <w:pStyle w:val="BlockText"/>
      </w:pPr>
      <w:r>
        <w:rPr>
          <w:bCs/>
          <w:b/>
        </w:rPr>
        <w:t xml:space="preserve">Legal basis to confirm with TASCO legal:</w:t>
      </w:r>
      <w:r>
        <w:t xml:space="preserve"> </w:t>
      </w:r>
      <w:r>
        <w:t xml:space="preserve">the Personal Data Protection Law</w:t>
      </w:r>
      <w:r>
        <w:t xml:space="preserve"> </w:t>
      </w:r>
      <w:r>
        <w:rPr>
          <w:bCs/>
          <w:b/>
        </w:rPr>
        <w:t xml:space="preserve">91/2025/QH15</w:t>
      </w:r>
      <w:r>
        <w:t xml:space="preserve"> </w:t>
      </w:r>
      <w:r>
        <w:t xml:space="preserve">(effective 2026),</w:t>
      </w:r>
      <w:r>
        <w:t xml:space="preserve"> </w:t>
      </w:r>
      <w:r>
        <w:rPr>
          <w:bCs/>
          <w:b/>
        </w:rPr>
        <w:t xml:space="preserve">Decree 13/2023/ND-CP</w:t>
      </w:r>
      <w:r>
        <w:t xml:space="preserve"> </w:t>
      </w:r>
      <w:r>
        <w:t xml:space="preserve">on personal data protection,</w:t>
      </w:r>
      <w:r>
        <w:t xml:space="preserve"> </w:t>
      </w:r>
      <w:r>
        <w:rPr>
          <w:bCs/>
          <w:b/>
        </w:rPr>
        <w:t xml:space="preserve">Decree 91/2020/ND-CP</w:t>
      </w:r>
      <w:r>
        <w:t xml:space="preserve"> </w:t>
      </w:r>
      <w:r>
        <w:t xml:space="preserve">on spam messages and calls, the Law on Insurance Business</w:t>
      </w:r>
      <w:r>
        <w:t xml:space="preserve"> </w:t>
      </w:r>
      <w:r>
        <w:rPr>
          <w:bCs/>
          <w:b/>
        </w:rPr>
        <w:t xml:space="preserve">08/2022/QH15</w:t>
      </w:r>
      <w:r>
        <w:t xml:space="preserve">, and any data-localisation obligations under the Cybersecurity Law and its implementing decree. The controls below are conservative engineering defaults,</w:t>
      </w:r>
      <w:r>
        <w:t xml:space="preserve"> </w:t>
      </w:r>
      <w:r>
        <w:rPr>
          <w:bCs/>
          <w:b/>
        </w:rPr>
        <w:t xml:space="preserve">not legal advice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Consent by purpose and 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Marketing and call consent stored per profile; enforced before every marketing message and call; changes audited and honoured within ≤ 1 minute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Integration tests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canContact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NFR-029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Data-subject rights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Access (self-service download and staff export) and erasure by anonymisation, completed within ≤ 72 h of a verified request. Legal-retention exceptions documented.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test/integration/governance.test.js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test/functional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(US-060, US-061)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(72-hour handling is an operational process)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residency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Personal data of Vietnamese data subjects stored and processed in a hosting location approved by TASCO legal (a Vietnam region if required). A cross-border transfer impact assessment is filed if any processor is offshore (for example a voice-AI vendor).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Architecture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 (confirm with TASCO legal)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minimisation and masking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Staff without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profile:read_pii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never see full name or phone; handoffs carry masked phone; the public certificate check shows a masked plate and no PII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Security tests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Processing records and DPIA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 Data Protection Impact Assessment and processing register maintained for each purpose (renewal, conquest, bot calls, partner sharing)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Compliance sign-off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Synthetic data outside 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Non-production environments use synthetic data only (</w:t>
            </w:r>
            <w:r>
              <w:rPr>
                <w:rStyle w:val="VerbatimChar"/>
                <w:sz w:val="17"/>
              </w:rPr>
              <w:t xml:space="preserve">syntheticVetcSource.js</w:t>
            </w:r>
            <w:r>
              <w:rPr>
                <w:sz w:val="17"/>
              </w:rPr>
              <w:t xml:space="preserve">) or irreversibly masked extracts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Environment audit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(synthetic generator)</w:t>
            </w:r>
          </w:p>
        </w:tc>
      </w:tr>
    </w:tbl>
    <w:bookmarkEnd w:id="26"/>
    <w:bookmarkStart w:id="27" w:name="X3aa2e58a3e4a21eaf348393f58c9077cfe25120"/>
    <w:p>
      <w:pPr>
        <w:pStyle w:val="Heading2"/>
      </w:pPr>
      <w:r>
        <w:t xml:space="preserve">6. Accessibility and usability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Accessibility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WCAG 2.2 Level AA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staff console and customer app: contrast ≥ 4.5:1, full keyboard operation, visible focus, target size ≥ 24×24 px, labelled form fields,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prefers-reduced-motion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respected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axe-core automated scan (0 serious) plus manual screen-reader check (TalkBack and VoiceOver)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(UI built; formal audit planned)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 task efficiency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Renew from a reminder in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≤ 3 taps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 opening the link; renewal completed in ≤ 60 s median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Usability test (n ≥ 8 per segment); adoption target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insightsService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Staff task efficiency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Agent sees the next lead and talking points in ≤ 2 clicks from home; handoff first contact within 2 business hours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Usability test; handoff timestamps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Explainability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Every score, NBA and benefit shown to staff carries a human-readable reason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UI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(API: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reasons[]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nextBestAction.reason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benefits[].why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Help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Contextual help drawer on every console screen, in Vietnamese and English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UI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(help drawer built in English; Vietnamese help text planned)</w:t>
            </w:r>
          </w:p>
        </w:tc>
      </w:tr>
    </w:tbl>
    <w:bookmarkEnd w:id="27"/>
    <w:bookmarkStart w:id="28" w:name="Xad561ab793b672454aff7d7f960a20344df2a6f"/>
    <w:p>
      <w:pPr>
        <w:pStyle w:val="Heading2"/>
      </w:pPr>
      <w:r>
        <w:t xml:space="preserve">7. Localisation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NFR-039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Bilingual UI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Vietnamese (default for customers) and English, switchable at runtime. 100% of UI strings externalised.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Pseudo-localisation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(runtime toggle,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public/js/shared/i18n.js</w:t>
            </w:r>
            <w:r>
              <w:rPr>
                <w:sz w:val="17"/>
              </w:rPr>
              <w:t xml:space="preserve">); pseudo-localisation test 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Vietnamese conventions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Dates dd/mm/yyyy; currency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vi-VN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formatting (for example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480.700 đ</w:t>
            </w:r>
            <w:r>
              <w:rPr>
                <w:sz w:val="17"/>
              </w:rPr>
              <w:t xml:space="preserve">); full diacritics; accent-insensitive search and matching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Unit tests (</w:t>
            </w:r>
            <w:r>
              <w:rPr>
                <w:rStyle w:val="VerbatimChar"/>
                <w:sz w:val="17"/>
              </w:rPr>
              <w:t xml:space="preserve">viDate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stripDiacritics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(backend)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Customer copy in Vietnamese reviewed by TASCO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100% of templates and bot lines approved through maker-checker before activation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Rules audit trail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(workflow)</w:t>
            </w:r>
          </w:p>
        </w:tc>
      </w:tr>
    </w:tbl>
    <w:bookmarkEnd w:id="28"/>
    <w:bookmarkStart w:id="29" w:name="X489bd6300c58cdb44da7621da211e7d82329979"/>
    <w:p>
      <w:pPr>
        <w:pStyle w:val="Heading2"/>
      </w:pPr>
      <w:r>
        <w:t xml:space="preserve">8. Maintainability and quality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Automated test coverage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Lines ≥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80%</w:t>
            </w:r>
            <w:r>
              <w:rPr>
                <w:sz w:val="17"/>
              </w:rPr>
              <w:t xml:space="preserve">, functions ≥ 80%, branches ≥ 70% (excluding CLI, server bootstrap and the PG adapter, which has its own suite)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npm run test:coverage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(thresholds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package.json</w:t>
            </w:r>
            <w:r>
              <w:rPr>
                <w:sz w:val="17"/>
              </w:rPr>
              <w:t xml:space="preserve">, gated in CI)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(99.5% lines, 91.6% branches, 97.2% functions)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Static analysis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ESLint 9 with 0 errors on every commit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npm run lint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CI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eslint.config.js</w:t>
            </w:r>
            <w:r>
              <w:rPr>
                <w:sz w:val="17"/>
              </w:rPr>
              <w:t xml:space="preserve">; 0 errors)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Hexagonal: pure domain (</w:t>
            </w:r>
            <w:r>
              <w:rPr>
                <w:rStyle w:val="VerbatimChar"/>
                <w:sz w:val="17"/>
              </w:rPr>
              <w:t xml:space="preserve">src/domain</w:t>
            </w:r>
            <w:r>
              <w:rPr>
                <w:sz w:val="17"/>
              </w:rPr>
              <w:t xml:space="preserve">), application services, adapters behind ports; no business thresholds in domain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Code review; dependency rule check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(remaining literals listed in E-05)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API-first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100% of routes described in OpenAPI 3, generated from the route table (</w:t>
            </w:r>
            <w:r>
              <w:rPr>
                <w:rStyle w:val="VerbatimChar"/>
                <w:sz w:val="17"/>
              </w:rPr>
              <w:t xml:space="preserve">npm run job openapi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CI diff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docs/api/openapi.json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Schema governance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DB migrations match the collection registry; applied migrations are never edited; migrations take an advisory lock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test/unit/platform.test.js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(schema drift guard),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test/pg/postgres.test.js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(registry, DDL generator, migrations 001 and 002)</w:t>
            </w:r>
          </w:p>
        </w:tc>
      </w:tr>
    </w:tbl>
    <w:bookmarkEnd w:id="29"/>
    <w:bookmarkStart w:id="30" w:name="X3abb75fff505287e6455deb2df36244d90e3220"/>
    <w:p>
      <w:pPr>
        <w:pStyle w:val="Heading2"/>
      </w:pPr>
      <w:r>
        <w:t xml:space="preserve">9. Observability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Metrics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Prometheus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/metrics</w:t>
            </w:r>
            <w:r>
              <w:rPr>
                <w:sz w:val="17"/>
              </w:rPr>
              <w:t xml:space="preserve">: request rate, errors and duration by route;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quotes_total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orders_completed_total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messages_total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voice_calls_total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integration_calls_total</w:t>
            </w:r>
            <w:r>
              <w:rPr>
                <w:sz w:val="17"/>
              </w:rPr>
              <w:t xml:space="preserve">, short-circuits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Dashboard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Structured JSON logs with request ID (</w:t>
            </w:r>
            <w:r>
              <w:rPr>
                <w:rStyle w:val="VerbatimChar"/>
                <w:sz w:val="17"/>
              </w:rPr>
              <w:t xml:space="preserve">X-Request-Id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propagated); no PII in logs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Log review; security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NFR-049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Alerting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Alerts on SLO burn rate, circuit open &gt; 5 min, outbox backlog &gt; 10k or age &gt; 10 min, failed jobs, audit-chain verification failure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Alert runbook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Business observability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Growth, economics, adoption and governance dashboards refreshed ≤ 5 min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FR-100 – FR-102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(on demand)</w:t>
            </w:r>
          </w:p>
        </w:tc>
      </w:tr>
    </w:tbl>
    <w:bookmarkEnd w:id="30"/>
    <w:bookmarkStart w:id="31" w:name="Xabd7016546caf3ba4425a601e63272dc315393f"/>
    <w:p>
      <w:pPr>
        <w:pStyle w:val="Heading2"/>
      </w:pPr>
      <w:r>
        <w:t xml:space="preserve">10. Disaster recovery and backup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Recovery point objective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RPO ≤ 5 minutes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(PostgreSQL PITR with continuous WAL archiving)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Quarterly restore drill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 (infrastructure)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Recovery time objective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RTO ≤ 1 hour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purchase path; ≤ 4 hours for the full platform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Annual DR exercise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Backups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Daily full backups kept 35 days and monthly backups kept 13 months, encrypted, in a separate account or region approved under NFR-030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Backup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 integrity after restore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 hash chain verifies (</w:t>
            </w:r>
            <w:r>
              <w:rPr>
                <w:rStyle w:val="VerbatimChar"/>
                <w:sz w:val="17"/>
              </w:rPr>
              <w:t xml:space="preserve">GET /api/audit/verify</w:t>
            </w:r>
            <w:r>
              <w:rPr>
                <w:sz w:val="17"/>
              </w:rPr>
              <w:t xml:space="preserve">) after every restore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 runbook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(verify)</w:t>
            </w:r>
          </w:p>
        </w:tc>
      </w:tr>
    </w:tbl>
    <w:bookmarkEnd w:id="31"/>
    <w:bookmarkStart w:id="32" w:name="X3d123f44329cf3c08c213e0c9e48f6cbe385f9b"/>
    <w:p>
      <w:pPr>
        <w:pStyle w:val="Heading2"/>
      </w:pPr>
      <w:r>
        <w:t xml:space="preserve">11. Portability and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Runtime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Node.js ≥ 22.12 LTS, PostgreSQL 15+; an in-memory store for demo and tests with identical behaviour (never in production)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CI (</w:t>
            </w:r>
            <w:r>
              <w:rPr>
                <w:rStyle w:val="VerbatimChar"/>
                <w:sz w:val="17"/>
              </w:rPr>
              <w:t xml:space="preserve">test/pg/postgres.test.js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against PostgreSQL)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Packaging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OCI container image (non-root, read-only filesystem, health probes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/health/live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/health/ready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Image scan in CI (Trivy)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</w:t>
            </w:r>
            <w:r>
              <w:rPr>
                <w:rStyle w:val="VerbatimChar"/>
                <w:sz w:val="17"/>
              </w:rPr>
              <w:t xml:space="preserve">Dockerfile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runs as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user, uid 1000; Kubernetes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runAsUser: 1000</w:t>
            </w:r>
            <w:r>
              <w:rPr>
                <w:sz w:val="17"/>
              </w:rPr>
              <w:t xml:space="preserve">, read-only root filesystem)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Targets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Deployable to Kubernetes (Helm or Kustomize; CronJobs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journeys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recompute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reconcile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retention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relay</w:t>
            </w:r>
            <w:r>
              <w:rPr>
                <w:sz w:val="17"/>
              </w:rPr>
              <w:t xml:space="preserve">) and to Railway or a similar PaaS for demo and UAT. Cloud-agnostic, with no proprietary managed services required.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Deployment rehearsal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(Kustomize manifests and CronJobs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deploy/k8s</w:t>
            </w:r>
            <w:r>
              <w:rPr>
                <w:sz w:val="17"/>
              </w:rPr>
              <w:t xml:space="preserve">; Railway UAT live with PostgreSQL)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Configuration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12-factor: all settings from the environment; secrets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*_FILE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Config review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</w:tbl>
    <w:bookmarkEnd w:id="32"/>
    <w:bookmarkStart w:id="33" w:name="X022ec44514b449a74b844a093001cf87d744282"/>
    <w:p>
      <w:pPr>
        <w:pStyle w:val="Heading2"/>
      </w:pPr>
      <w:r>
        <w:t xml:space="preserve">12. Auditability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NFR-059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Completeness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100% of state-changing operations and all PII views audited (FR-097)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 coverage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Immutability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Audit log is append-only (DB triggers reject UPDATE, DELETE and TRUNCATE) and hash-chained; verification runs daily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db/migrations/001_init.sql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002_integrity_hardening.sql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test/pg/postgres.test.js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Traceability of decisions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Every lead evaluation can be reproduced from the rule version (ID and checksum) and facts in force at the time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Rules snapshot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/api/ops/status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(store rule version on the lead: planned)</w:t>
            </w:r>
          </w:p>
        </w:tc>
      </w:tr>
    </w:tbl>
    <w:bookmarkEnd w:id="33"/>
    <w:bookmarkStart w:id="34" w:name="Xc636ae67f6b67fd0b8cab5842aae3b7a1d884c5"/>
    <w:p>
      <w:pPr>
        <w:pStyle w:val="Heading2"/>
      </w:pPr>
      <w:r>
        <w:t xml:space="preserve">13. Configurability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 hardcoded business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100% of thresholds, weights, tariffs, rates, journeys, copy, consent policy, commission and retention in rule kinds, changeable by the business through maker-checker without a release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Code review checklist; grep for numeric literals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src/domain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src/application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(service levels moved to rule kind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service_levels</w:t>
            </w:r>
            <w:r>
              <w:rPr>
                <w:sz w:val="17"/>
              </w:rPr>
              <w:t xml:space="preserve">; E-05 lists the remaining literals)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Safe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Every rule change validated, simulated (scoring, NBA, journeys, benefits), approved by a second person, versioned and reversible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FR-083 – FR-087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Lead time for business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≤ 1 business day from request to activation for a rule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Adoption dashboard target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(workflow)</w:t>
            </w:r>
          </w:p>
        </w:tc>
      </w:tr>
    </w:tbl>
    <w:bookmarkEnd w:id="34"/>
    <w:bookmarkStart w:id="35" w:name="X3e13d0e33252d10c94f18a8f75e8839a1e19f18"/>
    <w:p>
      <w:pPr>
        <w:pStyle w:val="Heading2"/>
      </w:pPr>
      <w:r>
        <w:t xml:space="preserve">14. Data retention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Retention schedule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Source records 365 days (delete); profiles 1,825 days after last activity with no active policy (anonymise); voice recordings and transcripts 180 days (delete); messages 365 days (archive); orders and certificates 3,650 days (archive, financial records); audit log 3,650 days (archive, never deleted early)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Retention job report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Partial (deletes built for source records and voice sessions; archival pipeline planned, E-09)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Legal hold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 legal hold flag suspends deletion for named entities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Retention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Planned</w:t>
            </w:r>
          </w:p>
        </w:tc>
      </w:tr>
    </w:tbl>
    <w:bookmarkEnd w:id="35"/>
    <w:bookmarkStart w:id="36" w:name="X3586f93664b8551f29415e55f1bc70dbabbce10"/>
    <w:p>
      <w:pPr>
        <w:pStyle w:val="Heading2"/>
      </w:pPr>
      <w:r>
        <w:t xml:space="preserve">15. Compliance-by-design (cross-cutting)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Verification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Support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No discount language reaches customers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 customer messages containing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copy_guard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phrases (validated at save and blocked at send)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messageStatus.blocked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0 after go-live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Contact hygiene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 marketing contacts outside 08:00–20:00 ICT or above caps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Message log analysis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 (journeys, triggers and voice campaigns)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NFR-069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Commission caps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 commission lines above the statutory cap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Validator plus statement audit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Built</w:t>
            </w:r>
          </w:p>
        </w:tc>
      </w:tr>
    </w:tbl>
    <w:bookmarkEnd w:id="36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 (NFR)</dc:title>
  <dc:creator>iorta TechNXT</dc:creator>
  <cp:keywords/>
  <dcterms:created xsi:type="dcterms:W3CDTF">2026-10-07T22:35:56Z</dcterms:created>
  <dcterms:modified xsi:type="dcterms:W3CDTF">2026-10-07T22:35:56Z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Business &amp; Product</vt:lpwstr>
  </property>
</Properties>
</file>