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Commercials and Engagement Model</w:t>
      </w:r>
    </w:p>
    <w:p>
      <w:pPr>
        <w:pStyle w:val="Subtitle"/>
      </w:pPr>
      <w:r>
        <w:t xml:space="preserve">TASCO Insurance × VETC Growth Platform — Business &amp; Product</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Commercials and Engagement Model</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 Engagement Lead</w:t>
            </w:r>
          </w:p>
        </w:tc>
        <w:tc>
          <w:tcPr/>
          <w:p>
            <w:pPr>
              <w:pStyle w:val="Compact"/>
              <w:spacing w:before="20" w:after="20"/>
              <w:jc w:val="left"/>
            </w:pPr>
            <w:r>
              <w:rPr>
                <w:sz w:val="17"/>
              </w:rPr>
              <w:t xml:space="preserve">Issued for submission</w:t>
            </w:r>
          </w:p>
        </w:tc>
      </w:tr>
    </w:tbl>
    <w:p>
      <w:pPr>
        <w:pStyle w:val="BodyText"/>
      </w:pPr>
      <w:r>
        <w:rPr>
          <w:bCs/>
          <w:b/>
        </w:rPr>
        <w:t xml:space="preserve">iorta TechNXT proposal to TASCO Insurance × VETC</w:t>
      </w:r>
      <w:r>
        <w:t xml:space="preserve"> </w:t>
      </w:r>
      <w:r>
        <w:t xml:space="preserve">· Classification: Client Confidential</w:t>
      </w:r>
    </w:p>
    <w:p>
      <w:pPr>
        <w:pStyle w:val="BlockText"/>
      </w:pPr>
      <w:r>
        <w:t xml:space="preserve">This document sets out the commercial detail behind the proposal</w:t>
      </w:r>
      <w:r>
        <w:t xml:space="preserve"> </w:t>
      </w:r>
      <w:r>
        <w:rPr>
          <w:iCs/>
          <w:i/>
        </w:rPr>
        <w:t xml:space="preserve">Proposal for the TASCO Motor Insurance Growth Platform</w:t>
      </w:r>
      <w:r>
        <w:t xml:space="preserve"> </w:t>
      </w:r>
      <w:r>
        <w:t xml:space="preserve">(reference ITN-TASCO-2026-001), and the figures in both documents are the same. Prices are in US dollars, with Vietnamese dong shown at</w:t>
      </w:r>
      <w:r>
        <w:t xml:space="preserve"> </w:t>
      </w:r>
      <w:r>
        <w:rPr>
          <w:bCs/>
          <w:b/>
        </w:rPr>
        <w:t xml:space="preserve">USD 1 = VND 26,000</w:t>
      </w:r>
      <w:r>
        <w:t xml:space="preserve"> </w:t>
      </w:r>
      <w:r>
        <w:t xml:space="preserve">(assumption C-01). Prices exclude VAT and any foreign contractor tax. Business-case figures are illustrative. References such as "doc 01" point to the companion documents listed in the Business and Product Documentation index (00-index.pdf).</w:t>
      </w:r>
    </w:p>
    <w:p>
      <w:r>
        <w:pict>
          <v:rect style="width:0;height:1.5pt" o:hralign="center" o:hrstd="t" o:hr="t"/>
        </w:pict>
      </w:r>
    </w:p>
    <w:bookmarkStart w:id="20" w:name="X68d09df303ff8197fee9bc6b3286bb67b42d8b0"/>
    <w:p>
      <w:pPr>
        <w:pStyle w:val="Heading2"/>
      </w:pPr>
      <w:r>
        <w:t xml:space="preserve">1. Engagement summary</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Item</w:t>
            </w:r>
          </w:p>
        </w:tc>
        <w:tc>
          <w:tcPr>
            <w:shd w:val="clear" w:color="auto" w:fill="213368"/>
          </w:tcPr>
          <w:p>
            <w:pPr>
              <w:pStyle w:val="Compact"/>
              <w:spacing w:before="20" w:after="20"/>
              <w:jc w:val="left"/>
            </w:pPr>
            <w:r>
              <w:rPr>
                <w:b/>
                <w:color w:val="FFFFFF"/>
                <w:sz w:val="18"/>
              </w:rPr>
              <w:t xml:space="preserve">Proposal</w:t>
            </w:r>
          </w:p>
        </w:tc>
      </w:tr>
      <w:tr>
        <w:tc>
          <w:tcPr>
            <w:noWrap/>
          </w:tcPr>
          <w:p>
            <w:pPr>
              <w:pStyle w:val="Compact"/>
              <w:spacing w:before="20" w:after="20"/>
              <w:jc w:val="left"/>
            </w:pPr>
            <w:r>
              <w:rPr>
                <w:sz w:val="18"/>
              </w:rPr>
              <w:t xml:space="preserve">Objective</w:t>
            </w:r>
          </w:p>
        </w:tc>
        <w:tc>
          <w:tcPr/>
          <w:p>
            <w:pPr>
              <w:pStyle w:val="Compact"/>
              <w:spacing w:before="20" w:after="20"/>
              <w:jc w:val="left"/>
            </w:pPr>
            <w:r>
              <w:rPr>
                <w:sz w:val="18"/>
              </w:rPr>
              <w:t xml:space="preserve">Take the existing TASCO Growth Platform to a live pilot integrated with TASCO's core system and VETC's channels, within TASCO's MVP budget of USD 100,000; then, if the pilot succeeds, scale to the full VETC base and run it as a managed service</w:t>
            </w:r>
          </w:p>
        </w:tc>
      </w:tr>
      <w:tr>
        <w:tc>
          <w:tcPr/>
          <w:p>
            <w:pPr>
              <w:pStyle w:val="Compact"/>
              <w:spacing w:before="20" w:after="20"/>
              <w:jc w:val="left"/>
            </w:pPr>
            <w:r>
              <w:rPr>
                <w:sz w:val="18"/>
              </w:rPr>
              <w:t xml:space="preserve">Starting point</w:t>
            </w:r>
          </w:p>
        </w:tc>
        <w:tc>
          <w:tcPr/>
          <w:p>
            <w:pPr>
              <w:pStyle w:val="Compact"/>
              <w:spacing w:before="20" w:after="20"/>
              <w:jc w:val="left"/>
            </w:pPr>
            <w:r>
              <w:rPr>
                <w:sz w:val="18"/>
              </w:rPr>
              <w:t xml:space="preserve">A working platform: 80 API routes, staff console for 13 roles and customer app, rules-driven lead intelligence, journeys, voice-bot dialogue engine, sales and issuance, partner API, rules governance, audit and privacy controls, 238 automated tests and a live UAT environment</w:t>
            </w:r>
          </w:p>
        </w:tc>
      </w:tr>
      <w:tr>
        <w:tc>
          <w:tcPr>
            <w:noWrap/>
          </w:tcPr>
          <w:p>
            <w:pPr>
              <w:pStyle w:val="Compact"/>
              <w:spacing w:before="20" w:after="20"/>
              <w:jc w:val="left"/>
            </w:pPr>
            <w:r>
              <w:rPr>
                <w:sz w:val="18"/>
              </w:rPr>
              <w:t xml:space="preserve">Phases</w:t>
            </w:r>
          </w:p>
        </w:tc>
        <w:tc>
          <w:tcPr/>
          <w:p>
            <w:pPr>
              <w:pStyle w:val="Compact"/>
              <w:spacing w:before="20" w:after="20"/>
              <w:jc w:val="left"/>
            </w:pPr>
            <w:r>
              <w:rPr>
                <w:bCs/>
                <w:b/>
                <w:sz w:val="18"/>
              </w:rPr>
              <w:t xml:space="preserve">0 Discovery</w:t>
            </w:r>
            <w:r>
              <w:rPr>
                <w:sz w:val="18"/>
              </w:rPr>
              <w:t xml:space="preserve"> </w:t>
            </w:r>
            <w:r>
              <w:rPr>
                <w:sz w:val="18"/>
              </w:rPr>
              <w:t xml:space="preserve">(2 weeks) →</w:t>
            </w:r>
            <w:r>
              <w:rPr>
                <w:sz w:val="18"/>
              </w:rPr>
              <w:t xml:space="preserve"> </w:t>
            </w:r>
            <w:r>
              <w:rPr>
                <w:bCs/>
                <w:b/>
                <w:sz w:val="18"/>
              </w:rPr>
              <w:t xml:space="preserve">1 MVP</w:t>
            </w:r>
            <w:r>
              <w:rPr>
                <w:sz w:val="18"/>
              </w:rPr>
              <w:t xml:space="preserve"> </w:t>
            </w:r>
            <w:r>
              <w:rPr>
                <w:sz w:val="18"/>
              </w:rPr>
              <w:t xml:space="preserve">(11 weeks to go-live, then 4 weeks of hypercare) →</w:t>
            </w:r>
            <w:r>
              <w:rPr>
                <w:sz w:val="18"/>
              </w:rPr>
              <w:t xml:space="preserve"> </w:t>
            </w:r>
            <w:r>
              <w:rPr>
                <w:bCs/>
                <w:b/>
                <w:sz w:val="18"/>
              </w:rPr>
              <w:t xml:space="preserve">2 Scale</w:t>
            </w:r>
            <w:r>
              <w:rPr>
                <w:sz w:val="18"/>
              </w:rPr>
              <w:t xml:space="preserve"> </w:t>
            </w:r>
            <w:r>
              <w:rPr>
                <w:sz w:val="18"/>
              </w:rPr>
              <w:t xml:space="preserve">(about 6 months, optional) →</w:t>
            </w:r>
            <w:r>
              <w:rPr>
                <w:sz w:val="18"/>
              </w:rPr>
              <w:t xml:space="preserve"> </w:t>
            </w:r>
            <w:r>
              <w:rPr>
                <w:bCs/>
                <w:b/>
                <w:sz w:val="18"/>
              </w:rPr>
              <w:t xml:space="preserve">3 Run</w:t>
            </w:r>
            <w:r>
              <w:rPr>
                <w:sz w:val="18"/>
              </w:rPr>
              <w:t xml:space="preserve"> </w:t>
            </w:r>
            <w:r>
              <w:rPr>
                <w:sz w:val="18"/>
              </w:rPr>
              <w:t xml:space="preserve">(managed service, optional)</w:t>
            </w:r>
          </w:p>
        </w:tc>
      </w:tr>
      <w:tr>
        <w:tc>
          <w:tcPr/>
          <w:p>
            <w:pPr>
              <w:pStyle w:val="Compact"/>
              <w:spacing w:before="20" w:after="20"/>
              <w:jc w:val="left"/>
            </w:pPr>
            <w:r>
              <w:rPr>
                <w:sz w:val="18"/>
              </w:rPr>
              <w:t xml:space="preserve">MVP price</w:t>
            </w:r>
          </w:p>
        </w:tc>
        <w:tc>
          <w:tcPr/>
          <w:p>
            <w:pPr>
              <w:pStyle w:val="Compact"/>
              <w:spacing w:before="20" w:after="20"/>
              <w:jc w:val="left"/>
            </w:pPr>
            <w:r>
              <w:rPr>
                <w:bCs/>
                <w:b/>
                <w:sz w:val="18"/>
              </w:rPr>
              <w:t xml:space="preserve">USD 94,800 fixed</w:t>
            </w:r>
            <w:r>
              <w:rPr>
                <w:sz w:val="18"/>
              </w:rPr>
              <w:t xml:space="preserve"> </w:t>
            </w:r>
            <w:r>
              <w:rPr>
                <w:sz w:val="18"/>
              </w:rPr>
              <w:t xml:space="preserve">(≈ VND 2.46 bn). A change reserve of USD 5,200 is held by TASCO, so the total is USD 100,000.</w:t>
            </w:r>
          </w:p>
        </w:tc>
      </w:tr>
      <w:tr>
        <w:tc>
          <w:tcPr/>
          <w:p>
            <w:pPr>
              <w:pStyle w:val="Compact"/>
              <w:spacing w:before="20" w:after="20"/>
              <w:jc w:val="left"/>
            </w:pPr>
            <w:r>
              <w:rPr>
                <w:sz w:val="18"/>
              </w:rPr>
              <w:t xml:space="preserve">Commercial options</w:t>
            </w:r>
          </w:p>
        </w:tc>
        <w:tc>
          <w:tcPr/>
          <w:p>
            <w:pPr>
              <w:pStyle w:val="Compact"/>
              <w:spacing w:before="20" w:after="20"/>
              <w:jc w:val="left"/>
            </w:pPr>
            <w:r>
              <w:rPr>
                <w:bCs/>
                <w:b/>
                <w:sz w:val="18"/>
              </w:rPr>
              <w:t xml:space="preserve">A.</w:t>
            </w:r>
            <w:r>
              <w:rPr>
                <w:sz w:val="18"/>
              </w:rPr>
              <w:t xml:space="preserve"> </w:t>
            </w:r>
            <w:r>
              <w:rPr>
                <w:sz w:val="18"/>
              </w:rPr>
              <w:t xml:space="preserve">Fixed-price MVP (recommended) ·</w:t>
            </w:r>
            <w:r>
              <w:rPr>
                <w:sz w:val="18"/>
              </w:rPr>
              <w:t xml:space="preserve"> </w:t>
            </w:r>
            <w:r>
              <w:rPr>
                <w:bCs/>
                <w:b/>
                <w:sz w:val="18"/>
              </w:rPr>
              <w:t xml:space="preserve">B.</w:t>
            </w:r>
            <w:r>
              <w:rPr>
                <w:sz w:val="18"/>
              </w:rPr>
              <w:t xml:space="preserve"> </w:t>
            </w:r>
            <w:r>
              <w:rPr>
                <w:sz w:val="18"/>
              </w:rPr>
              <w:t xml:space="preserve">Lower fixed MVP price plus a capped per-policy technology service fee</w:t>
            </w:r>
          </w:p>
        </w:tc>
      </w:tr>
      <w:tr>
        <w:tc>
          <w:tcPr/>
          <w:p>
            <w:pPr>
              <w:pStyle w:val="Compact"/>
              <w:spacing w:before="20" w:after="20"/>
              <w:jc w:val="left"/>
            </w:pPr>
            <w:r>
              <w:rPr>
                <w:sz w:val="18"/>
              </w:rPr>
              <w:t xml:space="preserve">Indicative 3-year TCO (full scale)</w:t>
            </w:r>
          </w:p>
        </w:tc>
        <w:tc>
          <w:tcPr/>
          <w:p>
            <w:pPr>
              <w:pStyle w:val="Compact"/>
              <w:spacing w:before="20" w:after="20"/>
              <w:jc w:val="left"/>
            </w:pPr>
            <w:r>
              <w:rPr>
                <w:bCs/>
                <w:b/>
                <w:sz w:val="18"/>
              </w:rPr>
              <w:t xml:space="preserve">≈ USD 669,558 (≈ VND 17.41 bn)</w:t>
            </w:r>
            <w:r>
              <w:rPr>
                <w:sz w:val="18"/>
              </w:rPr>
              <w:t xml:space="preserve">, including the scale phase, managed service, enhancement pool and cloud infrastructure; excludes usage fees and TASCO/VETC internal costs</w:t>
            </w:r>
          </w:p>
        </w:tc>
      </w:tr>
    </w:tbl>
    <w:p>
      <w:r>
        <w:pict>
          <v:rect style="width:0;height:1.5pt" o:hralign="center" o:hrstd="t" o:hr="t"/>
        </w:pict>
      </w:r>
    </w:p>
    <w:bookmarkEnd w:id="20"/>
    <w:bookmarkStart w:id="24" w:name="Xec2a2853d6e9ff076fe0c6a565d78b8275aafc0"/>
    <w:p>
      <w:pPr>
        <w:pStyle w:val="Heading2"/>
      </w:pPr>
      <w:r>
        <w:t xml:space="preserve">2. Phases, scope and deliverables</w:t>
      </w:r>
    </w:p>
    <w:p>
      <w:pPr>
        <w:pStyle w:val="FirstParagraph"/>
      </w:pPr>
      <w:r>
        <w:drawing>
          <wp:inline>
            <wp:extent cx="6119999" cy="893932"/>
            <wp:effectExtent b="0" l="0" r="0" t="0"/>
            <wp:docPr descr="" title="" id="22" name="Picture"/>
            <a:graphic>
              <a:graphicData uri="http://schemas.openxmlformats.org/drawingml/2006/picture">
                <pic:pic>
                  <pic:nvPicPr>
                    <pic:cNvPr descr="/tmp/claude-0/-home-user-TASCO/19e5534d-12b5-5956-9b60-3e77efde0f49/scratchpad/conv/img/business__07-commercials-and-engagement-model-1.png" id="23" name="Picture"/>
                    <pic:cNvPicPr>
                      <a:picLocks noChangeArrowheads="1" noChangeAspect="1"/>
                    </pic:cNvPicPr>
                  </pic:nvPicPr>
                  <pic:blipFill>
                    <a:blip r:embed="rId21"/>
                    <a:stretch>
                      <a:fillRect/>
                    </a:stretch>
                  </pic:blipFill>
                  <pic:spPr bwMode="auto">
                    <a:xfrm>
                      <a:off x="0" y="0"/>
                      <a:ext cx="6119999" cy="893932"/>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Phase</w:t>
            </w:r>
          </w:p>
        </w:tc>
        <w:tc>
          <w:tcPr>
            <w:shd w:val="clear" w:color="auto" w:fill="213368"/>
          </w:tcPr>
          <w:p>
            <w:pPr>
              <w:pStyle w:val="Compact"/>
              <w:spacing w:before="20" w:after="20"/>
              <w:jc w:val="left"/>
            </w:pPr>
            <w:r>
              <w:rPr>
                <w:b/>
                <w:color w:val="FFFFFF"/>
                <w:sz w:val="18"/>
              </w:rPr>
              <w:t xml:space="preserve">Scope</w:t>
            </w:r>
          </w:p>
        </w:tc>
        <w:tc>
          <w:tcPr>
            <w:shd w:val="clear" w:color="auto" w:fill="213368"/>
          </w:tcPr>
          <w:p>
            <w:pPr>
              <w:pStyle w:val="Compact"/>
              <w:spacing w:before="20" w:after="20"/>
              <w:jc w:val="left"/>
            </w:pPr>
            <w:r>
              <w:rPr>
                <w:b/>
                <w:color w:val="FFFFFF"/>
                <w:sz w:val="18"/>
              </w:rPr>
              <w:t xml:space="preserve">Key deliverables</w:t>
            </w:r>
          </w:p>
        </w:tc>
        <w:tc>
          <w:tcPr>
            <w:shd w:val="clear" w:color="auto" w:fill="213368"/>
          </w:tcPr>
          <w:p>
            <w:pPr>
              <w:pStyle w:val="Compact"/>
              <w:spacing w:before="20" w:after="20"/>
              <w:jc w:val="left"/>
            </w:pPr>
            <w:r>
              <w:rPr>
                <w:b/>
                <w:color w:val="FFFFFF"/>
                <w:sz w:val="18"/>
              </w:rPr>
              <w:t xml:space="preserve">Exit gate</w:t>
            </w:r>
          </w:p>
        </w:tc>
      </w:tr>
      <w:tr>
        <w:tc>
          <w:tcPr/>
          <w:p>
            <w:pPr>
              <w:pStyle w:val="Compact"/>
              <w:spacing w:before="20" w:after="20"/>
              <w:jc w:val="left"/>
            </w:pPr>
            <w:r>
              <w:rPr>
                <w:bCs/>
                <w:b/>
                <w:sz w:val="18"/>
              </w:rPr>
              <w:t xml:space="preserve">0 Discovery</w:t>
            </w:r>
          </w:p>
        </w:tc>
        <w:tc>
          <w:tcPr/>
          <w:p>
            <w:pPr>
              <w:pStyle w:val="Compact"/>
              <w:spacing w:before="20" w:after="20"/>
              <w:jc w:val="left"/>
            </w:pPr>
            <w:r>
              <w:rPr>
                <w:sz w:val="18"/>
              </w:rPr>
              <w:t xml:space="preserve">TASCO core integration path (catalogue, rating, issuance); data mapping (VETC accounts, partner lists, TASCO policy book); legal confirmations; integration contracts; pilot design with a control group; voice-vendor selection support</w:t>
            </w:r>
          </w:p>
        </w:tc>
        <w:tc>
          <w:tcPr/>
          <w:p>
            <w:pPr>
              <w:pStyle w:val="Compact"/>
              <w:spacing w:before="20" w:after="20"/>
              <w:jc w:val="left"/>
            </w:pPr>
            <w:r>
              <w:rPr>
                <w:sz w:val="18"/>
              </w:rPr>
              <w:t xml:space="preserve">Discovery report; signed integration specifications; pilot plan; baselined KPIs (doc 01 §11)</w:t>
            </w:r>
          </w:p>
        </w:tc>
        <w:tc>
          <w:tcPr/>
          <w:p>
            <w:pPr>
              <w:pStyle w:val="Compact"/>
              <w:spacing w:before="20" w:after="20"/>
              <w:jc w:val="left"/>
            </w:pPr>
            <w:r>
              <w:rPr>
                <w:sz w:val="18"/>
              </w:rPr>
              <w:t xml:space="preserve">Steering committee sign-off</w:t>
            </w:r>
          </w:p>
        </w:tc>
      </w:tr>
      <w:tr>
        <w:tc>
          <w:tcPr/>
          <w:p>
            <w:pPr>
              <w:pStyle w:val="Compact"/>
              <w:spacing w:before="20" w:after="20"/>
              <w:jc w:val="left"/>
            </w:pPr>
            <w:r>
              <w:rPr>
                <w:bCs/>
                <w:b/>
                <w:sz w:val="18"/>
              </w:rPr>
              <w:t xml:space="preserve">1 MVP</w:t>
            </w:r>
          </w:p>
        </w:tc>
        <w:tc>
          <w:tcPr/>
          <w:p>
            <w:pPr>
              <w:pStyle w:val="Compact"/>
              <w:spacing w:before="20" w:after="20"/>
              <w:jc w:val="left"/>
            </w:pPr>
            <w:r>
              <w:rPr>
                <w:sz w:val="18"/>
              </w:rPr>
              <w:t xml:space="preserve">Production adapters for TASCO core (catalogue sync, live rating, bind and issue, daily policy extract), VETC (data load, tag activation, app web view, push, wallet), Zalo ZNS, SMS brandname and one voice vendor; one partner on the API; branding and configuration; hardening; SIT, UAT and security testing; pilot of 50,000–100,000 vehicles</w:t>
            </w:r>
          </w:p>
        </w:tc>
        <w:tc>
          <w:tcPr/>
          <w:p>
            <w:pPr>
              <w:pStyle w:val="Compact"/>
              <w:spacing w:before="20" w:after="20"/>
              <w:jc w:val="left"/>
            </w:pPr>
            <w:r>
              <w:rPr>
                <w:sz w:val="18"/>
              </w:rPr>
              <w:t xml:space="preserve">Production release; runbooks; trained users; pilot dashboard; security test report; test-case workbook</w:t>
            </w:r>
          </w:p>
        </w:tc>
        <w:tc>
          <w:tcPr/>
          <w:p>
            <w:pPr>
              <w:pStyle w:val="Compact"/>
              <w:spacing w:before="20" w:after="20"/>
              <w:jc w:val="left"/>
            </w:pPr>
            <w:r>
              <w:rPr>
                <w:sz w:val="18"/>
              </w:rPr>
              <w:t xml:space="preserve">UAT sign-off; go-live; 4 weeks of hypercare within service levels</w:t>
            </w:r>
          </w:p>
        </w:tc>
      </w:tr>
      <w:tr>
        <w:tc>
          <w:tcPr/>
          <w:p>
            <w:pPr>
              <w:pStyle w:val="Compact"/>
              <w:spacing w:before="20" w:after="20"/>
              <w:jc w:val="left"/>
            </w:pPr>
            <w:r>
              <w:rPr>
                <w:bCs/>
                <w:b/>
                <w:sz w:val="18"/>
              </w:rPr>
              <w:t xml:space="preserve">2 Scale</w:t>
            </w:r>
            <w:r>
              <w:rPr>
                <w:sz w:val="18"/>
              </w:rPr>
              <w:t xml:space="preserve"> </w:t>
            </w:r>
            <w:r>
              <w:rPr>
                <w:sz w:val="18"/>
              </w:rPr>
              <w:t xml:space="preserve">(optional)</w:t>
            </w:r>
          </w:p>
        </w:tc>
        <w:tc>
          <w:tcPr/>
          <w:p>
            <w:pPr>
              <w:pStyle w:val="Compact"/>
              <w:spacing w:before="20" w:after="20"/>
              <w:jc w:val="left"/>
            </w:pPr>
            <w:r>
              <w:rPr>
                <w:sz w:val="18"/>
              </w:rPr>
              <w:t xml:space="preserve">Full 6 M base; VETC SSO; Zalo mini app; live VETC event feed; inspection booking; fleet portal; data-warehouse feed; claims integration; score calibration; A/B testing; further partners</w:t>
            </w:r>
          </w:p>
        </w:tc>
        <w:tc>
          <w:tcPr/>
          <w:p>
            <w:pPr>
              <w:pStyle w:val="Compact"/>
              <w:spacing w:before="20" w:after="20"/>
              <w:jc w:val="left"/>
            </w:pPr>
            <w:r>
              <w:rPr>
                <w:sz w:val="18"/>
              </w:rPr>
              <w:t xml:space="preserve">Scaled platform; experimentation framework; fleet portal</w:t>
            </w:r>
          </w:p>
        </w:tc>
        <w:tc>
          <w:tcPr/>
          <w:p>
            <w:pPr>
              <w:pStyle w:val="Compact"/>
              <w:spacing w:before="20" w:after="20"/>
              <w:jc w:val="left"/>
            </w:pPr>
            <w:r>
              <w:rPr>
                <w:sz w:val="18"/>
              </w:rPr>
              <w:t xml:space="preserve">KPI review against the base case</w:t>
            </w:r>
          </w:p>
        </w:tc>
      </w:tr>
      <w:tr>
        <w:tc>
          <w:tcPr/>
          <w:p>
            <w:pPr>
              <w:pStyle w:val="Compact"/>
              <w:spacing w:before="20" w:after="20"/>
              <w:jc w:val="left"/>
            </w:pPr>
            <w:r>
              <w:rPr>
                <w:bCs/>
                <w:b/>
                <w:sz w:val="18"/>
              </w:rPr>
              <w:t xml:space="preserve">3 Run</w:t>
            </w:r>
            <w:r>
              <w:rPr>
                <w:sz w:val="18"/>
              </w:rPr>
              <w:t xml:space="preserve"> </w:t>
            </w:r>
            <w:r>
              <w:rPr>
                <w:sz w:val="18"/>
              </w:rPr>
              <w:t xml:space="preserve">(optional)</w:t>
            </w:r>
          </w:p>
        </w:tc>
        <w:tc>
          <w:tcPr/>
          <w:p>
            <w:pPr>
              <w:pStyle w:val="Compact"/>
              <w:spacing w:before="20" w:after="20"/>
              <w:jc w:val="left"/>
            </w:pPr>
            <w:r>
              <w:rPr>
                <w:sz w:val="18"/>
              </w:rPr>
              <w:t xml:space="preserve">Managed service: L2/L3 support, monitoring, security patching, rule-change support, monthly releases</w:t>
            </w:r>
          </w:p>
        </w:tc>
        <w:tc>
          <w:tcPr/>
          <w:p>
            <w:pPr>
              <w:pStyle w:val="Compact"/>
              <w:spacing w:before="20" w:after="20"/>
              <w:jc w:val="left"/>
            </w:pPr>
            <w:r>
              <w:rPr>
                <w:sz w:val="18"/>
              </w:rPr>
              <w:t xml:space="preserve">Monthly service report; quarterly business review</w:t>
            </w:r>
          </w:p>
        </w:tc>
        <w:tc>
          <w:tcPr/>
          <w:p>
            <w:pPr>
              <w:pStyle w:val="Compact"/>
              <w:spacing w:before="20" w:after="20"/>
              <w:jc w:val="left"/>
            </w:pPr>
            <w:r>
              <w:rPr>
                <w:sz w:val="18"/>
              </w:rPr>
              <w:t xml:space="preserve">Service levels met</w:t>
            </w:r>
          </w:p>
        </w:tc>
      </w:tr>
    </w:tbl>
    <w:p>
      <w:r>
        <w:pict>
          <v:rect style="width:0;height:1.5pt" o:hralign="center" o:hrstd="t" o:hr="t"/>
        </w:pict>
      </w:r>
    </w:p>
    <w:bookmarkEnd w:id="24"/>
    <w:bookmarkStart w:id="28" w:name="Xe2338e288e93ddc8a74a35f17f8d9b2bc222e7e"/>
    <w:p>
      <w:pPr>
        <w:pStyle w:val="Heading2"/>
      </w:pPr>
      <w:r>
        <w:t xml:space="preserve">3. Team composition and effort</w:t>
      </w:r>
    </w:p>
    <w:bookmarkStart w:id="25" w:name="X711cdc8aeedc1adcb330d4d2dd2a00ee4af66bc"/>
    <w:p>
      <w:pPr>
        <w:pStyle w:val="Heading3"/>
      </w:pPr>
      <w:r>
        <w:t xml:space="preserve">3.1 MVP (Phases 0 and 1)</w:t>
      </w:r>
    </w:p>
    <w:p>
      <w:pPr>
        <w:pStyle w:val="FirstParagraph"/>
      </w:pPr>
      <w:r>
        <w:t xml:space="preserve">Effort in person-days.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Role</w:t>
            </w:r>
          </w:p>
        </w:tc>
        <w:tc>
          <w:tcPr>
            <w:shd w:val="clear" w:color="auto" w:fill="213368"/>
          </w:tcPr>
          <w:p>
            <w:pPr>
              <w:pStyle w:val="Compact"/>
              <w:spacing w:before="20" w:after="20"/>
              <w:jc w:val="right"/>
            </w:pPr>
            <w:r>
              <w:rPr>
                <w:b/>
                <w:color w:val="FFFFFF"/>
                <w:sz w:val="17"/>
              </w:rPr>
              <w:t xml:space="preserve">Discovery</w:t>
            </w:r>
          </w:p>
        </w:tc>
        <w:tc>
          <w:tcPr>
            <w:shd w:val="clear" w:color="auto" w:fill="213368"/>
          </w:tcPr>
          <w:p>
            <w:pPr>
              <w:pStyle w:val="Compact"/>
              <w:spacing w:before="20" w:after="20"/>
              <w:jc w:val="right"/>
            </w:pPr>
            <w:r>
              <w:rPr>
                <w:b/>
                <w:color w:val="FFFFFF"/>
                <w:sz w:val="17"/>
              </w:rPr>
              <w:t xml:space="preserve">Build</w:t>
            </w:r>
          </w:p>
        </w:tc>
        <w:tc>
          <w:tcPr>
            <w:shd w:val="clear" w:color="auto" w:fill="213368"/>
          </w:tcPr>
          <w:p>
            <w:pPr>
              <w:pStyle w:val="Compact"/>
              <w:spacing w:before="20" w:after="20"/>
              <w:jc w:val="right"/>
            </w:pPr>
            <w:r>
              <w:rPr>
                <w:b/>
                <w:color w:val="FFFFFF"/>
                <w:sz w:val="17"/>
              </w:rPr>
              <w:t xml:space="preserve">Test and go-live</w:t>
            </w:r>
          </w:p>
        </w:tc>
        <w:tc>
          <w:tcPr>
            <w:shd w:val="clear" w:color="auto" w:fill="213368"/>
          </w:tcPr>
          <w:p>
            <w:pPr>
              <w:pStyle w:val="Compact"/>
              <w:spacing w:before="20" w:after="20"/>
              <w:jc w:val="right"/>
            </w:pPr>
            <w:r>
              <w:rPr>
                <w:b/>
                <w:color w:val="FFFFFF"/>
                <w:sz w:val="17"/>
              </w:rPr>
              <w:t xml:space="preserve">Hypercare</w:t>
            </w:r>
          </w:p>
        </w:tc>
        <w:tc>
          <w:tcPr>
            <w:shd w:val="clear" w:color="auto" w:fill="213368"/>
          </w:tcPr>
          <w:p>
            <w:pPr>
              <w:pStyle w:val="Compact"/>
              <w:spacing w:before="20" w:after="20"/>
              <w:jc w:val="right"/>
            </w:pPr>
            <w:r>
              <w:rPr>
                <w:b/>
                <w:color w:val="FFFFFF"/>
                <w:sz w:val="17"/>
              </w:rPr>
              <w:t xml:space="preserve">Total</w:t>
            </w:r>
          </w:p>
        </w:tc>
      </w:tr>
      <w:tr>
        <w:tc>
          <w:tcPr/>
          <w:p>
            <w:pPr>
              <w:pStyle w:val="Compact"/>
              <w:spacing w:before="20" w:after="20"/>
              <w:jc w:val="left"/>
            </w:pPr>
            <w:r>
              <w:rPr>
                <w:sz w:val="17"/>
              </w:rPr>
              <w:t xml:space="preserve">Engagement manager</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20</w:t>
            </w:r>
          </w:p>
        </w:tc>
        <w:tc>
          <w:tcPr>
            <w:noWrap/>
          </w:tcPr>
          <w:p>
            <w:pPr>
              <w:pStyle w:val="Compact"/>
              <w:spacing w:before="20" w:after="20"/>
              <w:jc w:val="right"/>
            </w:pPr>
            <w:r>
              <w:rPr>
                <w:sz w:val="17"/>
              </w:rPr>
              <w:t xml:space="preserve">7.5</w:t>
            </w:r>
          </w:p>
        </w:tc>
        <w:tc>
          <w:tcPr>
            <w:noWrap/>
          </w:tcPr>
          <w:p>
            <w:pPr>
              <w:pStyle w:val="Compact"/>
              <w:spacing w:before="20" w:after="20"/>
              <w:jc w:val="right"/>
            </w:pPr>
            <w:r>
              <w:rPr>
                <w:sz w:val="17"/>
              </w:rPr>
              <w:t xml:space="preserve">2</w:t>
            </w:r>
          </w:p>
        </w:tc>
        <w:tc>
          <w:tcPr>
            <w:noWrap/>
          </w:tcPr>
          <w:p>
            <w:pPr>
              <w:pStyle w:val="Compact"/>
              <w:spacing w:before="20" w:after="20"/>
              <w:jc w:val="right"/>
            </w:pPr>
            <w:r>
              <w:rPr>
                <w:sz w:val="17"/>
              </w:rPr>
              <w:t xml:space="preserve">34.5</w:t>
            </w:r>
          </w:p>
        </w:tc>
      </w:tr>
      <w:tr>
        <w:tc>
          <w:tcPr/>
          <w:p>
            <w:pPr>
              <w:pStyle w:val="Compact"/>
              <w:spacing w:before="20" w:after="20"/>
              <w:jc w:val="left"/>
            </w:pPr>
            <w:r>
              <w:rPr>
                <w:sz w:val="17"/>
              </w:rPr>
              <w:t xml:space="preserve">Solution architect</w:t>
            </w:r>
          </w:p>
        </w:tc>
        <w:tc>
          <w:tcPr>
            <w:noWrap/>
          </w:tcPr>
          <w:p>
            <w:pPr>
              <w:pStyle w:val="Compact"/>
              <w:spacing w:before="20" w:after="20"/>
              <w:jc w:val="right"/>
            </w:pPr>
            <w:r>
              <w:rPr>
                <w:sz w:val="17"/>
              </w:rPr>
              <w:t xml:space="preserve">10</w:t>
            </w:r>
          </w:p>
        </w:tc>
        <w:tc>
          <w:tcPr>
            <w:noWrap/>
          </w:tcPr>
          <w:p>
            <w:pPr>
              <w:pStyle w:val="Compact"/>
              <w:spacing w:before="20" w:after="20"/>
              <w:jc w:val="right"/>
            </w:pPr>
            <w:r>
              <w:rPr>
                <w:sz w:val="17"/>
              </w:rPr>
              <w:t xml:space="preserve">20</w:t>
            </w:r>
          </w:p>
        </w:tc>
        <w:tc>
          <w:tcPr>
            <w:noWrap/>
          </w:tcPr>
          <w:p>
            <w:pPr>
              <w:pStyle w:val="Compact"/>
              <w:spacing w:before="20" w:after="20"/>
              <w:jc w:val="right"/>
            </w:pPr>
            <w:r>
              <w:rPr>
                <w:sz w:val="17"/>
              </w:rPr>
              <w:t xml:space="preserve">3.75</w:t>
            </w:r>
          </w:p>
        </w:tc>
        <w:tc>
          <w:tcPr/>
          <w:p>
            <w:pPr>
              <w:pStyle w:val="Compact"/>
              <w:spacing w:before="20" w:after="20"/>
            </w:pPr>
          </w:p>
        </w:tc>
        <w:tc>
          <w:tcPr>
            <w:noWrap/>
          </w:tcPr>
          <w:p>
            <w:pPr>
              <w:pStyle w:val="Compact"/>
              <w:spacing w:before="20" w:after="20"/>
              <w:jc w:val="right"/>
            </w:pPr>
            <w:r>
              <w:rPr>
                <w:sz w:val="17"/>
              </w:rPr>
              <w:t xml:space="preserve">33.75</w:t>
            </w:r>
          </w:p>
        </w:tc>
      </w:tr>
      <w:tr>
        <w:tc>
          <w:tcPr/>
          <w:p>
            <w:pPr>
              <w:pStyle w:val="Compact"/>
              <w:spacing w:before="20" w:after="20"/>
              <w:jc w:val="left"/>
            </w:pPr>
            <w:r>
              <w:rPr>
                <w:sz w:val="17"/>
              </w:rPr>
              <w:t xml:space="preserve">Business analyst and insurance SME</w:t>
            </w:r>
          </w:p>
        </w:tc>
        <w:tc>
          <w:tcPr>
            <w:noWrap/>
          </w:tcPr>
          <w:p>
            <w:pPr>
              <w:pStyle w:val="Compact"/>
              <w:spacing w:before="20" w:after="20"/>
              <w:jc w:val="right"/>
            </w:pPr>
            <w:r>
              <w:rPr>
                <w:sz w:val="17"/>
              </w:rPr>
              <w:t xml:space="preserve">10</w:t>
            </w:r>
          </w:p>
        </w:tc>
        <w:tc>
          <w:tcPr>
            <w:noWrap/>
          </w:tcPr>
          <w:p>
            <w:pPr>
              <w:pStyle w:val="Compact"/>
              <w:spacing w:before="20" w:after="20"/>
              <w:jc w:val="right"/>
            </w:pPr>
            <w:r>
              <w:rPr>
                <w:sz w:val="17"/>
              </w:rPr>
              <w:t xml:space="preserve">40</w:t>
            </w:r>
          </w:p>
        </w:tc>
        <w:tc>
          <w:tcPr>
            <w:noWrap/>
          </w:tcPr>
          <w:p>
            <w:pPr>
              <w:pStyle w:val="Compact"/>
              <w:spacing w:before="20" w:after="20"/>
              <w:jc w:val="right"/>
            </w:pPr>
            <w:r>
              <w:rPr>
                <w:sz w:val="17"/>
              </w:rPr>
              <w:t xml:space="preserve">15</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70</w:t>
            </w:r>
          </w:p>
        </w:tc>
      </w:tr>
      <w:tr>
        <w:tc>
          <w:tcPr/>
          <w:p>
            <w:pPr>
              <w:pStyle w:val="Compact"/>
              <w:spacing w:before="20" w:after="20"/>
              <w:jc w:val="left"/>
            </w:pPr>
            <w:r>
              <w:rPr>
                <w:sz w:val="17"/>
              </w:rPr>
              <w:t xml:space="preserve">UX and conversation designer</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10</w:t>
            </w:r>
          </w:p>
        </w:tc>
        <w:tc>
          <w:tcPr/>
          <w:p>
            <w:pPr>
              <w:pStyle w:val="Compact"/>
              <w:spacing w:before="20" w:after="20"/>
            </w:pPr>
          </w:p>
        </w:tc>
        <w:tc>
          <w:tcPr/>
          <w:p>
            <w:pPr>
              <w:pStyle w:val="Compact"/>
              <w:spacing w:before="20" w:after="20"/>
            </w:pPr>
          </w:p>
        </w:tc>
        <w:tc>
          <w:tcPr>
            <w:noWrap/>
          </w:tcPr>
          <w:p>
            <w:pPr>
              <w:pStyle w:val="Compact"/>
              <w:spacing w:before="20" w:after="20"/>
              <w:jc w:val="right"/>
            </w:pPr>
            <w:r>
              <w:rPr>
                <w:sz w:val="17"/>
              </w:rPr>
              <w:t xml:space="preserve">15</w:t>
            </w:r>
          </w:p>
        </w:tc>
      </w:tr>
      <w:tr>
        <w:tc>
          <w:tcPr/>
          <w:p>
            <w:pPr>
              <w:pStyle w:val="Compact"/>
              <w:spacing w:before="20" w:after="20"/>
              <w:jc w:val="left"/>
            </w:pPr>
            <w:r>
              <w:rPr>
                <w:sz w:val="17"/>
              </w:rPr>
              <w:t xml:space="preserve">Senior engineer (integration lead)</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40</w:t>
            </w:r>
          </w:p>
        </w:tc>
        <w:tc>
          <w:tcPr>
            <w:noWrap/>
          </w:tcPr>
          <w:p>
            <w:pPr>
              <w:pStyle w:val="Compact"/>
              <w:spacing w:before="20" w:after="20"/>
              <w:jc w:val="right"/>
            </w:pPr>
            <w:r>
              <w:rPr>
                <w:sz w:val="17"/>
              </w:rPr>
              <w:t xml:space="preserve">15</w:t>
            </w:r>
          </w:p>
        </w:tc>
        <w:tc>
          <w:tcPr>
            <w:noWrap/>
          </w:tcPr>
          <w:p>
            <w:pPr>
              <w:pStyle w:val="Compact"/>
              <w:spacing w:before="20" w:after="20"/>
              <w:jc w:val="right"/>
            </w:pPr>
            <w:r>
              <w:rPr>
                <w:sz w:val="17"/>
              </w:rPr>
              <w:t xml:space="preserve">10</w:t>
            </w:r>
          </w:p>
        </w:tc>
        <w:tc>
          <w:tcPr>
            <w:noWrap/>
          </w:tcPr>
          <w:p>
            <w:pPr>
              <w:pStyle w:val="Compact"/>
              <w:spacing w:before="20" w:after="20"/>
              <w:jc w:val="right"/>
            </w:pPr>
            <w:r>
              <w:rPr>
                <w:sz w:val="17"/>
              </w:rPr>
              <w:t xml:space="preserve">70</w:t>
            </w:r>
          </w:p>
        </w:tc>
      </w:tr>
      <w:tr>
        <w:tc>
          <w:tcPr/>
          <w:p>
            <w:pPr>
              <w:pStyle w:val="Compact"/>
              <w:spacing w:before="20" w:after="20"/>
              <w:jc w:val="left"/>
            </w:pPr>
            <w:r>
              <w:rPr>
                <w:sz w:val="17"/>
              </w:rPr>
              <w:t xml:space="preserve">Engineers (backend and frontend)</w:t>
            </w:r>
          </w:p>
        </w:tc>
        <w:tc>
          <w:tcPr/>
          <w:p>
            <w:pPr>
              <w:pStyle w:val="Compact"/>
              <w:spacing w:before="20" w:after="20"/>
            </w:pPr>
          </w:p>
        </w:tc>
        <w:tc>
          <w:tcPr>
            <w:noWrap/>
          </w:tcPr>
          <w:p>
            <w:pPr>
              <w:pStyle w:val="Compact"/>
              <w:spacing w:before="20" w:after="20"/>
              <w:jc w:val="right"/>
            </w:pPr>
            <w:r>
              <w:rPr>
                <w:sz w:val="17"/>
              </w:rPr>
              <w:t xml:space="preserve">80</w:t>
            </w:r>
          </w:p>
        </w:tc>
        <w:tc>
          <w:tcPr>
            <w:noWrap/>
          </w:tcPr>
          <w:p>
            <w:pPr>
              <w:pStyle w:val="Compact"/>
              <w:spacing w:before="20" w:after="20"/>
              <w:jc w:val="right"/>
            </w:pPr>
            <w:r>
              <w:rPr>
                <w:sz w:val="17"/>
              </w:rPr>
              <w:t xml:space="preserve">15</w:t>
            </w:r>
          </w:p>
        </w:tc>
        <w:tc>
          <w:tcPr>
            <w:noWrap/>
          </w:tcPr>
          <w:p>
            <w:pPr>
              <w:pStyle w:val="Compact"/>
              <w:spacing w:before="20" w:after="20"/>
              <w:jc w:val="right"/>
            </w:pPr>
            <w:r>
              <w:rPr>
                <w:sz w:val="17"/>
              </w:rPr>
              <w:t xml:space="preserve">10</w:t>
            </w:r>
          </w:p>
        </w:tc>
        <w:tc>
          <w:tcPr>
            <w:noWrap/>
          </w:tcPr>
          <w:p>
            <w:pPr>
              <w:pStyle w:val="Compact"/>
              <w:spacing w:before="20" w:after="20"/>
              <w:jc w:val="right"/>
            </w:pPr>
            <w:r>
              <w:rPr>
                <w:sz w:val="17"/>
              </w:rPr>
              <w:t xml:space="preserve">105</w:t>
            </w:r>
          </w:p>
        </w:tc>
      </w:tr>
      <w:tr>
        <w:tc>
          <w:tcPr/>
          <w:p>
            <w:pPr>
              <w:pStyle w:val="Compact"/>
              <w:spacing w:before="20" w:after="20"/>
              <w:jc w:val="left"/>
            </w:pPr>
            <w:r>
              <w:rPr>
                <w:sz w:val="17"/>
              </w:rPr>
              <w:t xml:space="preserve">QA engineer</w:t>
            </w:r>
          </w:p>
        </w:tc>
        <w:tc>
          <w:tcPr/>
          <w:p>
            <w:pPr>
              <w:pStyle w:val="Compact"/>
              <w:spacing w:before="20" w:after="20"/>
            </w:pPr>
          </w:p>
        </w:tc>
        <w:tc>
          <w:tcPr>
            <w:noWrap/>
          </w:tcPr>
          <w:p>
            <w:pPr>
              <w:pStyle w:val="Compact"/>
              <w:spacing w:before="20" w:after="20"/>
              <w:jc w:val="right"/>
            </w:pPr>
            <w:r>
              <w:rPr>
                <w:sz w:val="17"/>
              </w:rPr>
              <w:t xml:space="preserve">40</w:t>
            </w:r>
          </w:p>
        </w:tc>
        <w:tc>
          <w:tcPr>
            <w:noWrap/>
          </w:tcPr>
          <w:p>
            <w:pPr>
              <w:pStyle w:val="Compact"/>
              <w:spacing w:before="20" w:after="20"/>
              <w:jc w:val="right"/>
            </w:pPr>
            <w:r>
              <w:rPr>
                <w:sz w:val="17"/>
              </w:rPr>
              <w:t xml:space="preserve">22.5</w:t>
            </w:r>
          </w:p>
        </w:tc>
        <w:tc>
          <w:tcPr/>
          <w:p>
            <w:pPr>
              <w:pStyle w:val="Compact"/>
              <w:spacing w:before="20" w:after="20"/>
            </w:pPr>
          </w:p>
        </w:tc>
        <w:tc>
          <w:tcPr>
            <w:noWrap/>
          </w:tcPr>
          <w:p>
            <w:pPr>
              <w:pStyle w:val="Compact"/>
              <w:spacing w:before="20" w:after="20"/>
              <w:jc w:val="right"/>
            </w:pPr>
            <w:r>
              <w:rPr>
                <w:sz w:val="17"/>
              </w:rPr>
              <w:t xml:space="preserve">62.5</w:t>
            </w:r>
          </w:p>
        </w:tc>
      </w:tr>
      <w:tr>
        <w:tc>
          <w:tcPr/>
          <w:p>
            <w:pPr>
              <w:pStyle w:val="Compact"/>
              <w:spacing w:before="20" w:after="20"/>
              <w:jc w:val="left"/>
            </w:pPr>
            <w:r>
              <w:rPr>
                <w:sz w:val="17"/>
              </w:rPr>
              <w:t xml:space="preserve">DevSecOps engineer</w:t>
            </w:r>
          </w:p>
        </w:tc>
        <w:tc>
          <w:tcPr/>
          <w:p>
            <w:pPr>
              <w:pStyle w:val="Compact"/>
              <w:spacing w:before="20" w:after="20"/>
            </w:pPr>
          </w:p>
        </w:tc>
        <w:tc>
          <w:tcPr>
            <w:noWrap/>
          </w:tcPr>
          <w:p>
            <w:pPr>
              <w:pStyle w:val="Compact"/>
              <w:spacing w:before="20" w:after="20"/>
              <w:jc w:val="right"/>
            </w:pPr>
            <w:r>
              <w:rPr>
                <w:sz w:val="17"/>
              </w:rPr>
              <w:t xml:space="preserve">20</w:t>
            </w:r>
          </w:p>
        </w:tc>
        <w:tc>
          <w:tcPr>
            <w:noWrap/>
          </w:tcPr>
          <w:p>
            <w:pPr>
              <w:pStyle w:val="Compact"/>
              <w:spacing w:before="20" w:after="20"/>
              <w:jc w:val="right"/>
            </w:pPr>
            <w:r>
              <w:rPr>
                <w:sz w:val="17"/>
              </w:rPr>
              <w:t xml:space="preserve">7.5</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32.5</w:t>
            </w:r>
          </w:p>
        </w:tc>
      </w:tr>
      <w:tr>
        <w:tc>
          <w:tcPr>
            <w:noWrap/>
          </w:tcPr>
          <w:p>
            <w:pPr>
              <w:pStyle w:val="Compact"/>
              <w:spacing w:before="20" w:after="20"/>
              <w:jc w:val="left"/>
            </w:pPr>
            <w:r>
              <w:rPr>
                <w:bCs/>
                <w:b/>
                <w:sz w:val="17"/>
              </w:rPr>
              <w:t xml:space="preserve">Total</w:t>
            </w:r>
          </w:p>
        </w:tc>
        <w:tc>
          <w:tcPr>
            <w:noWrap/>
          </w:tcPr>
          <w:p>
            <w:pPr>
              <w:pStyle w:val="Compact"/>
              <w:spacing w:before="20" w:after="20"/>
              <w:jc w:val="right"/>
            </w:pPr>
            <w:r>
              <w:rPr>
                <w:bCs/>
                <w:b/>
                <w:sz w:val="17"/>
              </w:rPr>
              <w:t xml:space="preserve">35</w:t>
            </w:r>
          </w:p>
        </w:tc>
        <w:tc>
          <w:tcPr>
            <w:noWrap/>
          </w:tcPr>
          <w:p>
            <w:pPr>
              <w:pStyle w:val="Compact"/>
              <w:spacing w:before="20" w:after="20"/>
              <w:jc w:val="right"/>
            </w:pPr>
            <w:r>
              <w:rPr>
                <w:bCs/>
                <w:b/>
                <w:sz w:val="17"/>
              </w:rPr>
              <w:t xml:space="preserve">270</w:t>
            </w:r>
          </w:p>
        </w:tc>
        <w:tc>
          <w:tcPr>
            <w:noWrap/>
          </w:tcPr>
          <w:p>
            <w:pPr>
              <w:pStyle w:val="Compact"/>
              <w:spacing w:before="20" w:after="20"/>
              <w:jc w:val="right"/>
            </w:pPr>
            <w:r>
              <w:rPr>
                <w:bCs/>
                <w:b/>
                <w:sz w:val="17"/>
              </w:rPr>
              <w:t xml:space="preserve">86.25</w:t>
            </w:r>
          </w:p>
        </w:tc>
        <w:tc>
          <w:tcPr>
            <w:noWrap/>
          </w:tcPr>
          <w:p>
            <w:pPr>
              <w:pStyle w:val="Compact"/>
              <w:spacing w:before="20" w:after="20"/>
              <w:jc w:val="right"/>
            </w:pPr>
            <w:r>
              <w:rPr>
                <w:bCs/>
                <w:b/>
                <w:sz w:val="17"/>
              </w:rPr>
              <w:t xml:space="preserve">32</w:t>
            </w:r>
          </w:p>
        </w:tc>
        <w:tc>
          <w:tcPr>
            <w:noWrap/>
          </w:tcPr>
          <w:p>
            <w:pPr>
              <w:pStyle w:val="Compact"/>
              <w:spacing w:before="20" w:after="20"/>
              <w:jc w:val="right"/>
            </w:pPr>
            <w:r>
              <w:rPr>
                <w:bCs/>
                <w:b/>
                <w:sz w:val="17"/>
              </w:rPr>
              <w:t xml:space="preserve">423.25</w:t>
            </w:r>
          </w:p>
        </w:tc>
      </w:tr>
      <w:tr>
        <w:tc>
          <w:tcPr>
            <w:noWrap/>
          </w:tcPr>
          <w:p>
            <w:pPr>
              <w:pStyle w:val="Compact"/>
              <w:spacing w:before="20" w:after="20"/>
              <w:jc w:val="left"/>
            </w:pPr>
            <w:r>
              <w:rPr>
                <w:bCs/>
                <w:b/>
                <w:sz w:val="17"/>
              </w:rPr>
              <w:t xml:space="preserve">Duration</w:t>
            </w:r>
          </w:p>
        </w:tc>
        <w:tc>
          <w:tcPr/>
          <w:p>
            <w:pPr>
              <w:pStyle w:val="Compact"/>
              <w:spacing w:before="20" w:after="20"/>
              <w:jc w:val="right"/>
            </w:pPr>
            <w:r>
              <w:rPr>
                <w:sz w:val="17"/>
              </w:rPr>
              <w:t xml:space="preserve">2 weeks</w:t>
            </w:r>
          </w:p>
        </w:tc>
        <w:tc>
          <w:tcPr/>
          <w:p>
            <w:pPr>
              <w:pStyle w:val="Compact"/>
              <w:spacing w:before="20" w:after="20"/>
              <w:jc w:val="right"/>
            </w:pPr>
            <w:r>
              <w:rPr>
                <w:sz w:val="17"/>
              </w:rPr>
              <w:t xml:space="preserve">8 weeks</w:t>
            </w:r>
          </w:p>
        </w:tc>
        <w:tc>
          <w:tcPr/>
          <w:p>
            <w:pPr>
              <w:pStyle w:val="Compact"/>
              <w:spacing w:before="20" w:after="20"/>
              <w:jc w:val="right"/>
            </w:pPr>
            <w:r>
              <w:rPr>
                <w:sz w:val="17"/>
              </w:rPr>
              <w:t xml:space="preserve">3 weeks</w:t>
            </w:r>
          </w:p>
        </w:tc>
        <w:tc>
          <w:tcPr/>
          <w:p>
            <w:pPr>
              <w:pStyle w:val="Compact"/>
              <w:spacing w:before="20" w:after="20"/>
              <w:jc w:val="right"/>
            </w:pPr>
            <w:r>
              <w:rPr>
                <w:sz w:val="17"/>
              </w:rPr>
              <w:t xml:space="preserve">4 weeks</w:t>
            </w:r>
          </w:p>
        </w:tc>
        <w:tc>
          <w:tcPr/>
          <w:p>
            <w:pPr>
              <w:pStyle w:val="Compact"/>
              <w:spacing w:before="20" w:after="20"/>
              <w:jc w:val="right"/>
            </w:pPr>
            <w:r>
              <w:rPr>
                <w:sz w:val="17"/>
              </w:rPr>
              <w:t xml:space="preserve">17 weeks</w:t>
            </w:r>
          </w:p>
        </w:tc>
      </w:tr>
    </w:tbl>
    <w:p>
      <w:pPr>
        <w:pStyle w:val="BodyText"/>
      </w:pPr>
      <w:r>
        <w:t xml:space="preserve">The MVP team is small because the platform already exists. Effort goes to integration, data onboarding, configuration, hardening and the pilot, not to building the console, the customer app or the business logic.</w:t>
      </w:r>
    </w:p>
    <w:bookmarkEnd w:id="25"/>
    <w:bookmarkStart w:id="26" w:name="X1259401e879dbf7b7c2acd67277ceccb8cc2a12"/>
    <w:p>
      <w:pPr>
        <w:pStyle w:val="Heading3"/>
      </w:pPr>
      <w:r>
        <w:t xml:space="preserve">3.2 Phase 2 (Scale) and Phase 3 (Run)</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Phase</w:t>
            </w:r>
          </w:p>
        </w:tc>
        <w:tc>
          <w:tcPr>
            <w:shd w:val="clear" w:color="auto" w:fill="213368"/>
          </w:tcPr>
          <w:p>
            <w:pPr>
              <w:pStyle w:val="Compact"/>
              <w:spacing w:before="20" w:after="20"/>
              <w:jc w:val="left"/>
            </w:pPr>
            <w:r>
              <w:rPr>
                <w:b/>
                <w:color w:val="FFFFFF"/>
                <w:sz w:val="18"/>
              </w:rPr>
              <w:t xml:space="preserve">Basis</w:t>
            </w:r>
          </w:p>
        </w:tc>
      </w:tr>
      <w:tr>
        <w:tc>
          <w:tcPr/>
          <w:p>
            <w:pPr>
              <w:pStyle w:val="Compact"/>
              <w:spacing w:before="20" w:after="20"/>
              <w:jc w:val="left"/>
            </w:pPr>
            <w:r>
              <w:rPr>
                <w:sz w:val="18"/>
              </w:rPr>
              <w:t xml:space="preserve">Phase 2 Scale</w:t>
            </w:r>
          </w:p>
        </w:tc>
        <w:tc>
          <w:tcPr/>
          <w:p>
            <w:pPr>
              <w:pStyle w:val="Compact"/>
              <w:spacing w:before="20" w:after="20"/>
              <w:jc w:val="left"/>
            </w:pPr>
            <w:r>
              <w:rPr>
                <w:sz w:val="18"/>
              </w:rPr>
              <w:t xml:space="preserve">About 4.5 FTE for about 26 weeks; capped at 590 person-days</w:t>
            </w:r>
          </w:p>
        </w:tc>
      </w:tr>
      <w:tr>
        <w:tc>
          <w:tcPr/>
          <w:p>
            <w:pPr>
              <w:pStyle w:val="Compact"/>
              <w:spacing w:before="20" w:after="20"/>
              <w:jc w:val="left"/>
            </w:pPr>
            <w:r>
              <w:rPr>
                <w:sz w:val="18"/>
              </w:rPr>
              <w:t xml:space="preserve">Phase 3 Run</w:t>
            </w:r>
          </w:p>
        </w:tc>
        <w:tc>
          <w:tcPr/>
          <w:p>
            <w:pPr>
              <w:pStyle w:val="Compact"/>
              <w:spacing w:before="20" w:after="20"/>
              <w:jc w:val="left"/>
            </w:pPr>
            <w:r>
              <w:rPr>
                <w:sz w:val="18"/>
              </w:rPr>
              <w:t xml:space="preserve">Managed service at a fixed monthly fee (§4.3), including 40 hours of minor enhancements a month; larger changes are drawn from the enhancement pool at the rate card</w:t>
            </w:r>
          </w:p>
        </w:tc>
      </w:tr>
    </w:tbl>
    <w:bookmarkEnd w:id="26"/>
    <w:bookmarkStart w:id="27" w:name="X9d1de0f27bae627ca9d5efec84c2086e158ddf4"/>
    <w:p>
      <w:pPr>
        <w:pStyle w:val="Heading3"/>
      </w:pPr>
      <w:r>
        <w:t xml:space="preserve">3.3 Client-side commitments (not priced)</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TASCO / VETC role</w:t>
            </w:r>
          </w:p>
        </w:tc>
        <w:tc>
          <w:tcPr>
            <w:shd w:val="clear" w:color="auto" w:fill="213368"/>
          </w:tcPr>
          <w:p>
            <w:pPr>
              <w:pStyle w:val="Compact"/>
              <w:spacing w:before="20" w:after="20"/>
              <w:jc w:val="left"/>
            </w:pPr>
            <w:r>
              <w:rPr>
                <w:b/>
                <w:color w:val="FFFFFF"/>
                <w:sz w:val="18"/>
              </w:rPr>
              <w:t xml:space="preserve">Commitment</w:t>
            </w:r>
          </w:p>
        </w:tc>
      </w:tr>
      <w:tr>
        <w:tc>
          <w:tcPr/>
          <w:p>
            <w:pPr>
              <w:pStyle w:val="Compact"/>
              <w:spacing w:before="20" w:after="20"/>
              <w:jc w:val="left"/>
            </w:pPr>
            <w:r>
              <w:rPr>
                <w:sz w:val="18"/>
              </w:rPr>
              <w:t xml:space="preserve">TASCO product owner</w:t>
            </w:r>
          </w:p>
        </w:tc>
        <w:tc>
          <w:tcPr/>
          <w:p>
            <w:pPr>
              <w:pStyle w:val="Compact"/>
              <w:spacing w:before="20" w:after="20"/>
              <w:jc w:val="left"/>
            </w:pPr>
            <w:r>
              <w:rPr>
                <w:sz w:val="18"/>
              </w:rPr>
              <w:t xml:space="preserve">About 0.5 FTE in Phases 0–2</w:t>
            </w:r>
          </w:p>
        </w:tc>
      </w:tr>
      <w:tr>
        <w:tc>
          <w:tcPr/>
          <w:p>
            <w:pPr>
              <w:pStyle w:val="Compact"/>
              <w:spacing w:before="20" w:after="20"/>
              <w:jc w:val="left"/>
            </w:pPr>
            <w:r>
              <w:rPr>
                <w:sz w:val="18"/>
              </w:rPr>
              <w:t xml:space="preserve">TASCO core system lead</w:t>
            </w:r>
          </w:p>
        </w:tc>
        <w:tc>
          <w:tcPr/>
          <w:p>
            <w:pPr>
              <w:pStyle w:val="Compact"/>
              <w:spacing w:before="20" w:after="20"/>
              <w:jc w:val="left"/>
            </w:pPr>
            <w:r>
              <w:rPr>
                <w:sz w:val="18"/>
              </w:rPr>
              <w:t xml:space="preserve">Interface specifications, sandbox, support during integration testing</w:t>
            </w:r>
          </w:p>
        </w:tc>
      </w:tr>
      <w:tr>
        <w:tc>
          <w:tcPr/>
          <w:p>
            <w:pPr>
              <w:pStyle w:val="Compact"/>
              <w:spacing w:before="20" w:after="20"/>
              <w:jc w:val="left"/>
            </w:pPr>
            <w:r>
              <w:rPr>
                <w:sz w:val="18"/>
              </w:rPr>
              <w:t xml:space="preserve">VETC data and integration lead</w:t>
            </w:r>
          </w:p>
        </w:tc>
        <w:tc>
          <w:tcPr/>
          <w:p>
            <w:pPr>
              <w:pStyle w:val="Compact"/>
              <w:spacing w:before="20" w:after="20"/>
              <w:jc w:val="left"/>
            </w:pPr>
            <w:r>
              <w:rPr>
                <w:sz w:val="18"/>
              </w:rPr>
              <w:t xml:space="preserve">About 0.5 FTE in Phases 0–1</w:t>
            </w:r>
          </w:p>
        </w:tc>
      </w:tr>
      <w:tr>
        <w:tc>
          <w:tcPr/>
          <w:p>
            <w:pPr>
              <w:pStyle w:val="Compact"/>
              <w:spacing w:before="20" w:after="20"/>
              <w:jc w:val="left"/>
            </w:pPr>
            <w:r>
              <w:rPr>
                <w:sz w:val="18"/>
              </w:rPr>
              <w:t xml:space="preserve">Underwriting, finance and legal reviewers</w:t>
            </w:r>
          </w:p>
        </w:tc>
        <w:tc>
          <w:tcPr/>
          <w:p>
            <w:pPr>
              <w:pStyle w:val="Compact"/>
              <w:spacing w:before="20" w:after="20"/>
              <w:jc w:val="left"/>
            </w:pPr>
            <w:r>
              <w:rPr>
                <w:sz w:val="18"/>
              </w:rPr>
              <w:t xml:space="preserve">Sign-off on tariffs, commission caps, wording, consent and PDP within 5 business days</w:t>
            </w:r>
          </w:p>
        </w:tc>
      </w:tr>
      <w:tr>
        <w:tc>
          <w:tcPr/>
          <w:p>
            <w:pPr>
              <w:pStyle w:val="Compact"/>
              <w:spacing w:before="20" w:after="20"/>
              <w:jc w:val="left"/>
            </w:pPr>
            <w:r>
              <w:rPr>
                <w:sz w:val="18"/>
              </w:rPr>
              <w:t xml:space="preserve">Telesales team lead and agents</w:t>
            </w:r>
          </w:p>
        </w:tc>
        <w:tc>
          <w:tcPr/>
          <w:p>
            <w:pPr>
              <w:pStyle w:val="Compact"/>
              <w:spacing w:before="20" w:after="20"/>
              <w:jc w:val="left"/>
            </w:pPr>
            <w:r>
              <w:rPr>
                <w:sz w:val="18"/>
              </w:rPr>
              <w:t xml:space="preserve">UAT and pilot participation</w:t>
            </w:r>
          </w:p>
        </w:tc>
      </w:tr>
      <w:tr>
        <w:tc>
          <w:tcPr/>
          <w:p>
            <w:pPr>
              <w:pStyle w:val="Compact"/>
              <w:spacing w:before="20" w:after="20"/>
              <w:jc w:val="left"/>
            </w:pPr>
            <w:r>
              <w:rPr>
                <w:sz w:val="18"/>
              </w:rPr>
              <w:t xml:space="preserve">IT security</w:t>
            </w:r>
          </w:p>
        </w:tc>
        <w:tc>
          <w:tcPr/>
          <w:p>
            <w:pPr>
              <w:pStyle w:val="Compact"/>
              <w:spacing w:before="20" w:after="20"/>
              <w:jc w:val="left"/>
            </w:pPr>
            <w:r>
              <w:rPr>
                <w:sz w:val="18"/>
              </w:rPr>
              <w:t xml:space="preserve">Security requirements, access approvals, penetration-test scope</w:t>
            </w:r>
          </w:p>
        </w:tc>
      </w:tr>
    </w:tbl>
    <w:p>
      <w:r>
        <w:pict>
          <v:rect style="width:0;height:1.5pt" o:hralign="center" o:hrstd="t" o:hr="t"/>
        </w:pict>
      </w:r>
    </w:p>
    <w:bookmarkEnd w:id="27"/>
    <w:bookmarkEnd w:id="28"/>
    <w:bookmarkStart w:id="34" w:name="Xa02246773291dcb00d6e433a45d377a85a8a26f"/>
    <w:p>
      <w:pPr>
        <w:pStyle w:val="Heading2"/>
      </w:pPr>
      <w:r>
        <w:t xml:space="preserve">4. Commercial models and prices</w:t>
      </w:r>
    </w:p>
    <w:bookmarkStart w:id="29" w:name="Xeab3438d42e1c50005a2d5858a61818849d2483"/>
    <w:p>
      <w:pPr>
        <w:pStyle w:val="Heading3"/>
      </w:pPr>
      <w:r>
        <w:t xml:space="preserve">4.1 MVP price build-up</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Item</w:t>
            </w:r>
          </w:p>
        </w:tc>
        <w:tc>
          <w:tcPr>
            <w:shd w:val="clear" w:color="auto" w:fill="213368"/>
          </w:tcPr>
          <w:p>
            <w:pPr>
              <w:pStyle w:val="Compact"/>
              <w:spacing w:before="20" w:after="20"/>
              <w:jc w:val="right"/>
            </w:pPr>
            <w:r>
              <w:rPr>
                <w:b/>
                <w:color w:val="FFFFFF"/>
                <w:sz w:val="18"/>
              </w:rPr>
              <w:t xml:space="preserve">USD</w:t>
            </w:r>
          </w:p>
        </w:tc>
      </w:tr>
      <w:tr>
        <w:tc>
          <w:tcPr/>
          <w:p>
            <w:pPr>
              <w:pStyle w:val="Compact"/>
              <w:spacing w:before="20" w:after="20"/>
              <w:jc w:val="left"/>
            </w:pPr>
            <w:r>
              <w:rPr>
                <w:sz w:val="18"/>
              </w:rPr>
              <w:t xml:space="preserve">Delivery effort at the standard rate card (423.25 person-days, §3.1 and §4.4)</w:t>
            </w:r>
          </w:p>
        </w:tc>
        <w:tc>
          <w:tcPr/>
          <w:p>
            <w:pPr>
              <w:pStyle w:val="Compact"/>
              <w:spacing w:before="20" w:after="20"/>
              <w:jc w:val="right"/>
            </w:pPr>
            <w:r>
              <w:rPr>
                <w:sz w:val="18"/>
              </w:rPr>
              <w:t xml:space="preserve">107,485</w:t>
            </w:r>
          </w:p>
        </w:tc>
      </w:tr>
      <w:tr>
        <w:tc>
          <w:tcPr/>
          <w:p>
            <w:pPr>
              <w:pStyle w:val="Compact"/>
              <w:spacing w:before="20" w:after="20"/>
              <w:jc w:val="left"/>
            </w:pPr>
            <w:r>
              <w:rPr>
                <w:sz w:val="18"/>
              </w:rPr>
              <w:t xml:space="preserve">Accelerator credit for reuse of the existing platform</w:t>
            </w:r>
          </w:p>
        </w:tc>
        <w:tc>
          <w:tcPr/>
          <w:p>
            <w:pPr>
              <w:pStyle w:val="Compact"/>
              <w:spacing w:before="20" w:after="20"/>
              <w:jc w:val="right"/>
            </w:pPr>
            <w:r>
              <w:rPr>
                <w:sz w:val="18"/>
              </w:rPr>
              <w:t xml:space="preserve">(12,685)</w:t>
            </w:r>
          </w:p>
        </w:tc>
      </w:tr>
      <w:tr>
        <w:tc>
          <w:tcPr/>
          <w:p>
            <w:pPr>
              <w:pStyle w:val="Compact"/>
              <w:spacing w:before="20" w:after="20"/>
              <w:jc w:val="left"/>
            </w:pPr>
            <w:r>
              <w:rPr>
                <w:bCs/>
                <w:b/>
                <w:sz w:val="18"/>
              </w:rPr>
              <w:t xml:space="preserve">MVP fixed price (Option A)</w:t>
            </w:r>
          </w:p>
        </w:tc>
        <w:tc>
          <w:tcPr/>
          <w:p>
            <w:pPr>
              <w:pStyle w:val="Compact"/>
              <w:spacing w:before="20" w:after="20"/>
              <w:jc w:val="right"/>
            </w:pPr>
            <w:r>
              <w:rPr>
                <w:bCs/>
                <w:b/>
                <w:sz w:val="18"/>
              </w:rPr>
              <w:t xml:space="preserve">94,800</w:t>
            </w:r>
          </w:p>
        </w:tc>
      </w:tr>
      <w:tr>
        <w:tc>
          <w:tcPr/>
          <w:p>
            <w:pPr>
              <w:pStyle w:val="Compact"/>
              <w:spacing w:before="20" w:after="20"/>
              <w:jc w:val="left"/>
            </w:pPr>
            <w:r>
              <w:rPr>
                <w:sz w:val="18"/>
              </w:rPr>
              <w:t xml:space="preserve">Perpetual licence for TASCO's use, including source code</w:t>
            </w:r>
          </w:p>
        </w:tc>
        <w:tc>
          <w:tcPr/>
          <w:p>
            <w:pPr>
              <w:pStyle w:val="Compact"/>
              <w:spacing w:before="20" w:after="20"/>
              <w:jc w:val="right"/>
            </w:pPr>
            <w:r>
              <w:rPr>
                <w:sz w:val="18"/>
              </w:rPr>
              <w:t xml:space="preserve">Included</w:t>
            </w:r>
          </w:p>
        </w:tc>
      </w:tr>
      <w:tr>
        <w:tc>
          <w:tcPr/>
          <w:p>
            <w:pPr>
              <w:pStyle w:val="Compact"/>
              <w:spacing w:before="20" w:after="20"/>
              <w:jc w:val="left"/>
            </w:pPr>
            <w:r>
              <w:rPr>
                <w:sz w:val="18"/>
              </w:rPr>
              <w:t xml:space="preserve">Up to three on-site visits to Hà Nội</w:t>
            </w:r>
          </w:p>
        </w:tc>
        <w:tc>
          <w:tcPr/>
          <w:p>
            <w:pPr>
              <w:pStyle w:val="Compact"/>
              <w:spacing w:before="20" w:after="20"/>
              <w:jc w:val="right"/>
            </w:pPr>
            <w:r>
              <w:rPr>
                <w:sz w:val="18"/>
              </w:rPr>
              <w:t xml:space="preserve">Included</w:t>
            </w:r>
          </w:p>
        </w:tc>
      </w:tr>
      <w:tr>
        <w:tc>
          <w:tcPr/>
          <w:p>
            <w:pPr>
              <w:pStyle w:val="Compact"/>
              <w:spacing w:before="20" w:after="20"/>
              <w:jc w:val="left"/>
            </w:pPr>
            <w:r>
              <w:rPr>
                <w:sz w:val="18"/>
              </w:rPr>
              <w:t xml:space="preserve">90-day warranty from go-live</w:t>
            </w:r>
          </w:p>
        </w:tc>
        <w:tc>
          <w:tcPr/>
          <w:p>
            <w:pPr>
              <w:pStyle w:val="Compact"/>
              <w:spacing w:before="20" w:after="20"/>
              <w:jc w:val="right"/>
            </w:pPr>
            <w:r>
              <w:rPr>
                <w:sz w:val="18"/>
              </w:rPr>
              <w:t xml:space="preserve">Included</w:t>
            </w:r>
          </w:p>
        </w:tc>
      </w:tr>
      <w:tr>
        <w:tc>
          <w:tcPr/>
          <w:p>
            <w:pPr>
              <w:pStyle w:val="Compact"/>
              <w:spacing w:before="20" w:after="20"/>
              <w:jc w:val="left"/>
            </w:pPr>
            <w:r>
              <w:rPr>
                <w:sz w:val="18"/>
              </w:rPr>
              <w:t xml:space="preserve">Change reserve held by TASCO (used only with TASCO approval)</w:t>
            </w:r>
          </w:p>
        </w:tc>
        <w:tc>
          <w:tcPr/>
          <w:p>
            <w:pPr>
              <w:pStyle w:val="Compact"/>
              <w:spacing w:before="20" w:after="20"/>
              <w:jc w:val="right"/>
            </w:pPr>
            <w:r>
              <w:rPr>
                <w:sz w:val="18"/>
              </w:rPr>
              <w:t xml:space="preserve">5,200</w:t>
            </w:r>
          </w:p>
        </w:tc>
      </w:tr>
      <w:tr>
        <w:tc>
          <w:tcPr/>
          <w:p>
            <w:pPr>
              <w:pStyle w:val="Compact"/>
              <w:spacing w:before="20" w:after="20"/>
              <w:jc w:val="left"/>
            </w:pPr>
            <w:r>
              <w:rPr>
                <w:bCs/>
                <w:b/>
                <w:sz w:val="18"/>
              </w:rPr>
              <w:t xml:space="preserve">Total within the MVP budget</w:t>
            </w:r>
          </w:p>
        </w:tc>
        <w:tc>
          <w:tcPr/>
          <w:p>
            <w:pPr>
              <w:pStyle w:val="Compact"/>
              <w:spacing w:before="20" w:after="20"/>
              <w:jc w:val="right"/>
            </w:pPr>
            <w:r>
              <w:rPr>
                <w:bCs/>
                <w:b/>
                <w:sz w:val="18"/>
              </w:rPr>
              <w:t xml:space="preserve">100,000</w:t>
            </w:r>
          </w:p>
        </w:tc>
      </w:tr>
    </w:tbl>
    <w:bookmarkEnd w:id="29"/>
    <w:bookmarkStart w:id="30" w:name="X130223f67b55abcffb3cf88c043c7620c6847fc"/>
    <w:p>
      <w:pPr>
        <w:pStyle w:val="Heading3"/>
      </w:pPr>
      <w:r>
        <w:t xml:space="preserve">4.2 Option B: shared outcome</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Component</w:t>
            </w:r>
          </w:p>
        </w:tc>
        <w:tc>
          <w:tcPr>
            <w:shd w:val="clear" w:color="auto" w:fill="213368"/>
          </w:tcPr>
          <w:p>
            <w:pPr>
              <w:pStyle w:val="Compact"/>
              <w:spacing w:before="20" w:after="20"/>
              <w:jc w:val="left"/>
            </w:pPr>
            <w:r>
              <w:rPr>
                <w:b/>
                <w:color w:val="FFFFFF"/>
                <w:sz w:val="18"/>
              </w:rPr>
              <w:t xml:space="preserve">Basis</w:t>
            </w:r>
          </w:p>
        </w:tc>
        <w:tc>
          <w:tcPr>
            <w:shd w:val="clear" w:color="auto" w:fill="213368"/>
          </w:tcPr>
          <w:p>
            <w:pPr>
              <w:pStyle w:val="Compact"/>
              <w:spacing w:before="20" w:after="20"/>
              <w:jc w:val="left"/>
            </w:pPr>
            <w:r>
              <w:rPr>
                <w:b/>
                <w:color w:val="FFFFFF"/>
                <w:sz w:val="18"/>
              </w:rPr>
              <w:t xml:space="preserve">Price</w:t>
            </w:r>
          </w:p>
        </w:tc>
      </w:tr>
      <w:tr>
        <w:tc>
          <w:tcPr/>
          <w:p>
            <w:pPr>
              <w:pStyle w:val="Compact"/>
              <w:spacing w:before="20" w:after="20"/>
              <w:jc w:val="left"/>
            </w:pPr>
            <w:r>
              <w:rPr>
                <w:sz w:val="18"/>
              </w:rPr>
              <w:t xml:space="preserve">MVP fixed price</w:t>
            </w:r>
          </w:p>
        </w:tc>
        <w:tc>
          <w:tcPr/>
          <w:p>
            <w:pPr>
              <w:pStyle w:val="Compact"/>
              <w:spacing w:before="20" w:after="20"/>
              <w:jc w:val="left"/>
            </w:pPr>
            <w:r>
              <w:rPr>
                <w:sz w:val="18"/>
              </w:rPr>
              <w:t xml:space="preserve">Same scope and timeline as Option A</w:t>
            </w:r>
          </w:p>
        </w:tc>
        <w:tc>
          <w:tcPr/>
          <w:p>
            <w:pPr>
              <w:pStyle w:val="Compact"/>
              <w:spacing w:before="20" w:after="20"/>
              <w:jc w:val="left"/>
            </w:pPr>
            <w:r>
              <w:rPr>
                <w:bCs/>
                <w:b/>
                <w:sz w:val="18"/>
              </w:rPr>
              <w:t xml:space="preserve">USD 74,800</w:t>
            </w:r>
          </w:p>
        </w:tc>
      </w:tr>
      <w:tr>
        <w:tc>
          <w:tcPr/>
          <w:p>
            <w:pPr>
              <w:pStyle w:val="Compact"/>
              <w:spacing w:before="20" w:after="20"/>
              <w:jc w:val="left"/>
            </w:pPr>
            <w:r>
              <w:rPr>
                <w:sz w:val="18"/>
              </w:rPr>
              <w:t xml:space="preserve">Technology service fee</w:t>
            </w:r>
          </w:p>
        </w:tc>
        <w:tc>
          <w:tcPr/>
          <w:p>
            <w:pPr>
              <w:pStyle w:val="Compact"/>
              <w:spacing w:before="20" w:after="20"/>
              <w:jc w:val="left"/>
            </w:pPr>
            <w:r>
              <w:rPr>
                <w:bCs/>
                <w:b/>
                <w:sz w:val="18"/>
              </w:rPr>
              <w:t xml:space="preserve">VND 10,000 per policy issued digitally</w:t>
            </w:r>
            <w:r>
              <w:rPr>
                <w:sz w:val="18"/>
              </w:rPr>
              <w:t xml:space="preserve"> </w:t>
            </w:r>
            <w:r>
              <w:rPr>
                <w:sz w:val="18"/>
              </w:rPr>
              <w:t xml:space="preserve">through the platform (own channels and partner API) for 12 months after go-live</w:t>
            </w:r>
          </w:p>
        </w:tc>
        <w:tc>
          <w:tcPr/>
          <w:p>
            <w:pPr>
              <w:pStyle w:val="Compact"/>
              <w:spacing w:before="20" w:after="20"/>
              <w:jc w:val="left"/>
            </w:pPr>
            <w:r>
              <w:rPr>
                <w:sz w:val="18"/>
              </w:rPr>
              <w:t xml:space="preserve">Capped at</w:t>
            </w:r>
            <w:r>
              <w:rPr>
                <w:sz w:val="18"/>
              </w:rPr>
              <w:t xml:space="preserve"> </w:t>
            </w:r>
            <w:r>
              <w:rPr>
                <w:bCs/>
                <w:b/>
                <w:sz w:val="18"/>
              </w:rPr>
              <w:t xml:space="preserve">USD 50,000</w:t>
            </w:r>
          </w:p>
        </w:tc>
      </w:tr>
      <w:tr>
        <w:tc>
          <w:tcPr/>
          <w:p>
            <w:pPr>
              <w:pStyle w:val="Compact"/>
              <w:spacing w:before="20" w:after="20"/>
              <w:jc w:val="left"/>
            </w:pPr>
            <w:r>
              <w:rPr>
                <w:sz w:val="18"/>
              </w:rPr>
              <w:t xml:space="preserve">Phases 2 and 3</w:t>
            </w:r>
          </w:p>
        </w:tc>
        <w:tc>
          <w:tcPr/>
          <w:p>
            <w:pPr>
              <w:pStyle w:val="Compact"/>
              <w:spacing w:before="20" w:after="20"/>
              <w:jc w:val="left"/>
            </w:pPr>
            <w:r>
              <w:rPr>
                <w:sz w:val="18"/>
              </w:rPr>
              <w:t xml:space="preserve">As Option A</w:t>
            </w:r>
          </w:p>
        </w:tc>
        <w:tc>
          <w:tcPr/>
          <w:p>
            <w:pPr>
              <w:pStyle w:val="Compact"/>
              <w:spacing w:before="20" w:after="20"/>
              <w:jc w:val="left"/>
            </w:pPr>
            <w:r>
              <w:rPr>
                <w:sz w:val="18"/>
              </w:rPr>
              <w:t xml:space="preserve">As Option A</w:t>
            </w:r>
          </w:p>
        </w:tc>
      </w:tr>
    </w:tbl>
    <w:p>
      <w:pPr>
        <w:pStyle w:val="BodyText"/>
      </w:pPr>
      <w:r>
        <w:rPr>
          <w:bCs/>
          <w:b/>
        </w:rPr>
        <w:t xml:space="preserve">Illustrative fee at pilot scale.</w:t>
      </w:r>
      <w:r>
        <w:t xml:space="preserve"> </w:t>
      </w:r>
      <w:r>
        <w:t xml:space="preserve">Option B costs TASCO more than Option A only if more than 52,000 policies are issued through the platform in the 12 months after go-live: USD 20,000 × VND 26,000 ÷ VND 10,000 = 52,000 policies. That is well above the expected pilot volume, so the option mainly suits a fast roll-out.</w:t>
      </w:r>
    </w:p>
    <w:p>
      <w:pPr>
        <w:pStyle w:val="BlockText"/>
      </w:pPr>
      <w:r>
        <w:rPr>
          <w:bCs/>
          <w:b/>
        </w:rPr>
        <w:t xml:space="preserve">Legal note (confirm with TASCO legal).</w:t>
      </w:r>
      <w:r>
        <w:t xml:space="preserve"> </w:t>
      </w:r>
      <w:r>
        <w:t xml:space="preserve">The fee must be structured as a</w:t>
      </w:r>
      <w:r>
        <w:t xml:space="preserve"> </w:t>
      </w:r>
      <w:r>
        <w:rPr>
          <w:bCs/>
          <w:b/>
        </w:rPr>
        <w:t xml:space="preserve">technology service fee per processed transaction</w:t>
      </w:r>
      <w:r>
        <w:t xml:space="preserve">, not as an insurance commission or brokerage fee. Under the Law on Insurance Business 08/2022/QH15, commission may be paid only to licensed intermediaries. The fee must not be passed on to customers or affect the premium in any way.</w:t>
      </w:r>
    </w:p>
    <w:bookmarkEnd w:id="30"/>
    <w:bookmarkStart w:id="31" w:name="X5e62b8eae5789e15721e1ea08f20edb1cb009fe"/>
    <w:p>
      <w:pPr>
        <w:pStyle w:val="Heading3"/>
      </w:pPr>
      <w:r>
        <w:t xml:space="preserve">4.3 After the MVP (optional)</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Service</w:t>
            </w:r>
          </w:p>
        </w:tc>
        <w:tc>
          <w:tcPr>
            <w:shd w:val="clear" w:color="auto" w:fill="213368"/>
          </w:tcPr>
          <w:p>
            <w:pPr>
              <w:pStyle w:val="Compact"/>
              <w:spacing w:before="20" w:after="20"/>
              <w:jc w:val="left"/>
            </w:pPr>
            <w:r>
              <w:rPr>
                <w:b/>
                <w:color w:val="FFFFFF"/>
                <w:sz w:val="18"/>
              </w:rPr>
              <w:t xml:space="preserve">Basis</w:t>
            </w:r>
          </w:p>
        </w:tc>
        <w:tc>
          <w:tcPr>
            <w:shd w:val="clear" w:color="auto" w:fill="213368"/>
          </w:tcPr>
          <w:p>
            <w:pPr>
              <w:pStyle w:val="Compact"/>
              <w:spacing w:before="20" w:after="20"/>
              <w:jc w:val="right"/>
            </w:pPr>
            <w:r>
              <w:rPr>
                <w:b/>
                <w:color w:val="FFFFFF"/>
                <w:sz w:val="18"/>
              </w:rPr>
              <w:t xml:space="preserve">Price (USD)</w:t>
            </w:r>
          </w:p>
        </w:tc>
      </w:tr>
      <w:tr>
        <w:tc>
          <w:tcPr/>
          <w:p>
            <w:pPr>
              <w:pStyle w:val="Compact"/>
              <w:spacing w:before="20" w:after="20"/>
              <w:jc w:val="left"/>
            </w:pPr>
            <w:r>
              <w:rPr>
                <w:sz w:val="18"/>
              </w:rPr>
              <w:t xml:space="preserve">Phase 2 Scale</w:t>
            </w:r>
          </w:p>
        </w:tc>
        <w:tc>
          <w:tcPr/>
          <w:p>
            <w:pPr>
              <w:pStyle w:val="Compact"/>
              <w:spacing w:before="20" w:after="20"/>
              <w:jc w:val="left"/>
            </w:pPr>
            <w:r>
              <w:rPr>
                <w:sz w:val="18"/>
              </w:rPr>
              <w:t xml:space="preserve">Time and materials, about six months, capped at 590 person-days</w:t>
            </w:r>
          </w:p>
        </w:tc>
        <w:tc>
          <w:tcPr/>
          <w:p>
            <w:pPr>
              <w:pStyle w:val="Compact"/>
              <w:spacing w:before="20" w:after="20"/>
              <w:jc w:val="right"/>
            </w:pPr>
            <w:r>
              <w:rPr>
                <w:sz w:val="18"/>
              </w:rPr>
              <w:t xml:space="preserve">Up to 147,500</w:t>
            </w:r>
          </w:p>
        </w:tc>
      </w:tr>
      <w:tr>
        <w:tc>
          <w:tcPr/>
          <w:p>
            <w:pPr>
              <w:pStyle w:val="Compact"/>
              <w:spacing w:before="20" w:after="20"/>
              <w:jc w:val="left"/>
            </w:pPr>
            <w:r>
              <w:rPr>
                <w:sz w:val="18"/>
              </w:rPr>
              <w:t xml:space="preserve">Phase 3 Managed service</w:t>
            </w:r>
          </w:p>
        </w:tc>
        <w:tc>
          <w:tcPr/>
          <w:p>
            <w:pPr>
              <w:pStyle w:val="Compact"/>
              <w:spacing w:before="20" w:after="20"/>
              <w:jc w:val="left"/>
            </w:pPr>
            <w:r>
              <w:rPr>
                <w:sz w:val="18"/>
              </w:rPr>
              <w:t xml:space="preserve">Monthly, 12-month initial term, includes 40 hours of minor enhancements a month</w:t>
            </w:r>
          </w:p>
        </w:tc>
        <w:tc>
          <w:tcPr/>
          <w:p>
            <w:pPr>
              <w:pStyle w:val="Compact"/>
              <w:spacing w:before="20" w:after="20"/>
              <w:jc w:val="right"/>
            </w:pPr>
            <w:r>
              <w:rPr>
                <w:sz w:val="18"/>
              </w:rPr>
              <w:t xml:space="preserve">6,900 per month</w:t>
            </w:r>
          </w:p>
        </w:tc>
      </w:tr>
      <w:tr>
        <w:tc>
          <w:tcPr/>
          <w:p>
            <w:pPr>
              <w:pStyle w:val="Compact"/>
              <w:spacing w:before="20" w:after="20"/>
              <w:jc w:val="left"/>
            </w:pPr>
            <w:r>
              <w:rPr>
                <w:sz w:val="18"/>
              </w:rPr>
              <w:t xml:space="preserve">Enhancement pool</w:t>
            </w:r>
          </w:p>
        </w:tc>
        <w:tc>
          <w:tcPr/>
          <w:p>
            <w:pPr>
              <w:pStyle w:val="Compact"/>
              <w:spacing w:before="20" w:after="20"/>
              <w:jc w:val="left"/>
            </w:pPr>
            <w:r>
              <w:rPr>
                <w:sz w:val="18"/>
              </w:rPr>
              <w:t xml:space="preserve">Drawn down at the rate card by work order</w:t>
            </w:r>
          </w:p>
        </w:tc>
        <w:tc>
          <w:tcPr/>
          <w:p>
            <w:pPr>
              <w:pStyle w:val="Compact"/>
              <w:spacing w:before="20" w:after="20"/>
              <w:jc w:val="right"/>
            </w:pPr>
            <w:r>
              <w:rPr>
                <w:sz w:val="18"/>
              </w:rPr>
              <w:t xml:space="preserve">48,000 per year (budgetary)</w:t>
            </w:r>
          </w:p>
        </w:tc>
      </w:tr>
    </w:tbl>
    <w:bookmarkEnd w:id="31"/>
    <w:bookmarkStart w:id="32" w:name="X85f0fbd6dc48792c1c9f27c09ae75314bb752fe"/>
    <w:p>
      <w:pPr>
        <w:pStyle w:val="Heading3"/>
      </w:pPr>
      <w:r>
        <w:t xml:space="preserve">4.4 Rate card</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Role</w:t>
            </w:r>
          </w:p>
        </w:tc>
        <w:tc>
          <w:tcPr>
            <w:shd w:val="clear" w:color="auto" w:fill="213368"/>
          </w:tcPr>
          <w:p>
            <w:pPr>
              <w:pStyle w:val="Compact"/>
              <w:spacing w:before="20" w:after="20"/>
              <w:jc w:val="right"/>
            </w:pPr>
            <w:r>
              <w:rPr>
                <w:b/>
                <w:color w:val="FFFFFF"/>
                <w:sz w:val="18"/>
              </w:rPr>
              <w:t xml:space="preserve">Daily rate (USD)</w:t>
            </w:r>
          </w:p>
        </w:tc>
      </w:tr>
      <w:tr>
        <w:tc>
          <w:tcPr/>
          <w:p>
            <w:pPr>
              <w:pStyle w:val="Compact"/>
              <w:spacing w:before="20" w:after="20"/>
              <w:jc w:val="left"/>
            </w:pPr>
            <w:r>
              <w:rPr>
                <w:sz w:val="18"/>
              </w:rPr>
              <w:t xml:space="preserve">Engagement manager</w:t>
            </w:r>
          </w:p>
        </w:tc>
        <w:tc>
          <w:tcPr>
            <w:noWrap/>
          </w:tcPr>
          <w:p>
            <w:pPr>
              <w:pStyle w:val="Compact"/>
              <w:spacing w:before="20" w:after="20"/>
              <w:jc w:val="right"/>
            </w:pPr>
            <w:r>
              <w:rPr>
                <w:sz w:val="18"/>
              </w:rPr>
              <w:t xml:space="preserve">380</w:t>
            </w:r>
          </w:p>
        </w:tc>
      </w:tr>
      <w:tr>
        <w:tc>
          <w:tcPr/>
          <w:p>
            <w:pPr>
              <w:pStyle w:val="Compact"/>
              <w:spacing w:before="20" w:after="20"/>
              <w:jc w:val="left"/>
            </w:pPr>
            <w:r>
              <w:rPr>
                <w:sz w:val="18"/>
              </w:rPr>
              <w:t xml:space="preserve">Solution architect</w:t>
            </w:r>
          </w:p>
        </w:tc>
        <w:tc>
          <w:tcPr>
            <w:noWrap/>
          </w:tcPr>
          <w:p>
            <w:pPr>
              <w:pStyle w:val="Compact"/>
              <w:spacing w:before="20" w:after="20"/>
              <w:jc w:val="right"/>
            </w:pPr>
            <w:r>
              <w:rPr>
                <w:sz w:val="18"/>
              </w:rPr>
              <w:t xml:space="preserve">360</w:t>
            </w:r>
          </w:p>
        </w:tc>
      </w:tr>
      <w:tr>
        <w:tc>
          <w:tcPr/>
          <w:p>
            <w:pPr>
              <w:pStyle w:val="Compact"/>
              <w:spacing w:before="20" w:after="20"/>
              <w:jc w:val="left"/>
            </w:pPr>
            <w:r>
              <w:rPr>
                <w:sz w:val="18"/>
              </w:rPr>
              <w:t xml:space="preserve">Business analyst and insurance SME</w:t>
            </w:r>
          </w:p>
        </w:tc>
        <w:tc>
          <w:tcPr>
            <w:noWrap/>
          </w:tcPr>
          <w:p>
            <w:pPr>
              <w:pStyle w:val="Compact"/>
              <w:spacing w:before="20" w:after="20"/>
              <w:jc w:val="right"/>
            </w:pPr>
            <w:r>
              <w:rPr>
                <w:sz w:val="18"/>
              </w:rPr>
              <w:t xml:space="preserve">260</w:t>
            </w:r>
          </w:p>
        </w:tc>
      </w:tr>
      <w:tr>
        <w:tc>
          <w:tcPr/>
          <w:p>
            <w:pPr>
              <w:pStyle w:val="Compact"/>
              <w:spacing w:before="20" w:after="20"/>
              <w:jc w:val="left"/>
            </w:pPr>
            <w:r>
              <w:rPr>
                <w:sz w:val="18"/>
              </w:rPr>
              <w:t xml:space="preserve">Senior engineer or DevSecOps engineer</w:t>
            </w:r>
          </w:p>
        </w:tc>
        <w:tc>
          <w:tcPr>
            <w:noWrap/>
          </w:tcPr>
          <w:p>
            <w:pPr>
              <w:pStyle w:val="Compact"/>
              <w:spacing w:before="20" w:after="20"/>
              <w:jc w:val="right"/>
            </w:pPr>
            <w:r>
              <w:rPr>
                <w:sz w:val="18"/>
              </w:rPr>
              <w:t xml:space="preserve">260</w:t>
            </w:r>
          </w:p>
        </w:tc>
      </w:tr>
      <w:tr>
        <w:tc>
          <w:tcPr/>
          <w:p>
            <w:pPr>
              <w:pStyle w:val="Compact"/>
              <w:spacing w:before="20" w:after="20"/>
              <w:jc w:val="left"/>
            </w:pPr>
            <w:r>
              <w:rPr>
                <w:sz w:val="18"/>
              </w:rPr>
              <w:t xml:space="preserve">UX and conversation designer</w:t>
            </w:r>
          </w:p>
        </w:tc>
        <w:tc>
          <w:tcPr>
            <w:noWrap/>
          </w:tcPr>
          <w:p>
            <w:pPr>
              <w:pStyle w:val="Compact"/>
              <w:spacing w:before="20" w:after="20"/>
              <w:jc w:val="right"/>
            </w:pPr>
            <w:r>
              <w:rPr>
                <w:sz w:val="18"/>
              </w:rPr>
              <w:t xml:space="preserve">230</w:t>
            </w:r>
          </w:p>
        </w:tc>
      </w:tr>
      <w:tr>
        <w:tc>
          <w:tcPr>
            <w:noWrap/>
          </w:tcPr>
          <w:p>
            <w:pPr>
              <w:pStyle w:val="Compact"/>
              <w:spacing w:before="20" w:after="20"/>
              <w:jc w:val="left"/>
            </w:pPr>
            <w:r>
              <w:rPr>
                <w:sz w:val="18"/>
              </w:rPr>
              <w:t xml:space="preserve">Engineer</w:t>
            </w:r>
          </w:p>
        </w:tc>
        <w:tc>
          <w:tcPr>
            <w:noWrap/>
          </w:tcPr>
          <w:p>
            <w:pPr>
              <w:pStyle w:val="Compact"/>
              <w:spacing w:before="20" w:after="20"/>
              <w:jc w:val="right"/>
            </w:pPr>
            <w:r>
              <w:rPr>
                <w:sz w:val="18"/>
              </w:rPr>
              <w:t xml:space="preserve">210</w:t>
            </w:r>
          </w:p>
        </w:tc>
      </w:tr>
      <w:tr>
        <w:tc>
          <w:tcPr/>
          <w:p>
            <w:pPr>
              <w:pStyle w:val="Compact"/>
              <w:spacing w:before="20" w:after="20"/>
              <w:jc w:val="left"/>
            </w:pPr>
            <w:r>
              <w:rPr>
                <w:sz w:val="18"/>
              </w:rPr>
              <w:t xml:space="preserve">QA engineer</w:t>
            </w:r>
          </w:p>
        </w:tc>
        <w:tc>
          <w:tcPr>
            <w:noWrap/>
          </w:tcPr>
          <w:p>
            <w:pPr>
              <w:pStyle w:val="Compact"/>
              <w:spacing w:before="20" w:after="20"/>
              <w:jc w:val="right"/>
            </w:pPr>
            <w:r>
              <w:rPr>
                <w:sz w:val="18"/>
              </w:rPr>
              <w:t xml:space="preserve">190</w:t>
            </w:r>
          </w:p>
        </w:tc>
      </w:tr>
    </w:tbl>
    <w:bookmarkEnd w:id="32"/>
    <w:bookmarkStart w:id="33" w:name="X7ed938fc34e030e97746db9283405d8df69439c"/>
    <w:p>
      <w:pPr>
        <w:pStyle w:val="Heading3"/>
      </w:pPr>
      <w:r>
        <w:t xml:space="preserve">4.5 Option comparison</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Criterion</w:t>
            </w:r>
          </w:p>
        </w:tc>
        <w:tc>
          <w:tcPr>
            <w:shd w:val="clear" w:color="auto" w:fill="213368"/>
          </w:tcPr>
          <w:p>
            <w:pPr>
              <w:pStyle w:val="Compact"/>
              <w:spacing w:before="20" w:after="20"/>
              <w:jc w:val="left"/>
            </w:pPr>
            <w:r>
              <w:rPr>
                <w:b/>
                <w:color w:val="FFFFFF"/>
                <w:sz w:val="18"/>
              </w:rPr>
              <w:t xml:space="preserve">Option A</w:t>
            </w:r>
          </w:p>
        </w:tc>
        <w:tc>
          <w:tcPr>
            <w:shd w:val="clear" w:color="auto" w:fill="213368"/>
          </w:tcPr>
          <w:p>
            <w:pPr>
              <w:pStyle w:val="Compact"/>
              <w:spacing w:before="20" w:after="20"/>
              <w:jc w:val="left"/>
            </w:pPr>
            <w:r>
              <w:rPr>
                <w:b/>
                <w:color w:val="FFFFFF"/>
                <w:sz w:val="18"/>
              </w:rPr>
              <w:t xml:space="preserve">Option B</w:t>
            </w:r>
          </w:p>
        </w:tc>
      </w:tr>
      <w:tr>
        <w:tc>
          <w:tcPr/>
          <w:p>
            <w:pPr>
              <w:pStyle w:val="Compact"/>
              <w:spacing w:before="20" w:after="20"/>
              <w:jc w:val="left"/>
            </w:pPr>
            <w:r>
              <w:rPr>
                <w:sz w:val="18"/>
              </w:rPr>
              <w:t xml:space="preserve">Budget certainty for TASCO</w:t>
            </w:r>
          </w:p>
        </w:tc>
        <w:tc>
          <w:tcPr/>
          <w:p>
            <w:pPr>
              <w:pStyle w:val="Compact"/>
              <w:spacing w:before="20" w:after="20"/>
              <w:jc w:val="left"/>
            </w:pPr>
            <w:r>
              <w:rPr>
                <w:sz w:val="18"/>
              </w:rPr>
              <w:t xml:space="preserve">High: fixed price</w:t>
            </w:r>
          </w:p>
        </w:tc>
        <w:tc>
          <w:tcPr/>
          <w:p>
            <w:pPr>
              <w:pStyle w:val="Compact"/>
              <w:spacing w:before="20" w:after="20"/>
              <w:jc w:val="left"/>
            </w:pPr>
            <w:r>
              <w:rPr>
                <w:sz w:val="18"/>
              </w:rPr>
              <w:t xml:space="preserve">Medium: fee varies with volume, capped</w:t>
            </w:r>
          </w:p>
        </w:tc>
      </w:tr>
      <w:tr>
        <w:tc>
          <w:tcPr/>
          <w:p>
            <w:pPr>
              <w:pStyle w:val="Compact"/>
              <w:spacing w:before="20" w:after="20"/>
              <w:jc w:val="left"/>
            </w:pPr>
            <w:r>
              <w:rPr>
                <w:sz w:val="18"/>
              </w:rPr>
              <w:t xml:space="preserve">Shared risk on outcomes</w:t>
            </w:r>
          </w:p>
        </w:tc>
        <w:tc>
          <w:tcPr/>
          <w:p>
            <w:pPr>
              <w:pStyle w:val="Compact"/>
              <w:spacing w:before="20" w:after="20"/>
              <w:jc w:val="left"/>
            </w:pPr>
            <w:r>
              <w:rPr>
                <w:sz w:val="18"/>
              </w:rPr>
              <w:t xml:space="preserve">Low</w:t>
            </w:r>
          </w:p>
        </w:tc>
        <w:tc>
          <w:tcPr/>
          <w:p>
            <w:pPr>
              <w:pStyle w:val="Compact"/>
              <w:spacing w:before="20" w:after="20"/>
              <w:jc w:val="left"/>
            </w:pPr>
            <w:r>
              <w:rPr>
                <w:sz w:val="18"/>
              </w:rPr>
              <w:t xml:space="preserve">Higher</w:t>
            </w:r>
          </w:p>
        </w:tc>
      </w:tr>
      <w:tr>
        <w:tc>
          <w:tcPr/>
          <w:p>
            <w:pPr>
              <w:pStyle w:val="Compact"/>
              <w:spacing w:before="20" w:after="20"/>
              <w:jc w:val="left"/>
            </w:pPr>
            <w:r>
              <w:rPr>
                <w:sz w:val="18"/>
              </w:rPr>
              <w:t xml:space="preserve">Upfront cost</w:t>
            </w:r>
          </w:p>
        </w:tc>
        <w:tc>
          <w:tcPr/>
          <w:p>
            <w:pPr>
              <w:pStyle w:val="Compact"/>
              <w:spacing w:before="20" w:after="20"/>
              <w:jc w:val="left"/>
            </w:pPr>
            <w:r>
              <w:rPr>
                <w:sz w:val="18"/>
              </w:rPr>
              <w:t xml:space="preserve">USD 94,800</w:t>
            </w:r>
          </w:p>
        </w:tc>
        <w:tc>
          <w:tcPr/>
          <w:p>
            <w:pPr>
              <w:pStyle w:val="Compact"/>
              <w:spacing w:before="20" w:after="20"/>
              <w:jc w:val="left"/>
            </w:pPr>
            <w:r>
              <w:rPr>
                <w:sz w:val="18"/>
              </w:rPr>
              <w:t xml:space="preserve">USD 74,800</w:t>
            </w:r>
          </w:p>
        </w:tc>
      </w:tr>
      <w:tr>
        <w:tc>
          <w:tcPr>
            <w:noWrap/>
          </w:tcPr>
          <w:p>
            <w:pPr>
              <w:pStyle w:val="Compact"/>
              <w:spacing w:before="20" w:after="20"/>
              <w:jc w:val="left"/>
            </w:pPr>
            <w:r>
              <w:rPr>
                <w:sz w:val="18"/>
              </w:rPr>
              <w:t xml:space="preserve">Administration</w:t>
            </w:r>
          </w:p>
        </w:tc>
        <w:tc>
          <w:tcPr/>
          <w:p>
            <w:pPr>
              <w:pStyle w:val="Compact"/>
              <w:spacing w:before="20" w:after="20"/>
              <w:jc w:val="left"/>
            </w:pPr>
            <w:r>
              <w:rPr>
                <w:sz w:val="18"/>
              </w:rPr>
              <w:t xml:space="preserve">Low</w:t>
            </w:r>
          </w:p>
        </w:tc>
        <w:tc>
          <w:tcPr/>
          <w:p>
            <w:pPr>
              <w:pStyle w:val="Compact"/>
              <w:spacing w:before="20" w:after="20"/>
              <w:jc w:val="left"/>
            </w:pPr>
            <w:r>
              <w:rPr>
                <w:sz w:val="18"/>
              </w:rPr>
              <w:t xml:space="preserve">Quarterly reconciliation from the platform's audited order records</w:t>
            </w:r>
          </w:p>
        </w:tc>
      </w:tr>
      <w:tr>
        <w:tc>
          <w:tcPr/>
          <w:p>
            <w:pPr>
              <w:pStyle w:val="Compact"/>
              <w:spacing w:before="20" w:after="20"/>
              <w:jc w:val="left"/>
            </w:pPr>
            <w:r>
              <w:rPr>
                <w:sz w:val="18"/>
              </w:rPr>
              <w:t xml:space="preserve">Best when</w:t>
            </w:r>
          </w:p>
        </w:tc>
        <w:tc>
          <w:tcPr/>
          <w:p>
            <w:pPr>
              <w:pStyle w:val="Compact"/>
              <w:spacing w:before="20" w:after="20"/>
              <w:jc w:val="left"/>
            </w:pPr>
            <w:r>
              <w:rPr>
                <w:sz w:val="18"/>
              </w:rPr>
              <w:t xml:space="preserve">The budget is approved and certainty matters</w:t>
            </w:r>
          </w:p>
        </w:tc>
        <w:tc>
          <w:tcPr/>
          <w:p>
            <w:pPr>
              <w:pStyle w:val="Compact"/>
              <w:spacing w:before="20" w:after="20"/>
              <w:jc w:val="left"/>
            </w:pPr>
            <w:r>
              <w:rPr>
                <w:sz w:val="18"/>
              </w:rPr>
              <w:t xml:space="preserve">TASCO prefers to link cost to results</w:t>
            </w:r>
          </w:p>
        </w:tc>
      </w:tr>
    </w:tbl>
    <w:p>
      <w:r>
        <w:pict>
          <v:rect style="width:0;height:1.5pt" o:hralign="center" o:hrstd="t" o:hr="t"/>
        </w:pict>
      </w:r>
    </w:p>
    <w:bookmarkEnd w:id="33"/>
    <w:bookmarkEnd w:id="34"/>
    <w:bookmarkStart w:id="35" w:name="X5528b5d353da8dfd461b6d8d2b845bbb879f417"/>
    <w:p>
      <w:pPr>
        <w:pStyle w:val="Heading2"/>
      </w:pPr>
      <w:r>
        <w:t xml:space="preserve">5. Payment milestones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Milestone</w:t>
            </w:r>
          </w:p>
        </w:tc>
        <w:tc>
          <w:tcPr>
            <w:shd w:val="clear" w:color="auto" w:fill="213368"/>
          </w:tcPr>
          <w:p>
            <w:pPr>
              <w:pStyle w:val="Compact"/>
              <w:spacing w:before="20" w:after="20"/>
              <w:jc w:val="left"/>
            </w:pPr>
            <w:r>
              <w:rPr>
                <w:b/>
                <w:color w:val="FFFFFF"/>
                <w:sz w:val="17"/>
              </w:rPr>
              <w:t xml:space="preserve">Trigger and acceptance evidence</w:t>
            </w:r>
          </w:p>
        </w:tc>
        <w:tc>
          <w:tcPr>
            <w:shd w:val="clear" w:color="auto" w:fill="213368"/>
          </w:tcPr>
          <w:p>
            <w:pPr>
              <w:pStyle w:val="Compact"/>
              <w:spacing w:before="20" w:after="20"/>
              <w:jc w:val="right"/>
            </w:pPr>
            <w:r>
              <w:rPr>
                <w:b/>
                <w:color w:val="FFFFFF"/>
                <w:sz w:val="17"/>
              </w:rPr>
              <w:t xml:space="preserve">Share</w:t>
            </w:r>
          </w:p>
        </w:tc>
        <w:tc>
          <w:tcPr>
            <w:shd w:val="clear" w:color="auto" w:fill="213368"/>
          </w:tcPr>
          <w:p>
            <w:pPr>
              <w:pStyle w:val="Compact"/>
              <w:spacing w:before="20" w:after="20"/>
              <w:jc w:val="right"/>
            </w:pPr>
            <w:r>
              <w:rPr>
                <w:b/>
                <w:color w:val="FFFFFF"/>
                <w:sz w:val="17"/>
              </w:rPr>
              <w:t xml:space="preserve">Option A (USD)</w:t>
            </w:r>
          </w:p>
        </w:tc>
        <w:tc>
          <w:tcPr>
            <w:shd w:val="clear" w:color="auto" w:fill="213368"/>
          </w:tcPr>
          <w:p>
            <w:pPr>
              <w:pStyle w:val="Compact"/>
              <w:spacing w:before="20" w:after="20"/>
              <w:jc w:val="right"/>
            </w:pPr>
            <w:r>
              <w:rPr>
                <w:b/>
                <w:color w:val="FFFFFF"/>
                <w:sz w:val="17"/>
              </w:rPr>
              <w:t xml:space="preserve">Option B (USD)</w:t>
            </w:r>
          </w:p>
        </w:tc>
      </w:tr>
      <w:tr>
        <w:tc>
          <w:tcPr/>
          <w:p>
            <w:pPr>
              <w:pStyle w:val="Compact"/>
              <w:spacing w:before="20" w:after="20"/>
              <w:jc w:val="left"/>
            </w:pPr>
            <w:r>
              <w:rPr>
                <w:sz w:val="17"/>
              </w:rPr>
              <w:t xml:space="preserve">M0 Mobilisation</w:t>
            </w:r>
          </w:p>
        </w:tc>
        <w:tc>
          <w:tcPr/>
          <w:p>
            <w:pPr>
              <w:pStyle w:val="Compact"/>
              <w:spacing w:before="20" w:after="20"/>
              <w:jc w:val="left"/>
            </w:pPr>
            <w:r>
              <w:rPr>
                <w:sz w:val="17"/>
              </w:rPr>
              <w:t xml:space="preserve">Contract signed; team onboarded (week 0)</w:t>
            </w:r>
          </w:p>
        </w:tc>
        <w:tc>
          <w:tcPr/>
          <w:p>
            <w:pPr>
              <w:pStyle w:val="Compact"/>
              <w:spacing w:before="20" w:after="20"/>
              <w:jc w:val="right"/>
            </w:pPr>
            <w:r>
              <w:rPr>
                <w:sz w:val="17"/>
              </w:rPr>
              <w:t xml:space="preserve">15%</w:t>
            </w:r>
          </w:p>
        </w:tc>
        <w:tc>
          <w:tcPr/>
          <w:p>
            <w:pPr>
              <w:pStyle w:val="Compact"/>
              <w:spacing w:before="20" w:after="20"/>
              <w:jc w:val="right"/>
            </w:pPr>
            <w:r>
              <w:rPr>
                <w:sz w:val="17"/>
              </w:rPr>
              <w:t xml:space="preserve">14,220</w:t>
            </w:r>
          </w:p>
        </w:tc>
        <w:tc>
          <w:tcPr/>
          <w:p>
            <w:pPr>
              <w:pStyle w:val="Compact"/>
              <w:spacing w:before="20" w:after="20"/>
              <w:jc w:val="right"/>
            </w:pPr>
            <w:r>
              <w:rPr>
                <w:sz w:val="17"/>
              </w:rPr>
              <w:t xml:space="preserve">11,220</w:t>
            </w:r>
          </w:p>
        </w:tc>
      </w:tr>
      <w:tr>
        <w:tc>
          <w:tcPr/>
          <w:p>
            <w:pPr>
              <w:pStyle w:val="Compact"/>
              <w:spacing w:before="20" w:after="20"/>
              <w:jc w:val="left"/>
            </w:pPr>
            <w:r>
              <w:rPr>
                <w:sz w:val="17"/>
              </w:rPr>
              <w:t xml:space="preserve">M1 Discovery complete</w:t>
            </w:r>
          </w:p>
        </w:tc>
        <w:tc>
          <w:tcPr/>
          <w:p>
            <w:pPr>
              <w:pStyle w:val="Compact"/>
              <w:spacing w:before="20" w:after="20"/>
              <w:jc w:val="left"/>
            </w:pPr>
            <w:r>
              <w:rPr>
                <w:sz w:val="17"/>
              </w:rPr>
              <w:t xml:space="preserve">Discovery report, integration specifications and pilot design signed off (week 2)</w:t>
            </w:r>
          </w:p>
        </w:tc>
        <w:tc>
          <w:tcPr/>
          <w:p>
            <w:pPr>
              <w:pStyle w:val="Compact"/>
              <w:spacing w:before="20" w:after="20"/>
              <w:jc w:val="right"/>
            </w:pPr>
            <w:r>
              <w:rPr>
                <w:sz w:val="17"/>
              </w:rPr>
              <w:t xml:space="preserve">15%</w:t>
            </w:r>
          </w:p>
        </w:tc>
        <w:tc>
          <w:tcPr/>
          <w:p>
            <w:pPr>
              <w:pStyle w:val="Compact"/>
              <w:spacing w:before="20" w:after="20"/>
              <w:jc w:val="right"/>
            </w:pPr>
            <w:r>
              <w:rPr>
                <w:sz w:val="17"/>
              </w:rPr>
              <w:t xml:space="preserve">14,220</w:t>
            </w:r>
          </w:p>
        </w:tc>
        <w:tc>
          <w:tcPr/>
          <w:p>
            <w:pPr>
              <w:pStyle w:val="Compact"/>
              <w:spacing w:before="20" w:after="20"/>
              <w:jc w:val="right"/>
            </w:pPr>
            <w:r>
              <w:rPr>
                <w:sz w:val="17"/>
              </w:rPr>
              <w:t xml:space="preserve">11,220</w:t>
            </w:r>
          </w:p>
        </w:tc>
      </w:tr>
      <w:tr>
        <w:tc>
          <w:tcPr/>
          <w:p>
            <w:pPr>
              <w:pStyle w:val="Compact"/>
              <w:spacing w:before="20" w:after="20"/>
              <w:jc w:val="left"/>
            </w:pPr>
            <w:r>
              <w:rPr>
                <w:sz w:val="17"/>
              </w:rPr>
              <w:t xml:space="preserve">M2 Integrated build</w:t>
            </w:r>
          </w:p>
        </w:tc>
        <w:tc>
          <w:tcPr/>
          <w:p>
            <w:pPr>
              <w:pStyle w:val="Compact"/>
              <w:spacing w:before="20" w:after="20"/>
              <w:jc w:val="left"/>
            </w:pPr>
            <w:r>
              <w:rPr>
                <w:sz w:val="17"/>
              </w:rPr>
              <w:t xml:space="preserve">End-to-end demonstration on sandboxes: core rating and issuance, wallet debit, Zalo message, voice call (week 10)</w:t>
            </w:r>
          </w:p>
        </w:tc>
        <w:tc>
          <w:tcPr/>
          <w:p>
            <w:pPr>
              <w:pStyle w:val="Compact"/>
              <w:spacing w:before="20" w:after="20"/>
              <w:jc w:val="right"/>
            </w:pPr>
            <w:r>
              <w:rPr>
                <w:sz w:val="17"/>
              </w:rPr>
              <w:t xml:space="preserve">25%</w:t>
            </w:r>
          </w:p>
        </w:tc>
        <w:tc>
          <w:tcPr/>
          <w:p>
            <w:pPr>
              <w:pStyle w:val="Compact"/>
              <w:spacing w:before="20" w:after="20"/>
              <w:jc w:val="right"/>
            </w:pPr>
            <w:r>
              <w:rPr>
                <w:sz w:val="17"/>
              </w:rPr>
              <w:t xml:space="preserve">23,700</w:t>
            </w:r>
          </w:p>
        </w:tc>
        <w:tc>
          <w:tcPr/>
          <w:p>
            <w:pPr>
              <w:pStyle w:val="Compact"/>
              <w:spacing w:before="20" w:after="20"/>
              <w:jc w:val="right"/>
            </w:pPr>
            <w:r>
              <w:rPr>
                <w:sz w:val="17"/>
              </w:rPr>
              <w:t xml:space="preserve">18,700</w:t>
            </w:r>
          </w:p>
        </w:tc>
      </w:tr>
      <w:tr>
        <w:tc>
          <w:tcPr/>
          <w:p>
            <w:pPr>
              <w:pStyle w:val="Compact"/>
              <w:spacing w:before="20" w:after="20"/>
              <w:jc w:val="left"/>
            </w:pPr>
            <w:r>
              <w:rPr>
                <w:sz w:val="17"/>
              </w:rPr>
              <w:t xml:space="preserve">M3 Acceptance</w:t>
            </w:r>
          </w:p>
        </w:tc>
        <w:tc>
          <w:tcPr/>
          <w:p>
            <w:pPr>
              <w:pStyle w:val="Compact"/>
              <w:spacing w:before="20" w:after="20"/>
              <w:jc w:val="left"/>
            </w:pPr>
            <w:r>
              <w:rPr>
                <w:sz w:val="17"/>
              </w:rPr>
              <w:t xml:space="preserve">UAT signed off; no open critical or high security findings (week 13)</w:t>
            </w:r>
          </w:p>
        </w:tc>
        <w:tc>
          <w:tcPr/>
          <w:p>
            <w:pPr>
              <w:pStyle w:val="Compact"/>
              <w:spacing w:before="20" w:after="20"/>
              <w:jc w:val="right"/>
            </w:pPr>
            <w:r>
              <w:rPr>
                <w:sz w:val="17"/>
              </w:rPr>
              <w:t xml:space="preserve">25%</w:t>
            </w:r>
          </w:p>
        </w:tc>
        <w:tc>
          <w:tcPr/>
          <w:p>
            <w:pPr>
              <w:pStyle w:val="Compact"/>
              <w:spacing w:before="20" w:after="20"/>
              <w:jc w:val="right"/>
            </w:pPr>
            <w:r>
              <w:rPr>
                <w:sz w:val="17"/>
              </w:rPr>
              <w:t xml:space="preserve">23,700</w:t>
            </w:r>
          </w:p>
        </w:tc>
        <w:tc>
          <w:tcPr/>
          <w:p>
            <w:pPr>
              <w:pStyle w:val="Compact"/>
              <w:spacing w:before="20" w:after="20"/>
              <w:jc w:val="right"/>
            </w:pPr>
            <w:r>
              <w:rPr>
                <w:sz w:val="17"/>
              </w:rPr>
              <w:t xml:space="preserve">18,700</w:t>
            </w:r>
          </w:p>
        </w:tc>
      </w:tr>
      <w:tr>
        <w:tc>
          <w:tcPr/>
          <w:p>
            <w:pPr>
              <w:pStyle w:val="Compact"/>
              <w:spacing w:before="20" w:after="20"/>
              <w:jc w:val="left"/>
            </w:pPr>
            <w:r>
              <w:rPr>
                <w:sz w:val="17"/>
              </w:rPr>
              <w:t xml:space="preserve">M4 Pilot live</w:t>
            </w:r>
          </w:p>
        </w:tc>
        <w:tc>
          <w:tcPr/>
          <w:p>
            <w:pPr>
              <w:pStyle w:val="Compact"/>
              <w:spacing w:before="20" w:after="20"/>
              <w:jc w:val="left"/>
            </w:pPr>
            <w:r>
              <w:rPr>
                <w:sz w:val="17"/>
              </w:rPr>
              <w:t xml:space="preserve">Go-live plus 4 weeks of hypercare within service levels (week 17)</w:t>
            </w:r>
          </w:p>
        </w:tc>
        <w:tc>
          <w:tcPr/>
          <w:p>
            <w:pPr>
              <w:pStyle w:val="Compact"/>
              <w:spacing w:before="20" w:after="20"/>
              <w:jc w:val="right"/>
            </w:pPr>
            <w:r>
              <w:rPr>
                <w:sz w:val="17"/>
              </w:rPr>
              <w:t xml:space="preserve">20%</w:t>
            </w:r>
          </w:p>
        </w:tc>
        <w:tc>
          <w:tcPr/>
          <w:p>
            <w:pPr>
              <w:pStyle w:val="Compact"/>
              <w:spacing w:before="20" w:after="20"/>
              <w:jc w:val="right"/>
            </w:pPr>
            <w:r>
              <w:rPr>
                <w:sz w:val="17"/>
              </w:rPr>
              <w:t xml:space="preserve">18,960</w:t>
            </w:r>
          </w:p>
        </w:tc>
        <w:tc>
          <w:tcPr/>
          <w:p>
            <w:pPr>
              <w:pStyle w:val="Compact"/>
              <w:spacing w:before="20" w:after="20"/>
              <w:jc w:val="right"/>
            </w:pPr>
            <w:r>
              <w:rPr>
                <w:sz w:val="17"/>
              </w:rPr>
              <w:t xml:space="preserve">14,960</w:t>
            </w:r>
          </w:p>
        </w:tc>
      </w:tr>
      <w:tr>
        <w:tc>
          <w:tcPr>
            <w:noWrap/>
          </w:tcPr>
          <w:p>
            <w:pPr>
              <w:pStyle w:val="Compact"/>
              <w:spacing w:before="20" w:after="20"/>
              <w:jc w:val="left"/>
            </w:pPr>
            <w:r>
              <w:rPr>
                <w:bCs/>
                <w:b/>
                <w:sz w:val="17"/>
              </w:rPr>
              <w:t xml:space="preserve">Total</w:t>
            </w:r>
          </w:p>
        </w:tc>
        <w:tc>
          <w:tcPr/>
          <w:p>
            <w:pPr>
              <w:pStyle w:val="Compact"/>
              <w:spacing w:before="20" w:after="20"/>
            </w:pPr>
          </w:p>
        </w:tc>
        <w:tc>
          <w:tcPr/>
          <w:p>
            <w:pPr>
              <w:pStyle w:val="Compact"/>
              <w:spacing w:before="20" w:after="20"/>
              <w:jc w:val="right"/>
            </w:pPr>
            <w:r>
              <w:rPr>
                <w:bCs/>
                <w:b/>
                <w:sz w:val="17"/>
              </w:rPr>
              <w:t xml:space="preserve">100%</w:t>
            </w:r>
          </w:p>
        </w:tc>
        <w:tc>
          <w:tcPr/>
          <w:p>
            <w:pPr>
              <w:pStyle w:val="Compact"/>
              <w:spacing w:before="20" w:after="20"/>
              <w:jc w:val="right"/>
            </w:pPr>
            <w:r>
              <w:rPr>
                <w:bCs/>
                <w:b/>
                <w:sz w:val="17"/>
              </w:rPr>
              <w:t xml:space="preserve">94,800</w:t>
            </w:r>
          </w:p>
        </w:tc>
        <w:tc>
          <w:tcPr/>
          <w:p>
            <w:pPr>
              <w:pStyle w:val="Compact"/>
              <w:spacing w:before="20" w:after="20"/>
              <w:jc w:val="right"/>
            </w:pPr>
            <w:r>
              <w:rPr>
                <w:bCs/>
                <w:b/>
                <w:sz w:val="17"/>
              </w:rPr>
              <w:t xml:space="preserve">74,800</w:t>
            </w:r>
          </w:p>
        </w:tc>
      </w:tr>
    </w:tbl>
    <w:p>
      <w:pPr>
        <w:pStyle w:val="BodyText"/>
      </w:pPr>
      <w:r>
        <w:t xml:space="preserve">Invoices are payable within 30 days. Phase 2 is invoiced monthly in arrears against timesheets, up to the cap. Phase 3 is invoiced monthly in advance. Option B fees are invoiced quarterly from platform transaction reports.</w:t>
      </w:r>
    </w:p>
    <w:p>
      <w:r>
        <w:pict>
          <v:rect style="width:0;height:1.5pt" o:hralign="center" o:hrstd="t" o:hr="t"/>
        </w:pict>
      </w:r>
    </w:p>
    <w:bookmarkEnd w:id="35"/>
    <w:bookmarkStart w:id="36" w:name="Xd62121da72d2449c5390da85f2d9a97780aab51"/>
    <w:p>
      <w:pPr>
        <w:pStyle w:val="Heading2"/>
      </w:pPr>
      <w:r>
        <w:t xml:space="preserve">6. Run-cost estimate (cloud infrastructure in Vietnam)</w:t>
      </w:r>
    </w:p>
    <w:p>
      <w:pPr>
        <w:pStyle w:val="FirstParagraph"/>
      </w:pPr>
      <w:r>
        <w:t xml:space="preserve">The estimate assumes managed Kubernetes and managed PostgreSQL from a cloud provider in Vietnam (NFR-030), for example Viettel IDC, VNG Cloud or FPT Cloud, or Tasco group's private cloud. The provider is chosen in Phase 0, and TASCO pays for infrastructure directly.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Component</w:t>
            </w:r>
          </w:p>
        </w:tc>
        <w:tc>
          <w:tcPr>
            <w:shd w:val="clear" w:color="auto" w:fill="213368"/>
          </w:tcPr>
          <w:p>
            <w:pPr>
              <w:pStyle w:val="Compact"/>
              <w:spacing w:before="20" w:after="20"/>
              <w:jc w:val="right"/>
            </w:pPr>
            <w:r>
              <w:rPr>
                <w:b/>
                <w:color w:val="FFFFFF"/>
                <w:sz w:val="18"/>
              </w:rPr>
              <w:t xml:space="preserve">Pilot (USD per month)</w:t>
            </w:r>
          </w:p>
        </w:tc>
        <w:tc>
          <w:tcPr>
            <w:shd w:val="clear" w:color="auto" w:fill="213368"/>
          </w:tcPr>
          <w:p>
            <w:pPr>
              <w:pStyle w:val="Compact"/>
              <w:spacing w:before="20" w:after="20"/>
              <w:jc w:val="right"/>
            </w:pPr>
            <w:r>
              <w:rPr>
                <w:b/>
                <w:color w:val="FFFFFF"/>
                <w:sz w:val="18"/>
              </w:rPr>
              <w:t xml:space="preserve">Full scale (USD per month)</w:t>
            </w:r>
          </w:p>
        </w:tc>
        <w:tc>
          <w:tcPr>
            <w:shd w:val="clear" w:color="auto" w:fill="213368"/>
          </w:tcPr>
          <w:p>
            <w:pPr>
              <w:pStyle w:val="Compact"/>
              <w:spacing w:before="20" w:after="20"/>
              <w:jc w:val="left"/>
            </w:pPr>
            <w:r>
              <w:rPr>
                <w:b/>
                <w:color w:val="FFFFFF"/>
                <w:sz w:val="18"/>
              </w:rPr>
              <w:t xml:space="preserve">Sizing basis</w:t>
            </w:r>
          </w:p>
        </w:tc>
      </w:tr>
      <w:tr>
        <w:tc>
          <w:tcPr/>
          <w:p>
            <w:pPr>
              <w:pStyle w:val="Compact"/>
              <w:spacing w:before="20" w:after="20"/>
              <w:jc w:val="left"/>
            </w:pPr>
            <w:r>
              <w:rPr>
                <w:sz w:val="18"/>
              </w:rPr>
              <w:t xml:space="preserve">Application nodes (Kubernetes)</w:t>
            </w:r>
          </w:p>
        </w:tc>
        <w:tc>
          <w:tcPr>
            <w:noWrap/>
          </w:tcPr>
          <w:p>
            <w:pPr>
              <w:pStyle w:val="Compact"/>
              <w:spacing w:before="20" w:after="20"/>
              <w:jc w:val="right"/>
            </w:pPr>
            <w:r>
              <w:rPr>
                <w:sz w:val="18"/>
              </w:rPr>
              <w:t xml:space="preserve">450</w:t>
            </w:r>
          </w:p>
        </w:tc>
        <w:tc>
          <w:tcPr>
            <w:noWrap/>
          </w:tcPr>
          <w:p>
            <w:pPr>
              <w:pStyle w:val="Compact"/>
              <w:spacing w:before="20" w:after="20"/>
              <w:jc w:val="right"/>
            </w:pPr>
            <w:r>
              <w:rPr>
                <w:sz w:val="18"/>
              </w:rPr>
              <w:t xml:space="preserve">900</w:t>
            </w:r>
          </w:p>
        </w:tc>
        <w:tc>
          <w:tcPr/>
          <w:p>
            <w:pPr>
              <w:pStyle w:val="Compact"/>
              <w:spacing w:before="20" w:after="20"/>
              <w:jc w:val="left"/>
            </w:pPr>
            <w:r>
              <w:rPr>
                <w:sz w:val="18"/>
              </w:rPr>
              <w:t xml:space="preserve">3 → 6 nodes of 4 vCPU / 16 GB</w:t>
            </w:r>
          </w:p>
        </w:tc>
      </w:tr>
      <w:tr>
        <w:tc>
          <w:tcPr/>
          <w:p>
            <w:pPr>
              <w:pStyle w:val="Compact"/>
              <w:spacing w:before="20" w:after="20"/>
              <w:jc w:val="left"/>
            </w:pPr>
            <w:r>
              <w:rPr>
                <w:sz w:val="18"/>
              </w:rPr>
              <w:t xml:space="preserve">PostgreSQL (HA primary and standby)</w:t>
            </w:r>
          </w:p>
        </w:tc>
        <w:tc>
          <w:tcPr>
            <w:noWrap/>
          </w:tcPr>
          <w:p>
            <w:pPr>
              <w:pStyle w:val="Compact"/>
              <w:spacing w:before="20" w:after="20"/>
              <w:jc w:val="right"/>
            </w:pPr>
            <w:r>
              <w:rPr>
                <w:sz w:val="18"/>
              </w:rPr>
              <w:t xml:space="preserve">600</w:t>
            </w:r>
          </w:p>
        </w:tc>
        <w:tc>
          <w:tcPr/>
          <w:p>
            <w:pPr>
              <w:pStyle w:val="Compact"/>
              <w:spacing w:before="20" w:after="20"/>
              <w:jc w:val="right"/>
            </w:pPr>
            <w:r>
              <w:rPr>
                <w:sz w:val="18"/>
              </w:rPr>
              <w:t xml:space="preserve">1,400</w:t>
            </w:r>
          </w:p>
        </w:tc>
        <w:tc>
          <w:tcPr/>
          <w:p>
            <w:pPr>
              <w:pStyle w:val="Compact"/>
              <w:spacing w:before="20" w:after="20"/>
              <w:jc w:val="left"/>
            </w:pPr>
            <w:r>
              <w:rPr>
                <w:sz w:val="18"/>
              </w:rPr>
              <w:t xml:space="preserve">8 vCPU / 32 GB → 16 vCPU / 64 GB plus a reporting replica</w:t>
            </w:r>
          </w:p>
        </w:tc>
      </w:tr>
      <w:tr>
        <w:tc>
          <w:tcPr/>
          <w:p>
            <w:pPr>
              <w:pStyle w:val="Compact"/>
              <w:spacing w:before="20" w:after="20"/>
              <w:jc w:val="left"/>
            </w:pPr>
            <w:r>
              <w:rPr>
                <w:sz w:val="18"/>
              </w:rPr>
              <w:t xml:space="preserve">Backups and object storage (35-day PITR)</w:t>
            </w:r>
          </w:p>
        </w:tc>
        <w:tc>
          <w:tcPr>
            <w:noWrap/>
          </w:tcPr>
          <w:p>
            <w:pPr>
              <w:pStyle w:val="Compact"/>
              <w:spacing w:before="20" w:after="20"/>
              <w:jc w:val="right"/>
            </w:pPr>
            <w:r>
              <w:rPr>
                <w:sz w:val="18"/>
              </w:rPr>
              <w:t xml:space="preserve">80</w:t>
            </w:r>
          </w:p>
        </w:tc>
        <w:tc>
          <w:tcPr>
            <w:noWrap/>
          </w:tcPr>
          <w:p>
            <w:pPr>
              <w:pStyle w:val="Compact"/>
              <w:spacing w:before="20" w:after="20"/>
              <w:jc w:val="right"/>
            </w:pPr>
            <w:r>
              <w:rPr>
                <w:sz w:val="18"/>
              </w:rPr>
              <w:t xml:space="preserve">150</w:t>
            </w:r>
          </w:p>
        </w:tc>
        <w:tc>
          <w:tcPr>
            <w:noWrap/>
          </w:tcPr>
          <w:p>
            <w:pPr>
              <w:pStyle w:val="Compact"/>
              <w:spacing w:before="20" w:after="20"/>
              <w:jc w:val="left"/>
            </w:pPr>
            <w:r>
              <w:rPr>
                <w:sz w:val="18"/>
              </w:rPr>
              <w:t xml:space="preserve">NFR-051 – NFR-053</w:t>
            </w:r>
          </w:p>
        </w:tc>
      </w:tr>
      <w:tr>
        <w:tc>
          <w:tcPr/>
          <w:p>
            <w:pPr>
              <w:pStyle w:val="Compact"/>
              <w:spacing w:before="20" w:after="20"/>
              <w:jc w:val="left"/>
            </w:pPr>
            <w:r>
              <w:rPr>
                <w:sz w:val="18"/>
              </w:rPr>
              <w:t xml:space="preserve">Load balancer, WAF and egress</w:t>
            </w:r>
          </w:p>
        </w:tc>
        <w:tc>
          <w:tcPr>
            <w:noWrap/>
          </w:tcPr>
          <w:p>
            <w:pPr>
              <w:pStyle w:val="Compact"/>
              <w:spacing w:before="20" w:after="20"/>
              <w:jc w:val="right"/>
            </w:pPr>
            <w:r>
              <w:rPr>
                <w:sz w:val="18"/>
              </w:rPr>
              <w:t xml:space="preserve">150</w:t>
            </w:r>
          </w:p>
        </w:tc>
        <w:tc>
          <w:tcPr>
            <w:noWrap/>
          </w:tcPr>
          <w:p>
            <w:pPr>
              <w:pStyle w:val="Compact"/>
              <w:spacing w:before="20" w:after="20"/>
              <w:jc w:val="right"/>
            </w:pPr>
            <w:r>
              <w:rPr>
                <w:sz w:val="18"/>
              </w:rPr>
              <w:t xml:space="preserve">250</w:t>
            </w:r>
          </w:p>
        </w:tc>
        <w:tc>
          <w:tcPr/>
          <w:p>
            <w:pPr>
              <w:pStyle w:val="Compact"/>
              <w:spacing w:before="20" w:after="20"/>
              <w:jc w:val="left"/>
            </w:pPr>
            <w:r>
              <w:rPr>
                <w:sz w:val="18"/>
              </w:rPr>
              <w:t xml:space="preserve">Edge rate limiting</w:t>
            </w:r>
          </w:p>
        </w:tc>
      </w:tr>
      <w:tr>
        <w:tc>
          <w:tcPr/>
          <w:p>
            <w:pPr>
              <w:pStyle w:val="Compact"/>
              <w:spacing w:before="20" w:after="20"/>
              <w:jc w:val="left"/>
            </w:pPr>
            <w:r>
              <w:rPr>
                <w:sz w:val="18"/>
              </w:rPr>
              <w:t xml:space="preserve">Observability (metrics, logs, traces)</w:t>
            </w:r>
          </w:p>
        </w:tc>
        <w:tc>
          <w:tcPr>
            <w:noWrap/>
          </w:tcPr>
          <w:p>
            <w:pPr>
              <w:pStyle w:val="Compact"/>
              <w:spacing w:before="20" w:after="20"/>
              <w:jc w:val="right"/>
            </w:pPr>
            <w:r>
              <w:rPr>
                <w:sz w:val="18"/>
              </w:rPr>
              <w:t xml:space="preserve">150</w:t>
            </w:r>
          </w:p>
        </w:tc>
        <w:tc>
          <w:tcPr>
            <w:noWrap/>
          </w:tcPr>
          <w:p>
            <w:pPr>
              <w:pStyle w:val="Compact"/>
              <w:spacing w:before="20" w:after="20"/>
              <w:jc w:val="right"/>
            </w:pPr>
            <w:r>
              <w:rPr>
                <w:sz w:val="18"/>
              </w:rPr>
              <w:t xml:space="preserve">300</w:t>
            </w:r>
          </w:p>
        </w:tc>
        <w:tc>
          <w:tcPr>
            <w:noWrap/>
          </w:tcPr>
          <w:p>
            <w:pPr>
              <w:pStyle w:val="Compact"/>
              <w:spacing w:before="20" w:after="20"/>
              <w:jc w:val="left"/>
            </w:pPr>
            <w:r>
              <w:rPr>
                <w:sz w:val="18"/>
              </w:rPr>
              <w:t xml:space="preserve">NFR-047 – NFR-049</w:t>
            </w:r>
          </w:p>
        </w:tc>
      </w:tr>
      <w:tr>
        <w:tc>
          <w:tcPr/>
          <w:p>
            <w:pPr>
              <w:pStyle w:val="Compact"/>
              <w:spacing w:before="20" w:after="20"/>
              <w:jc w:val="left"/>
            </w:pPr>
            <w:r>
              <w:rPr>
                <w:sz w:val="18"/>
              </w:rPr>
              <w:t xml:space="preserve">Non-production environments</w:t>
            </w:r>
          </w:p>
        </w:tc>
        <w:tc>
          <w:tcPr>
            <w:noWrap/>
          </w:tcPr>
          <w:p>
            <w:pPr>
              <w:pStyle w:val="Compact"/>
              <w:spacing w:before="20" w:after="20"/>
              <w:jc w:val="right"/>
            </w:pPr>
            <w:r>
              <w:rPr>
                <w:sz w:val="18"/>
              </w:rPr>
              <w:t xml:space="preserve">200</w:t>
            </w:r>
          </w:p>
        </w:tc>
        <w:tc>
          <w:tcPr>
            <w:noWrap/>
          </w:tcPr>
          <w:p>
            <w:pPr>
              <w:pStyle w:val="Compact"/>
              <w:spacing w:before="20" w:after="20"/>
              <w:jc w:val="right"/>
            </w:pPr>
            <w:r>
              <w:rPr>
                <w:sz w:val="18"/>
              </w:rPr>
              <w:t xml:space="preserve">350</w:t>
            </w:r>
          </w:p>
        </w:tc>
        <w:tc>
          <w:tcPr/>
          <w:p>
            <w:pPr>
              <w:pStyle w:val="Compact"/>
              <w:spacing w:before="20" w:after="20"/>
              <w:jc w:val="left"/>
            </w:pPr>
            <w:r>
              <w:rPr>
                <w:sz w:val="18"/>
              </w:rPr>
              <w:t xml:space="preserve">Synthetic or masked data only (NFR-033)</w:t>
            </w:r>
          </w:p>
        </w:tc>
      </w:tr>
      <w:tr>
        <w:tc>
          <w:tcPr/>
          <w:p>
            <w:pPr>
              <w:pStyle w:val="Compact"/>
              <w:spacing w:before="20" w:after="20"/>
              <w:jc w:val="left"/>
            </w:pPr>
            <w:r>
              <w:rPr>
                <w:sz w:val="18"/>
              </w:rPr>
              <w:t xml:space="preserve">Secrets, key management and miscellaneous</w:t>
            </w:r>
          </w:p>
        </w:tc>
        <w:tc>
          <w:tcPr>
            <w:noWrap/>
          </w:tcPr>
          <w:p>
            <w:pPr>
              <w:pStyle w:val="Compact"/>
              <w:spacing w:before="20" w:after="20"/>
              <w:jc w:val="right"/>
            </w:pPr>
            <w:r>
              <w:rPr>
                <w:sz w:val="18"/>
              </w:rPr>
              <w:t xml:space="preserve">20</w:t>
            </w:r>
          </w:p>
        </w:tc>
        <w:tc>
          <w:tcPr>
            <w:noWrap/>
          </w:tcPr>
          <w:p>
            <w:pPr>
              <w:pStyle w:val="Compact"/>
              <w:spacing w:before="20" w:after="20"/>
              <w:jc w:val="right"/>
            </w:pPr>
            <w:r>
              <w:rPr>
                <w:sz w:val="18"/>
              </w:rPr>
              <w:t xml:space="preserve">50</w:t>
            </w:r>
          </w:p>
        </w:tc>
        <w:tc>
          <w:tcPr/>
          <w:p>
            <w:pPr>
              <w:pStyle w:val="Compact"/>
              <w:spacing w:before="20" w:after="20"/>
              <w:jc w:val="left"/>
            </w:pPr>
            <w:r>
              <w:rPr>
                <w:sz w:val="18"/>
              </w:rPr>
              <w:t xml:space="preserve">Key rotation (NFR-023)</w:t>
            </w:r>
          </w:p>
        </w:tc>
      </w:tr>
      <w:tr>
        <w:tc>
          <w:tcPr>
            <w:noWrap/>
          </w:tcPr>
          <w:p>
            <w:pPr>
              <w:pStyle w:val="Compact"/>
              <w:spacing w:before="20" w:after="20"/>
              <w:jc w:val="left"/>
            </w:pPr>
            <w:r>
              <w:rPr>
                <w:bCs/>
                <w:b/>
                <w:sz w:val="18"/>
              </w:rPr>
              <w:t xml:space="preserve">Total</w:t>
            </w:r>
          </w:p>
        </w:tc>
        <w:tc>
          <w:tcPr/>
          <w:p>
            <w:pPr>
              <w:pStyle w:val="Compact"/>
              <w:spacing w:before="20" w:after="20"/>
              <w:jc w:val="right"/>
            </w:pPr>
            <w:r>
              <w:rPr>
                <w:bCs/>
                <w:b/>
                <w:sz w:val="18"/>
              </w:rPr>
              <w:t xml:space="preserve">≈ 1,650</w:t>
            </w:r>
          </w:p>
        </w:tc>
        <w:tc>
          <w:tcPr/>
          <w:p>
            <w:pPr>
              <w:pStyle w:val="Compact"/>
              <w:spacing w:before="20" w:after="20"/>
              <w:jc w:val="right"/>
            </w:pPr>
            <w:r>
              <w:rPr>
                <w:bCs/>
                <w:b/>
                <w:sz w:val="18"/>
              </w:rPr>
              <w:t xml:space="preserve">≈ 3,400</w:t>
            </w:r>
          </w:p>
        </w:tc>
        <w:tc>
          <w:tcPr/>
          <w:p>
            <w:pPr>
              <w:pStyle w:val="Compact"/>
              <w:spacing w:before="20" w:after="20"/>
            </w:pPr>
          </w:p>
        </w:tc>
      </w:tr>
    </w:tbl>
    <w:p>
      <w:pPr>
        <w:pStyle w:val="BodyText"/>
      </w:pPr>
      <w:r>
        <w:rPr>
          <w:bCs/>
          <w:b/>
        </w:rPr>
        <w:t xml:space="preserve">Usage-based costs (paid by TASCO/VETC to providers, not in the TCO).</w:t>
      </w:r>
      <w:r>
        <w:t xml:space="preserve"> </w:t>
      </w:r>
      <w:r>
        <w:t xml:space="preserve">Rates come from</w:t>
      </w:r>
      <w:r>
        <w:t xml:space="preserve"> </w:t>
      </w:r>
      <w:r>
        <w:rPr>
          <w:rStyle w:val="VerbatimChar"/>
        </w:rPr>
        <w:t xml:space="preserve">config/rules/costs.json</w:t>
      </w:r>
      <w:r>
        <w:t xml:space="preserve">, and volumes are the doc 01 base case at full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Item</w:t>
            </w:r>
          </w:p>
        </w:tc>
        <w:tc>
          <w:tcPr>
            <w:shd w:val="clear" w:color="auto" w:fill="213368"/>
          </w:tcPr>
          <w:p>
            <w:pPr>
              <w:pStyle w:val="Compact"/>
              <w:spacing w:before="20" w:after="20"/>
              <w:jc w:val="right"/>
            </w:pPr>
            <w:r>
              <w:rPr>
                <w:b/>
                <w:color w:val="FFFFFF"/>
                <w:sz w:val="18"/>
              </w:rPr>
              <w:t xml:space="preserve">Unit cost (VND)</w:t>
            </w:r>
          </w:p>
        </w:tc>
        <w:tc>
          <w:tcPr>
            <w:shd w:val="clear" w:color="auto" w:fill="213368"/>
          </w:tcPr>
          <w:p>
            <w:pPr>
              <w:pStyle w:val="Compact"/>
              <w:spacing w:before="20" w:after="20"/>
              <w:jc w:val="right"/>
            </w:pPr>
            <w:r>
              <w:rPr>
                <w:b/>
                <w:color w:val="FFFFFF"/>
                <w:sz w:val="18"/>
              </w:rPr>
              <w:t xml:space="preserve">Base-case volume</w:t>
            </w:r>
          </w:p>
        </w:tc>
        <w:tc>
          <w:tcPr>
            <w:shd w:val="clear" w:color="auto" w:fill="213368"/>
          </w:tcPr>
          <w:p>
            <w:pPr>
              <w:pStyle w:val="Compact"/>
              <w:spacing w:before="20" w:after="20"/>
              <w:jc w:val="right"/>
            </w:pPr>
            <w:r>
              <w:rPr>
                <w:b/>
                <w:color w:val="FFFFFF"/>
                <w:sz w:val="18"/>
              </w:rPr>
              <w:t xml:space="preserve">Annual (VND)</w:t>
            </w:r>
          </w:p>
        </w:tc>
      </w:tr>
      <w:tr>
        <w:tc>
          <w:tcPr/>
          <w:p>
            <w:pPr>
              <w:pStyle w:val="Compact"/>
              <w:spacing w:before="20" w:after="20"/>
              <w:jc w:val="left"/>
            </w:pPr>
            <w:r>
              <w:rPr>
                <w:sz w:val="18"/>
              </w:rPr>
              <w:t xml:space="preserve">Voice-AI minutes</w:t>
            </w:r>
          </w:p>
        </w:tc>
        <w:tc>
          <w:tcPr/>
          <w:p>
            <w:pPr>
              <w:pStyle w:val="Compact"/>
              <w:spacing w:before="20" w:after="20"/>
              <w:jc w:val="right"/>
            </w:pPr>
            <w:r>
              <w:rPr>
                <w:sz w:val="18"/>
              </w:rPr>
              <w:t xml:space="preserve">1,500 per minute × 1.6 minutes</w:t>
            </w:r>
          </w:p>
        </w:tc>
        <w:tc>
          <w:tcPr/>
          <w:p>
            <w:pPr>
              <w:pStyle w:val="Compact"/>
              <w:spacing w:before="20" w:after="20"/>
              <w:jc w:val="right"/>
            </w:pPr>
            <w:r>
              <w:rPr>
                <w:sz w:val="18"/>
              </w:rPr>
              <w:t xml:space="preserve">497,250 calls</w:t>
            </w:r>
          </w:p>
        </w:tc>
        <w:tc>
          <w:tcPr/>
          <w:p>
            <w:pPr>
              <w:pStyle w:val="Compact"/>
              <w:spacing w:before="20" w:after="20"/>
              <w:jc w:val="right"/>
            </w:pPr>
            <w:r>
              <w:rPr>
                <w:sz w:val="18"/>
              </w:rPr>
              <w:t xml:space="preserve">≈ 1.19 bn</w:t>
            </w:r>
          </w:p>
        </w:tc>
      </w:tr>
      <w:tr>
        <w:tc>
          <w:tcPr/>
          <w:p>
            <w:pPr>
              <w:pStyle w:val="Compact"/>
              <w:spacing w:before="20" w:after="20"/>
              <w:jc w:val="left"/>
            </w:pPr>
            <w:r>
              <w:rPr>
                <w:sz w:val="18"/>
              </w:rPr>
              <w:t xml:space="preserve">Zalo ZNS and SMS</w:t>
            </w:r>
          </w:p>
        </w:tc>
        <w:tc>
          <w:tcPr/>
          <w:p>
            <w:pPr>
              <w:pStyle w:val="Compact"/>
              <w:spacing w:before="20" w:after="20"/>
              <w:jc w:val="right"/>
            </w:pPr>
            <w:r>
              <w:rPr>
                <w:sz w:val="18"/>
              </w:rPr>
              <w:t xml:space="preserve">300 / 700 per message</w:t>
            </w:r>
          </w:p>
        </w:tc>
        <w:tc>
          <w:tcPr/>
          <w:p>
            <w:pPr>
              <w:pStyle w:val="Compact"/>
              <w:spacing w:before="20" w:after="20"/>
              <w:jc w:val="right"/>
            </w:pPr>
            <w:r>
              <w:rPr>
                <w:sz w:val="18"/>
              </w:rPr>
              <w:t xml:space="preserve">5 sends × 2.8 M profiles (mix)</w:t>
            </w:r>
          </w:p>
        </w:tc>
        <w:tc>
          <w:tcPr/>
          <w:p>
            <w:pPr>
              <w:pStyle w:val="Compact"/>
              <w:spacing w:before="20" w:after="20"/>
              <w:jc w:val="right"/>
            </w:pPr>
            <w:r>
              <w:rPr>
                <w:sz w:val="18"/>
              </w:rPr>
              <w:t xml:space="preserve">≈ 2.24 bn</w:t>
            </w:r>
          </w:p>
        </w:tc>
      </w:tr>
      <w:tr>
        <w:tc>
          <w:tcPr/>
          <w:p>
            <w:pPr>
              <w:pStyle w:val="Compact"/>
              <w:spacing w:before="20" w:after="20"/>
              <w:jc w:val="left"/>
            </w:pPr>
            <w:r>
              <w:rPr>
                <w:sz w:val="18"/>
              </w:rPr>
              <w:t xml:space="preserve">App push</w:t>
            </w:r>
          </w:p>
        </w:tc>
        <w:tc>
          <w:tcPr>
            <w:noWrap/>
          </w:tcPr>
          <w:p>
            <w:pPr>
              <w:pStyle w:val="Compact"/>
              <w:spacing w:before="20" w:after="20"/>
              <w:jc w:val="right"/>
            </w:pPr>
            <w:r>
              <w:rPr>
                <w:sz w:val="18"/>
              </w:rPr>
              <w:t xml:space="preserve">0</w:t>
            </w:r>
          </w:p>
        </w:tc>
        <w:tc>
          <w:tcPr/>
          <w:p>
            <w:pPr>
              <w:pStyle w:val="Compact"/>
              <w:spacing w:before="20" w:after="20"/>
              <w:jc w:val="right"/>
            </w:pPr>
            <w:r>
              <w:rPr>
                <w:sz w:val="18"/>
              </w:rPr>
              <w:t xml:space="preserve">—</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Telesales (internal staff time)</w:t>
            </w:r>
          </w:p>
        </w:tc>
        <w:tc>
          <w:tcPr/>
          <w:p>
            <w:pPr>
              <w:pStyle w:val="Compact"/>
              <w:spacing w:before="20" w:after="20"/>
              <w:jc w:val="right"/>
            </w:pPr>
            <w:r>
              <w:rPr>
                <w:sz w:val="18"/>
              </w:rPr>
              <w:t xml:space="preserve">6,000 per minute × 4.5 minutes</w:t>
            </w:r>
          </w:p>
        </w:tc>
        <w:tc>
          <w:tcPr/>
          <w:p>
            <w:pPr>
              <w:pStyle w:val="Compact"/>
              <w:spacing w:before="20" w:after="20"/>
              <w:jc w:val="right"/>
            </w:pPr>
            <w:r>
              <w:rPr>
                <w:sz w:val="18"/>
              </w:rPr>
              <w:t xml:space="preserve">50,000 calls</w:t>
            </w:r>
          </w:p>
        </w:tc>
        <w:tc>
          <w:tcPr/>
          <w:p>
            <w:pPr>
              <w:pStyle w:val="Compact"/>
              <w:spacing w:before="20" w:after="20"/>
              <w:jc w:val="right"/>
            </w:pPr>
            <w:r>
              <w:rPr>
                <w:sz w:val="18"/>
              </w:rPr>
              <w:t xml:space="preserve">≈ 1.35 bn</w:t>
            </w:r>
          </w:p>
        </w:tc>
      </w:tr>
    </w:tbl>
    <w:p>
      <w:r>
        <w:pict>
          <v:rect style="width:0;height:1.5pt" o:hralign="center" o:hrstd="t" o:hr="t"/>
        </w:pict>
      </w:r>
    </w:p>
    <w:bookmarkEnd w:id="36"/>
    <w:bookmarkStart w:id="37" w:name="X32a68daf27ee3cb0c0ff4431e14b49a70d2ca5e"/>
    <w:p>
      <w:pPr>
        <w:pStyle w:val="Heading2"/>
      </w:pPr>
      <w:r>
        <w:t xml:space="preserve">7. Total cost of ownership (Option A, full-scale path, indicative)</w:t>
      </w:r>
    </w:p>
    <w:p>
      <w:pPr>
        <w:pStyle w:val="FirstParagraph"/>
      </w:pPr>
      <w:r>
        <w:t xml:space="preserve">Year 1 runs from November 2026 to October 2027. The scale phase starts only after a successful pilot read-out.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USD</w:t>
            </w:r>
          </w:p>
        </w:tc>
        <w:tc>
          <w:tcPr>
            <w:shd w:val="clear" w:color="auto" w:fill="213368"/>
          </w:tcPr>
          <w:p>
            <w:pPr>
              <w:pStyle w:val="Compact"/>
              <w:spacing w:before="20" w:after="20"/>
              <w:jc w:val="right"/>
            </w:pPr>
            <w:r>
              <w:rPr>
                <w:b/>
                <w:color w:val="FFFFFF"/>
                <w:sz w:val="17"/>
              </w:rPr>
              <w:t xml:space="preserve">Year 1</w:t>
            </w:r>
          </w:p>
        </w:tc>
        <w:tc>
          <w:tcPr>
            <w:shd w:val="clear" w:color="auto" w:fill="213368"/>
          </w:tcPr>
          <w:p>
            <w:pPr>
              <w:pStyle w:val="Compact"/>
              <w:spacing w:before="20" w:after="20"/>
              <w:jc w:val="right"/>
            </w:pPr>
            <w:r>
              <w:rPr>
                <w:b/>
                <w:color w:val="FFFFFF"/>
                <w:sz w:val="17"/>
              </w:rPr>
              <w:t xml:space="preserve">Year 2</w:t>
            </w:r>
          </w:p>
        </w:tc>
        <w:tc>
          <w:tcPr>
            <w:shd w:val="clear" w:color="auto" w:fill="213368"/>
          </w:tcPr>
          <w:p>
            <w:pPr>
              <w:pStyle w:val="Compact"/>
              <w:spacing w:before="20" w:after="20"/>
              <w:jc w:val="right"/>
            </w:pPr>
            <w:r>
              <w:rPr>
                <w:b/>
                <w:color w:val="FFFFFF"/>
                <w:sz w:val="17"/>
              </w:rPr>
              <w:t xml:space="preserve">Year 3</w:t>
            </w:r>
          </w:p>
        </w:tc>
        <w:tc>
          <w:tcPr>
            <w:shd w:val="clear" w:color="auto" w:fill="213368"/>
          </w:tcPr>
          <w:p>
            <w:pPr>
              <w:pStyle w:val="Compact"/>
              <w:spacing w:before="20" w:after="20"/>
              <w:jc w:val="right"/>
            </w:pPr>
            <w:r>
              <w:rPr>
                <w:b/>
                <w:color w:val="FFFFFF"/>
                <w:sz w:val="17"/>
              </w:rPr>
              <w:t xml:space="preserve">Three years</w:t>
            </w:r>
          </w:p>
        </w:tc>
      </w:tr>
      <w:tr>
        <w:tc>
          <w:tcPr/>
          <w:p>
            <w:pPr>
              <w:pStyle w:val="Compact"/>
              <w:spacing w:before="20" w:after="20"/>
              <w:jc w:val="left"/>
            </w:pPr>
            <w:r>
              <w:rPr>
                <w:sz w:val="17"/>
              </w:rPr>
              <w:t xml:space="preserve">MVP (fixed price)</w:t>
            </w:r>
          </w:p>
        </w:tc>
        <w:tc>
          <w:tcPr/>
          <w:p>
            <w:pPr>
              <w:pStyle w:val="Compact"/>
              <w:spacing w:before="20" w:after="20"/>
              <w:jc w:val="right"/>
            </w:pPr>
            <w:r>
              <w:rPr>
                <w:sz w:val="17"/>
              </w:rPr>
              <w:t xml:space="preserve">94,800</w:t>
            </w:r>
          </w:p>
        </w:tc>
        <w:tc>
          <w:tcPr/>
          <w:p>
            <w:pPr>
              <w:pStyle w:val="Compact"/>
              <w:spacing w:before="20" w:after="20"/>
            </w:pPr>
          </w:p>
        </w:tc>
        <w:tc>
          <w:tcPr/>
          <w:p>
            <w:pPr>
              <w:pStyle w:val="Compact"/>
              <w:spacing w:before="20" w:after="20"/>
            </w:pPr>
          </w:p>
        </w:tc>
        <w:tc>
          <w:tcPr/>
          <w:p>
            <w:pPr>
              <w:pStyle w:val="Compact"/>
              <w:spacing w:before="20" w:after="20"/>
              <w:jc w:val="right"/>
            </w:pPr>
            <w:r>
              <w:rPr>
                <w:sz w:val="17"/>
              </w:rPr>
              <w:t xml:space="preserve">94,800</w:t>
            </w:r>
          </w:p>
        </w:tc>
      </w:tr>
      <w:tr>
        <w:tc>
          <w:tcPr/>
          <w:p>
            <w:pPr>
              <w:pStyle w:val="Compact"/>
              <w:spacing w:before="20" w:after="20"/>
              <w:jc w:val="left"/>
            </w:pPr>
            <w:r>
              <w:rPr>
                <w:sz w:val="17"/>
              </w:rPr>
              <w:t xml:space="preserve">Scale phase (capped)</w:t>
            </w:r>
          </w:p>
        </w:tc>
        <w:tc>
          <w:tcPr/>
          <w:p>
            <w:pPr>
              <w:pStyle w:val="Compact"/>
              <w:spacing w:before="20" w:after="20"/>
              <w:jc w:val="right"/>
            </w:pPr>
            <w:r>
              <w:rPr>
                <w:sz w:val="17"/>
              </w:rPr>
              <w:t xml:space="preserve">147,500</w:t>
            </w:r>
          </w:p>
        </w:tc>
        <w:tc>
          <w:tcPr/>
          <w:p>
            <w:pPr>
              <w:pStyle w:val="Compact"/>
              <w:spacing w:before="20" w:after="20"/>
            </w:pPr>
          </w:p>
        </w:tc>
        <w:tc>
          <w:tcPr/>
          <w:p>
            <w:pPr>
              <w:pStyle w:val="Compact"/>
              <w:spacing w:before="20" w:after="20"/>
            </w:pPr>
          </w:p>
        </w:tc>
        <w:tc>
          <w:tcPr/>
          <w:p>
            <w:pPr>
              <w:pStyle w:val="Compact"/>
              <w:spacing w:before="20" w:after="20"/>
              <w:jc w:val="right"/>
            </w:pPr>
            <w:r>
              <w:rPr>
                <w:sz w:val="17"/>
              </w:rPr>
              <w:t xml:space="preserve">147,500</w:t>
            </w:r>
          </w:p>
        </w:tc>
      </w:tr>
      <w:tr>
        <w:tc>
          <w:tcPr/>
          <w:p>
            <w:pPr>
              <w:pStyle w:val="Compact"/>
              <w:spacing w:before="20" w:after="20"/>
              <w:jc w:val="left"/>
            </w:pPr>
            <w:r>
              <w:rPr>
                <w:sz w:val="17"/>
              </w:rPr>
              <w:t xml:space="preserve">Managed service</w:t>
            </w:r>
          </w:p>
        </w:tc>
        <w:tc>
          <w:tcPr/>
          <w:p>
            <w:pPr>
              <w:pStyle w:val="Compact"/>
              <w:spacing w:before="20" w:after="20"/>
              <w:jc w:val="right"/>
            </w:pPr>
            <w:r>
              <w:rPr>
                <w:sz w:val="17"/>
              </w:rPr>
              <w:t xml:space="preserve">55,200</w:t>
            </w:r>
          </w:p>
        </w:tc>
        <w:tc>
          <w:tcPr/>
          <w:p>
            <w:pPr>
              <w:pStyle w:val="Compact"/>
              <w:spacing w:before="20" w:after="20"/>
              <w:jc w:val="right"/>
            </w:pPr>
            <w:r>
              <w:rPr>
                <w:sz w:val="17"/>
              </w:rPr>
              <w:t xml:space="preserve">82,800</w:t>
            </w:r>
          </w:p>
        </w:tc>
        <w:tc>
          <w:tcPr/>
          <w:p>
            <w:pPr>
              <w:pStyle w:val="Compact"/>
              <w:spacing w:before="20" w:after="20"/>
              <w:jc w:val="right"/>
            </w:pPr>
            <w:r>
              <w:rPr>
                <w:sz w:val="17"/>
              </w:rPr>
              <w:t xml:space="preserve">85,284</w:t>
            </w:r>
          </w:p>
        </w:tc>
        <w:tc>
          <w:tcPr/>
          <w:p>
            <w:pPr>
              <w:pStyle w:val="Compact"/>
              <w:spacing w:before="20" w:after="20"/>
              <w:jc w:val="right"/>
            </w:pPr>
            <w:r>
              <w:rPr>
                <w:sz w:val="17"/>
              </w:rPr>
              <w:t xml:space="preserve">223,284</w:t>
            </w:r>
          </w:p>
        </w:tc>
      </w:tr>
      <w:tr>
        <w:tc>
          <w:tcPr/>
          <w:p>
            <w:pPr>
              <w:pStyle w:val="Compact"/>
              <w:spacing w:before="20" w:after="20"/>
              <w:jc w:val="left"/>
            </w:pPr>
            <w:r>
              <w:rPr>
                <w:sz w:val="17"/>
              </w:rPr>
              <w:t xml:space="preserve">Enhancement pool (optional)</w:t>
            </w:r>
          </w:p>
        </w:tc>
        <w:tc>
          <w:tcPr/>
          <w:p>
            <w:pPr>
              <w:pStyle w:val="Compact"/>
              <w:spacing w:before="20" w:after="20"/>
            </w:pPr>
          </w:p>
        </w:tc>
        <w:tc>
          <w:tcPr/>
          <w:p>
            <w:pPr>
              <w:pStyle w:val="Compact"/>
              <w:spacing w:before="20" w:after="20"/>
              <w:jc w:val="right"/>
            </w:pPr>
            <w:r>
              <w:rPr>
                <w:sz w:val="17"/>
              </w:rPr>
              <w:t xml:space="preserve">48,000</w:t>
            </w:r>
          </w:p>
        </w:tc>
        <w:tc>
          <w:tcPr/>
          <w:p>
            <w:pPr>
              <w:pStyle w:val="Compact"/>
              <w:spacing w:before="20" w:after="20"/>
              <w:jc w:val="right"/>
            </w:pPr>
            <w:r>
              <w:rPr>
                <w:sz w:val="17"/>
              </w:rPr>
              <w:t xml:space="preserve">48,000</w:t>
            </w:r>
          </w:p>
        </w:tc>
        <w:tc>
          <w:tcPr/>
          <w:p>
            <w:pPr>
              <w:pStyle w:val="Compact"/>
              <w:spacing w:before="20" w:after="20"/>
              <w:jc w:val="right"/>
            </w:pPr>
            <w:r>
              <w:rPr>
                <w:sz w:val="17"/>
              </w:rPr>
              <w:t xml:space="preserve">96,000</w:t>
            </w:r>
          </w:p>
        </w:tc>
      </w:tr>
      <w:tr>
        <w:tc>
          <w:tcPr/>
          <w:p>
            <w:pPr>
              <w:pStyle w:val="Compact"/>
              <w:spacing w:before="20" w:after="20"/>
              <w:jc w:val="left"/>
            </w:pPr>
            <w:r>
              <w:rPr>
                <w:sz w:val="17"/>
              </w:rPr>
              <w:t xml:space="preserve">Cloud infrastructure</w:t>
            </w:r>
          </w:p>
        </w:tc>
        <w:tc>
          <w:tcPr/>
          <w:p>
            <w:pPr>
              <w:pStyle w:val="Compact"/>
              <w:spacing w:before="20" w:after="20"/>
              <w:jc w:val="right"/>
            </w:pPr>
            <w:r>
              <w:rPr>
                <w:sz w:val="17"/>
              </w:rPr>
              <w:t xml:space="preserve">25,150</w:t>
            </w:r>
          </w:p>
        </w:tc>
        <w:tc>
          <w:tcPr/>
          <w:p>
            <w:pPr>
              <w:pStyle w:val="Compact"/>
              <w:spacing w:before="20" w:after="20"/>
              <w:jc w:val="right"/>
            </w:pPr>
            <w:r>
              <w:rPr>
                <w:sz w:val="17"/>
              </w:rPr>
              <w:t xml:space="preserve">40,800</w:t>
            </w:r>
          </w:p>
        </w:tc>
        <w:tc>
          <w:tcPr/>
          <w:p>
            <w:pPr>
              <w:pStyle w:val="Compact"/>
              <w:spacing w:before="20" w:after="20"/>
              <w:jc w:val="right"/>
            </w:pPr>
            <w:r>
              <w:rPr>
                <w:sz w:val="17"/>
              </w:rPr>
              <w:t xml:space="preserve">42,024</w:t>
            </w:r>
          </w:p>
        </w:tc>
        <w:tc>
          <w:tcPr/>
          <w:p>
            <w:pPr>
              <w:pStyle w:val="Compact"/>
              <w:spacing w:before="20" w:after="20"/>
              <w:jc w:val="right"/>
            </w:pPr>
            <w:r>
              <w:rPr>
                <w:sz w:val="17"/>
              </w:rPr>
              <w:t xml:space="preserve">107,974</w:t>
            </w:r>
          </w:p>
        </w:tc>
      </w:tr>
      <w:tr>
        <w:tc>
          <w:tcPr>
            <w:noWrap/>
          </w:tcPr>
          <w:p>
            <w:pPr>
              <w:pStyle w:val="Compact"/>
              <w:spacing w:before="20" w:after="20"/>
              <w:jc w:val="left"/>
            </w:pPr>
            <w:r>
              <w:rPr>
                <w:bCs/>
                <w:b/>
                <w:sz w:val="17"/>
              </w:rPr>
              <w:t xml:space="preserve">Total</w:t>
            </w:r>
          </w:p>
        </w:tc>
        <w:tc>
          <w:tcPr/>
          <w:p>
            <w:pPr>
              <w:pStyle w:val="Compact"/>
              <w:spacing w:before="20" w:after="20"/>
              <w:jc w:val="right"/>
            </w:pPr>
            <w:r>
              <w:rPr>
                <w:bCs/>
                <w:b/>
                <w:sz w:val="17"/>
              </w:rPr>
              <w:t xml:space="preserve">322,650</w:t>
            </w:r>
          </w:p>
        </w:tc>
        <w:tc>
          <w:tcPr/>
          <w:p>
            <w:pPr>
              <w:pStyle w:val="Compact"/>
              <w:spacing w:before="20" w:after="20"/>
              <w:jc w:val="right"/>
            </w:pPr>
            <w:r>
              <w:rPr>
                <w:bCs/>
                <w:b/>
                <w:sz w:val="17"/>
              </w:rPr>
              <w:t xml:space="preserve">171,600</w:t>
            </w:r>
          </w:p>
        </w:tc>
        <w:tc>
          <w:tcPr/>
          <w:p>
            <w:pPr>
              <w:pStyle w:val="Compact"/>
              <w:spacing w:before="20" w:after="20"/>
              <w:jc w:val="right"/>
            </w:pPr>
            <w:r>
              <w:rPr>
                <w:bCs/>
                <w:b/>
                <w:sz w:val="17"/>
              </w:rPr>
              <w:t xml:space="preserve">175,308</w:t>
            </w:r>
          </w:p>
        </w:tc>
        <w:tc>
          <w:tcPr/>
          <w:p>
            <w:pPr>
              <w:pStyle w:val="Compact"/>
              <w:spacing w:before="20" w:after="20"/>
              <w:jc w:val="right"/>
            </w:pPr>
            <w:r>
              <w:rPr>
                <w:bCs/>
                <w:b/>
                <w:sz w:val="17"/>
              </w:rPr>
              <w:t xml:space="preserve">669,558</w:t>
            </w:r>
          </w:p>
        </w:tc>
      </w:tr>
      <w:tr>
        <w:tc>
          <w:tcPr/>
          <w:p>
            <w:pPr>
              <w:pStyle w:val="Compact"/>
              <w:spacing w:before="20" w:after="20"/>
              <w:jc w:val="left"/>
            </w:pPr>
            <w:r>
              <w:rPr>
                <w:sz w:val="17"/>
              </w:rPr>
              <w:t xml:space="preserve">≈ VND</w:t>
            </w:r>
          </w:p>
        </w:tc>
        <w:tc>
          <w:tcPr/>
          <w:p>
            <w:pPr>
              <w:pStyle w:val="Compact"/>
              <w:spacing w:before="20" w:after="20"/>
              <w:jc w:val="right"/>
            </w:pPr>
            <w:r>
              <w:rPr>
                <w:sz w:val="17"/>
              </w:rPr>
              <w:t xml:space="preserve">8.39 bn</w:t>
            </w:r>
          </w:p>
        </w:tc>
        <w:tc>
          <w:tcPr/>
          <w:p>
            <w:pPr>
              <w:pStyle w:val="Compact"/>
              <w:spacing w:before="20" w:after="20"/>
              <w:jc w:val="right"/>
            </w:pPr>
            <w:r>
              <w:rPr>
                <w:sz w:val="17"/>
              </w:rPr>
              <w:t xml:space="preserve">4.46 bn</w:t>
            </w:r>
          </w:p>
        </w:tc>
        <w:tc>
          <w:tcPr/>
          <w:p>
            <w:pPr>
              <w:pStyle w:val="Compact"/>
              <w:spacing w:before="20" w:after="20"/>
              <w:jc w:val="right"/>
            </w:pPr>
            <w:r>
              <w:rPr>
                <w:sz w:val="17"/>
              </w:rPr>
              <w:t xml:space="preserve">4.56 bn</w:t>
            </w:r>
          </w:p>
        </w:tc>
        <w:tc>
          <w:tcPr/>
          <w:p>
            <w:pPr>
              <w:pStyle w:val="Compact"/>
              <w:spacing w:before="20" w:after="20"/>
              <w:jc w:val="right"/>
            </w:pPr>
            <w:r>
              <w:rPr>
                <w:sz w:val="17"/>
              </w:rPr>
              <w:t xml:space="preserve">17.41 bn</w:t>
            </w:r>
          </w:p>
        </w:tc>
      </w:tr>
    </w:tbl>
    <w:p>
      <w:pPr>
        <w:pStyle w:val="BodyText"/>
      </w:pPr>
      <w:r>
        <w:t xml:space="preserve">Year 3 includes a 3% increase on the managed service and infrastructure.</w:t>
      </w:r>
      <w:r>
        <w:t xml:space="preserve"> </w:t>
      </w:r>
      <w:r>
        <w:rPr>
          <w:bCs/>
          <w:b/>
        </w:rPr>
        <w:t xml:space="preserve">Pilot-only path:</w:t>
      </w:r>
      <w:r>
        <w:t xml:space="preserve"> </w:t>
      </w:r>
      <w:r>
        <w:t xml:space="preserve">if TASCO keeps the platform at pilot scale without Phase 2, the year-1 cost is about USD 168,150 (MVP, 8 months of managed service and 11 months of pilot infrastructure).</w:t>
      </w:r>
    </w:p>
    <w:p>
      <w:pPr>
        <w:pStyle w:val="BodyText"/>
      </w:pPr>
      <w:r>
        <w:rPr>
          <w:bCs/>
          <w:b/>
        </w:rPr>
        <w:t xml:space="preserve">Context against the business case (doc 01 §12, illustrative).</w:t>
      </w:r>
      <w:r>
        <w:t xml:space="preserve"> </w:t>
      </w:r>
      <w:r>
        <w:t xml:space="preserve">In the base case, the year-2 platform cost (USD 0.17 M ≈ VND 4.46 bn) is about</w:t>
      </w:r>
      <w:r>
        <w:t xml:space="preserve"> </w:t>
      </w:r>
      <w:r>
        <w:rPr>
          <w:bCs/>
          <w:b/>
        </w:rPr>
        <w:t xml:space="preserve">5%</w:t>
      </w:r>
      <w:r>
        <w:t xml:space="preserve"> </w:t>
      </w:r>
      <w:r>
        <w:t xml:space="preserve">of total premium through the platform (VND 86.3 bn). The voice bot's saving on qualifying calls alone, about VND 12.2 bn a year against human telesales, exceeds the annual platform cost. The pilot's control group must confirm incrementality before scale-up (doc 01 §12.4).</w:t>
      </w:r>
    </w:p>
    <w:p>
      <w:r>
        <w:pict>
          <v:rect style="width:0;height:1.5pt" o:hralign="center" o:hrstd="t" o:hr="t"/>
        </w:pict>
      </w:r>
    </w:p>
    <w:bookmarkEnd w:id="37"/>
    <w:bookmarkStart w:id="38" w:name="X29b42ef9e9816151991a2f28448662c0602a3fe"/>
    <w:p>
      <w:pPr>
        <w:pStyle w:val="Heading2"/>
      </w:pPr>
      <w:r>
        <w:t xml:space="preserve">8. Governance and ways of working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Forum</w:t>
            </w:r>
          </w:p>
        </w:tc>
        <w:tc>
          <w:tcPr>
            <w:shd w:val="clear" w:color="auto" w:fill="213368"/>
          </w:tcPr>
          <w:p>
            <w:pPr>
              <w:pStyle w:val="Compact"/>
              <w:spacing w:before="20" w:after="20"/>
              <w:jc w:val="left"/>
            </w:pPr>
            <w:r>
              <w:rPr>
                <w:b/>
                <w:color w:val="FFFFFF"/>
                <w:sz w:val="18"/>
              </w:rPr>
              <w:t xml:space="preserve">Cadence</w:t>
            </w:r>
          </w:p>
        </w:tc>
        <w:tc>
          <w:tcPr>
            <w:shd w:val="clear" w:color="auto" w:fill="213368"/>
          </w:tcPr>
          <w:p>
            <w:pPr>
              <w:pStyle w:val="Compact"/>
              <w:spacing w:before="20" w:after="20"/>
              <w:jc w:val="left"/>
            </w:pPr>
            <w:r>
              <w:rPr>
                <w:b/>
                <w:color w:val="FFFFFF"/>
                <w:sz w:val="18"/>
              </w:rPr>
              <w:t xml:space="preserve">Participants</w:t>
            </w:r>
          </w:p>
        </w:tc>
        <w:tc>
          <w:tcPr>
            <w:shd w:val="clear" w:color="auto" w:fill="213368"/>
          </w:tcPr>
          <w:p>
            <w:pPr>
              <w:pStyle w:val="Compact"/>
              <w:spacing w:before="20" w:after="20"/>
              <w:jc w:val="left"/>
            </w:pPr>
            <w:r>
              <w:rPr>
                <w:b/>
                <w:color w:val="FFFFFF"/>
                <w:sz w:val="18"/>
              </w:rPr>
              <w:t xml:space="preserve">Purpose</w:t>
            </w:r>
          </w:p>
        </w:tc>
      </w:tr>
      <w:tr>
        <w:tc>
          <w:tcPr/>
          <w:p>
            <w:pPr>
              <w:pStyle w:val="Compact"/>
              <w:spacing w:before="20" w:after="20"/>
              <w:jc w:val="left"/>
            </w:pPr>
            <w:r>
              <w:rPr>
                <w:sz w:val="18"/>
              </w:rPr>
              <w:t xml:space="preserve">Steering committee</w:t>
            </w:r>
          </w:p>
        </w:tc>
        <w:tc>
          <w:tcPr/>
          <w:p>
            <w:pPr>
              <w:pStyle w:val="Compact"/>
              <w:spacing w:before="20" w:after="20"/>
              <w:jc w:val="left"/>
            </w:pPr>
            <w:r>
              <w:rPr>
                <w:sz w:val="18"/>
              </w:rPr>
              <w:t xml:space="preserve">Monthly</w:t>
            </w:r>
          </w:p>
        </w:tc>
        <w:tc>
          <w:tcPr/>
          <w:p>
            <w:pPr>
              <w:pStyle w:val="Compact"/>
              <w:spacing w:before="20" w:after="20"/>
              <w:jc w:val="left"/>
            </w:pPr>
            <w:r>
              <w:rPr>
                <w:sz w:val="18"/>
              </w:rPr>
              <w:t xml:space="preserve">TASCO and VETC executives, iorta engagement lead</w:t>
            </w:r>
          </w:p>
        </w:tc>
        <w:tc>
          <w:tcPr/>
          <w:p>
            <w:pPr>
              <w:pStyle w:val="Compact"/>
              <w:spacing w:before="20" w:after="20"/>
              <w:jc w:val="left"/>
            </w:pPr>
            <w:r>
              <w:rPr>
                <w:sz w:val="18"/>
              </w:rPr>
              <w:t xml:space="preserve">Scope, budget, KPI review, phase gates</w:t>
            </w:r>
          </w:p>
        </w:tc>
      </w:tr>
      <w:tr>
        <w:tc>
          <w:tcPr/>
          <w:p>
            <w:pPr>
              <w:pStyle w:val="Compact"/>
              <w:spacing w:before="20" w:after="20"/>
              <w:jc w:val="left"/>
            </w:pPr>
            <w:r>
              <w:rPr>
                <w:sz w:val="18"/>
              </w:rPr>
              <w:t xml:space="preserve">Product council</w:t>
            </w:r>
          </w:p>
        </w:tc>
        <w:tc>
          <w:tcPr/>
          <w:p>
            <w:pPr>
              <w:pStyle w:val="Compact"/>
              <w:spacing w:before="20" w:after="20"/>
              <w:jc w:val="left"/>
            </w:pPr>
            <w:r>
              <w:rPr>
                <w:sz w:val="18"/>
              </w:rPr>
              <w:t xml:space="preserve">Fortnightly</w:t>
            </w:r>
          </w:p>
        </w:tc>
        <w:tc>
          <w:tcPr/>
          <w:p>
            <w:pPr>
              <w:pStyle w:val="Compact"/>
              <w:spacing w:before="20" w:after="20"/>
              <w:jc w:val="left"/>
            </w:pPr>
            <w:r>
              <w:rPr>
                <w:sz w:val="18"/>
              </w:rPr>
              <w:t xml:space="preserve">TASCO product owner, VETC lead, iorta analyst and architect</w:t>
            </w:r>
          </w:p>
        </w:tc>
        <w:tc>
          <w:tcPr/>
          <w:p>
            <w:pPr>
              <w:pStyle w:val="Compact"/>
              <w:spacing w:before="20" w:after="20"/>
              <w:jc w:val="left"/>
            </w:pPr>
            <w:r>
              <w:rPr>
                <w:sz w:val="18"/>
              </w:rPr>
              <w:t xml:space="preserve">Backlog priority, rule-change requests</w:t>
            </w:r>
          </w:p>
        </w:tc>
      </w:tr>
      <w:tr>
        <w:tc>
          <w:tcPr/>
          <w:p>
            <w:pPr>
              <w:pStyle w:val="Compact"/>
              <w:spacing w:before="20" w:after="20"/>
              <w:jc w:val="left"/>
            </w:pPr>
            <w:r>
              <w:rPr>
                <w:sz w:val="18"/>
              </w:rPr>
              <w:t xml:space="preserve">Sprint review</w:t>
            </w:r>
          </w:p>
        </w:tc>
        <w:tc>
          <w:tcPr/>
          <w:p>
            <w:pPr>
              <w:pStyle w:val="Compact"/>
              <w:spacing w:before="20" w:after="20"/>
              <w:jc w:val="left"/>
            </w:pPr>
            <w:r>
              <w:rPr>
                <w:sz w:val="18"/>
              </w:rPr>
              <w:t xml:space="preserve">Every 2 weeks</w:t>
            </w:r>
          </w:p>
        </w:tc>
        <w:tc>
          <w:tcPr/>
          <w:p>
            <w:pPr>
              <w:pStyle w:val="Compact"/>
              <w:spacing w:before="20" w:after="20"/>
              <w:jc w:val="left"/>
            </w:pPr>
            <w:r>
              <w:rPr>
                <w:sz w:val="18"/>
              </w:rPr>
              <w:t xml:space="preserve">Product owner, key users</w:t>
            </w:r>
          </w:p>
        </w:tc>
        <w:tc>
          <w:tcPr/>
          <w:p>
            <w:pPr>
              <w:pStyle w:val="Compact"/>
              <w:spacing w:before="20" w:after="20"/>
              <w:jc w:val="left"/>
            </w:pPr>
            <w:r>
              <w:rPr>
                <w:sz w:val="18"/>
              </w:rPr>
              <w:t xml:space="preserve">Demonstration against doc 04 acceptance criteria</w:t>
            </w:r>
          </w:p>
        </w:tc>
      </w:tr>
      <w:tr>
        <w:tc>
          <w:tcPr/>
          <w:p>
            <w:pPr>
              <w:pStyle w:val="Compact"/>
              <w:spacing w:before="20" w:after="20"/>
              <w:jc w:val="left"/>
            </w:pPr>
            <w:r>
              <w:rPr>
                <w:sz w:val="18"/>
              </w:rPr>
              <w:t xml:space="preserve">Change control</w:t>
            </w:r>
          </w:p>
        </w:tc>
        <w:tc>
          <w:tcPr/>
          <w:p>
            <w:pPr>
              <w:pStyle w:val="Compact"/>
              <w:spacing w:before="20" w:after="20"/>
              <w:jc w:val="left"/>
            </w:pPr>
            <w:r>
              <w:rPr>
                <w:sz w:val="18"/>
              </w:rPr>
              <w:t xml:space="preserve">As needed</w:t>
            </w:r>
          </w:p>
        </w:tc>
        <w:tc>
          <w:tcPr/>
          <w:p>
            <w:pPr>
              <w:pStyle w:val="Compact"/>
              <w:spacing w:before="20" w:after="20"/>
              <w:jc w:val="left"/>
            </w:pPr>
            <w:r>
              <w:rPr>
                <w:sz w:val="18"/>
              </w:rPr>
              <w:t xml:space="preserve">Product owner, engagement lead</w:t>
            </w:r>
          </w:p>
        </w:tc>
        <w:tc>
          <w:tcPr/>
          <w:p>
            <w:pPr>
              <w:pStyle w:val="Compact"/>
              <w:spacing w:before="20" w:after="20"/>
              <w:jc w:val="left"/>
            </w:pPr>
            <w:r>
              <w:rPr>
                <w:sz w:val="18"/>
              </w:rPr>
              <w:t xml:space="preserve">Scope changes and their impact on price and timeline</w:t>
            </w:r>
          </w:p>
        </w:tc>
      </w:tr>
      <w:tr>
        <w:tc>
          <w:tcPr/>
          <w:p>
            <w:pPr>
              <w:pStyle w:val="Compact"/>
              <w:spacing w:before="20" w:after="20"/>
              <w:jc w:val="left"/>
            </w:pPr>
            <w:r>
              <w:rPr>
                <w:sz w:val="18"/>
              </w:rPr>
              <w:t xml:space="preserve">Compliance checkpoint</w:t>
            </w:r>
          </w:p>
        </w:tc>
        <w:tc>
          <w:tcPr/>
          <w:p>
            <w:pPr>
              <w:pStyle w:val="Compact"/>
              <w:spacing w:before="20" w:after="20"/>
              <w:jc w:val="left"/>
            </w:pPr>
            <w:r>
              <w:rPr>
                <w:sz w:val="18"/>
              </w:rPr>
              <w:t xml:space="preserve">Per release</w:t>
            </w:r>
          </w:p>
        </w:tc>
        <w:tc>
          <w:tcPr/>
          <w:p>
            <w:pPr>
              <w:pStyle w:val="Compact"/>
              <w:spacing w:before="20" w:after="20"/>
              <w:jc w:val="left"/>
            </w:pPr>
            <w:r>
              <w:rPr>
                <w:sz w:val="18"/>
              </w:rPr>
              <w:t xml:space="preserve">Compliance approver (PS-05)</w:t>
            </w:r>
          </w:p>
        </w:tc>
        <w:tc>
          <w:tcPr/>
          <w:p>
            <w:pPr>
              <w:pStyle w:val="Compact"/>
              <w:spacing w:before="20" w:after="20"/>
              <w:jc w:val="left"/>
            </w:pPr>
            <w:r>
              <w:rPr>
                <w:sz w:val="18"/>
              </w:rPr>
              <w:t xml:space="preserve">Wording, consent, PDP, audit evidence</w:t>
            </w:r>
          </w:p>
        </w:tc>
      </w:tr>
    </w:tbl>
    <w:p>
      <w:pPr>
        <w:pStyle w:val="BodyText"/>
      </w:pPr>
      <w:r>
        <w:rPr>
          <w:bCs/>
          <w:b/>
        </w:rPr>
        <w:t xml:space="preserve">Delivery approach.</w:t>
      </w:r>
      <w:r>
        <w:t xml:space="preserve"> </w:t>
      </w:r>
      <w:r>
        <w:t xml:space="preserve">Two-week sprints. The definition of done is: acceptance criteria met, tests at NFR-042 thresholds, lint clean, OpenAPI updated, and security checks passed. After go-live, business rule changes go through the</w:t>
      </w:r>
      <w:r>
        <w:t xml:space="preserve"> </w:t>
      </w:r>
      <w:r>
        <w:rPr>
          <w:bCs/>
          <w:b/>
        </w:rPr>
        <w:t xml:space="preserve">rules studio</w:t>
      </w:r>
      <w:r>
        <w:t xml:space="preserve"> </w:t>
      </w:r>
      <w:r>
        <w:t xml:space="preserve">(maker-checker) and do not need a release.</w:t>
      </w:r>
    </w:p>
    <w:p>
      <w:pPr>
        <w:pStyle w:val="BodyText"/>
      </w:pPr>
      <w:r>
        <w:rPr>
          <w:bCs/>
          <w:b/>
        </w:rPr>
        <w:t xml:space="preserve">Managed-service service levels (Phase 3).</w:t>
      </w:r>
      <w:r>
        <w:t xml:space="preserve"> </w:t>
      </w:r>
      <w:r>
        <w:t xml:space="preserve">Business hours are 08:00–17:30 Vietnam time, Monday to Friday.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Priority</w:t>
            </w:r>
          </w:p>
        </w:tc>
        <w:tc>
          <w:tcPr>
            <w:shd w:val="clear" w:color="auto" w:fill="213368"/>
          </w:tcPr>
          <w:p>
            <w:pPr>
              <w:pStyle w:val="Compact"/>
              <w:spacing w:before="20" w:after="20"/>
              <w:jc w:val="left"/>
            </w:pPr>
            <w:r>
              <w:rPr>
                <w:b/>
                <w:color w:val="FFFFFF"/>
                <w:sz w:val="18"/>
              </w:rPr>
              <w:t xml:space="preserve">Example</w:t>
            </w:r>
          </w:p>
        </w:tc>
        <w:tc>
          <w:tcPr>
            <w:shd w:val="clear" w:color="auto" w:fill="213368"/>
          </w:tcPr>
          <w:p>
            <w:pPr>
              <w:pStyle w:val="Compact"/>
              <w:spacing w:before="20" w:after="20"/>
              <w:jc w:val="left"/>
            </w:pPr>
            <w:r>
              <w:rPr>
                <w:b/>
                <w:color w:val="FFFFFF"/>
                <w:sz w:val="18"/>
              </w:rPr>
              <w:t xml:space="preserve">Response</w:t>
            </w:r>
          </w:p>
        </w:tc>
        <w:tc>
          <w:tcPr>
            <w:shd w:val="clear" w:color="auto" w:fill="213368"/>
          </w:tcPr>
          <w:p>
            <w:pPr>
              <w:pStyle w:val="Compact"/>
              <w:spacing w:before="20" w:after="20"/>
              <w:jc w:val="left"/>
            </w:pPr>
            <w:r>
              <w:rPr>
                <w:b/>
                <w:color w:val="FFFFFF"/>
                <w:sz w:val="18"/>
              </w:rPr>
              <w:t xml:space="preserve">Restore / workaround</w:t>
            </w:r>
          </w:p>
        </w:tc>
      </w:tr>
      <w:tr>
        <w:tc>
          <w:tcPr>
            <w:noWrap/>
          </w:tcPr>
          <w:p>
            <w:pPr>
              <w:pStyle w:val="Compact"/>
              <w:spacing w:before="20" w:after="20"/>
              <w:jc w:val="left"/>
            </w:pPr>
            <w:r>
              <w:rPr>
                <w:sz w:val="18"/>
              </w:rPr>
              <w:t xml:space="preserve">P1</w:t>
            </w:r>
          </w:p>
        </w:tc>
        <w:tc>
          <w:tcPr/>
          <w:p>
            <w:pPr>
              <w:pStyle w:val="Compact"/>
              <w:spacing w:before="20" w:after="20"/>
              <w:jc w:val="left"/>
            </w:pPr>
            <w:r>
              <w:rPr>
                <w:sz w:val="18"/>
              </w:rPr>
              <w:t xml:space="preserve">Purchase path down; data breach suspected</w:t>
            </w:r>
          </w:p>
        </w:tc>
        <w:tc>
          <w:tcPr/>
          <w:p>
            <w:pPr>
              <w:pStyle w:val="Compact"/>
              <w:spacing w:before="20" w:after="20"/>
              <w:jc w:val="left"/>
            </w:pPr>
            <w:r>
              <w:rPr>
                <w:sz w:val="18"/>
              </w:rPr>
              <w:t xml:space="preserve">30 min (24×7)</w:t>
            </w:r>
          </w:p>
        </w:tc>
        <w:tc>
          <w:tcPr/>
          <w:p>
            <w:pPr>
              <w:pStyle w:val="Compact"/>
              <w:spacing w:before="20" w:after="20"/>
              <w:jc w:val="left"/>
            </w:pPr>
            <w:r>
              <w:rPr>
                <w:sz w:val="18"/>
              </w:rPr>
              <w:t xml:space="preserve">4 h</w:t>
            </w:r>
          </w:p>
        </w:tc>
      </w:tr>
      <w:tr>
        <w:tc>
          <w:tcPr>
            <w:noWrap/>
          </w:tcPr>
          <w:p>
            <w:pPr>
              <w:pStyle w:val="Compact"/>
              <w:spacing w:before="20" w:after="20"/>
              <w:jc w:val="left"/>
            </w:pPr>
            <w:r>
              <w:rPr>
                <w:sz w:val="18"/>
              </w:rPr>
              <w:t xml:space="preserve">P2</w:t>
            </w:r>
          </w:p>
        </w:tc>
        <w:tc>
          <w:tcPr/>
          <w:p>
            <w:pPr>
              <w:pStyle w:val="Compact"/>
              <w:spacing w:before="20" w:after="20"/>
              <w:jc w:val="left"/>
            </w:pPr>
            <w:r>
              <w:rPr>
                <w:sz w:val="18"/>
              </w:rPr>
              <w:t xml:space="preserve">Journey run failing; one integration down</w:t>
            </w:r>
          </w:p>
        </w:tc>
        <w:tc>
          <w:tcPr/>
          <w:p>
            <w:pPr>
              <w:pStyle w:val="Compact"/>
              <w:spacing w:before="20" w:after="20"/>
              <w:jc w:val="left"/>
            </w:pPr>
            <w:r>
              <w:rPr>
                <w:sz w:val="18"/>
              </w:rPr>
              <w:t xml:space="preserve">2 business hours</w:t>
            </w:r>
          </w:p>
        </w:tc>
        <w:tc>
          <w:tcPr/>
          <w:p>
            <w:pPr>
              <w:pStyle w:val="Compact"/>
              <w:spacing w:before="20" w:after="20"/>
              <w:jc w:val="left"/>
            </w:pPr>
            <w:r>
              <w:rPr>
                <w:sz w:val="18"/>
              </w:rPr>
              <w:t xml:space="preserve">1 business day</w:t>
            </w:r>
          </w:p>
        </w:tc>
      </w:tr>
      <w:tr>
        <w:tc>
          <w:tcPr>
            <w:noWrap/>
          </w:tcPr>
          <w:p>
            <w:pPr>
              <w:pStyle w:val="Compact"/>
              <w:spacing w:before="20" w:after="20"/>
              <w:jc w:val="left"/>
            </w:pPr>
            <w:r>
              <w:rPr>
                <w:sz w:val="18"/>
              </w:rPr>
              <w:t xml:space="preserve">P3</w:t>
            </w:r>
          </w:p>
        </w:tc>
        <w:tc>
          <w:tcPr/>
          <w:p>
            <w:pPr>
              <w:pStyle w:val="Compact"/>
              <w:spacing w:before="20" w:after="20"/>
              <w:jc w:val="left"/>
            </w:pPr>
            <w:r>
              <w:rPr>
                <w:sz w:val="18"/>
              </w:rPr>
              <w:t xml:space="preserve">Non-critical defect</w:t>
            </w:r>
          </w:p>
        </w:tc>
        <w:tc>
          <w:tcPr/>
          <w:p>
            <w:pPr>
              <w:pStyle w:val="Compact"/>
              <w:spacing w:before="20" w:after="20"/>
              <w:jc w:val="left"/>
            </w:pPr>
            <w:r>
              <w:rPr>
                <w:sz w:val="18"/>
              </w:rPr>
              <w:t xml:space="preserve">Next business day</w:t>
            </w:r>
          </w:p>
        </w:tc>
        <w:tc>
          <w:tcPr/>
          <w:p>
            <w:pPr>
              <w:pStyle w:val="Compact"/>
              <w:spacing w:before="20" w:after="20"/>
              <w:jc w:val="left"/>
            </w:pPr>
            <w:r>
              <w:rPr>
                <w:sz w:val="18"/>
              </w:rPr>
              <w:t xml:space="preserve">Next release</w:t>
            </w:r>
          </w:p>
        </w:tc>
      </w:tr>
      <w:tr>
        <w:tc>
          <w:tcPr>
            <w:noWrap/>
          </w:tcPr>
          <w:p>
            <w:pPr>
              <w:pStyle w:val="Compact"/>
              <w:spacing w:before="20" w:after="20"/>
              <w:jc w:val="left"/>
            </w:pPr>
            <w:r>
              <w:rPr>
                <w:sz w:val="18"/>
              </w:rPr>
              <w:t xml:space="preserve">P4</w:t>
            </w:r>
          </w:p>
        </w:tc>
        <w:tc>
          <w:tcPr/>
          <w:p>
            <w:pPr>
              <w:pStyle w:val="Compact"/>
              <w:spacing w:before="20" w:after="20"/>
              <w:jc w:val="left"/>
            </w:pPr>
            <w:r>
              <w:rPr>
                <w:sz w:val="18"/>
              </w:rPr>
              <w:t xml:space="preserve">Enhancement or question</w:t>
            </w:r>
          </w:p>
        </w:tc>
        <w:tc>
          <w:tcPr/>
          <w:p>
            <w:pPr>
              <w:pStyle w:val="Compact"/>
              <w:spacing w:before="20" w:after="20"/>
              <w:jc w:val="left"/>
            </w:pPr>
            <w:r>
              <w:rPr>
                <w:sz w:val="18"/>
              </w:rPr>
              <w:t xml:space="preserve">3 business days</w:t>
            </w:r>
          </w:p>
        </w:tc>
        <w:tc>
          <w:tcPr/>
          <w:p>
            <w:pPr>
              <w:pStyle w:val="Compact"/>
              <w:spacing w:before="20" w:after="20"/>
              <w:jc w:val="left"/>
            </w:pPr>
            <w:r>
              <w:rPr>
                <w:sz w:val="18"/>
              </w:rPr>
              <w:t xml:space="preserve">Planned</w:t>
            </w:r>
          </w:p>
        </w:tc>
      </w:tr>
    </w:tbl>
    <w:p>
      <w:r>
        <w:pict>
          <v:rect style="width:0;height:1.5pt" o:hralign="center" o:hrstd="t" o:hr="t"/>
        </w:pict>
      </w:r>
    </w:p>
    <w:bookmarkEnd w:id="38"/>
    <w:bookmarkStart w:id="39" w:name="Xf0e84fbc24061432f3671343bf60d40f0e14ddf"/>
    <w:p>
      <w:pPr>
        <w:pStyle w:val="Heading2"/>
      </w:pPr>
      <w:r>
        <w:t xml:space="preserve">9. Assumptions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Assumption</w:t>
            </w:r>
          </w:p>
        </w:tc>
      </w:tr>
      <w:tr>
        <w:tc>
          <w:tcPr>
            <w:noWrap/>
          </w:tcPr>
          <w:p>
            <w:pPr>
              <w:pStyle w:val="Compact"/>
              <w:spacing w:before="20" w:after="20"/>
              <w:jc w:val="left"/>
            </w:pPr>
            <w:r>
              <w:rPr>
                <w:sz w:val="18"/>
              </w:rPr>
              <w:t xml:space="preserve">C-01</w:t>
            </w:r>
          </w:p>
        </w:tc>
        <w:tc>
          <w:tcPr/>
          <w:p>
            <w:pPr>
              <w:pStyle w:val="Compact"/>
              <w:spacing w:before="20" w:after="20"/>
              <w:jc w:val="left"/>
            </w:pPr>
            <w:r>
              <w:rPr>
                <w:sz w:val="18"/>
              </w:rPr>
              <w:t xml:space="preserve">FX USD 1 = VND 26,000. Prices are quoted in USD, and invoices can be issued in USD or VND at a rate agreed at contract.</w:t>
            </w:r>
          </w:p>
        </w:tc>
      </w:tr>
      <w:tr>
        <w:tc>
          <w:tcPr>
            <w:noWrap/>
          </w:tcPr>
          <w:p>
            <w:pPr>
              <w:pStyle w:val="Compact"/>
              <w:spacing w:before="20" w:after="20"/>
              <w:jc w:val="left"/>
            </w:pPr>
            <w:r>
              <w:rPr>
                <w:sz w:val="18"/>
              </w:rPr>
              <w:t xml:space="preserve">C-02</w:t>
            </w:r>
          </w:p>
        </w:tc>
        <w:tc>
          <w:tcPr/>
          <w:p>
            <w:pPr>
              <w:pStyle w:val="Compact"/>
              <w:spacing w:before="20" w:after="20"/>
              <w:jc w:val="left"/>
            </w:pPr>
            <w:r>
              <w:rPr>
                <w:sz w:val="18"/>
              </w:rPr>
              <w:t xml:space="preserve">The rate card in §4.4 applies to change requests, Phase 2 and the enhancement pool.</w:t>
            </w:r>
          </w:p>
        </w:tc>
      </w:tr>
      <w:tr>
        <w:tc>
          <w:tcPr>
            <w:noWrap/>
          </w:tcPr>
          <w:p>
            <w:pPr>
              <w:pStyle w:val="Compact"/>
              <w:spacing w:before="20" w:after="20"/>
              <w:jc w:val="left"/>
            </w:pPr>
            <w:r>
              <w:rPr>
                <w:sz w:val="18"/>
              </w:rPr>
              <w:t xml:space="preserve">C-03</w:t>
            </w:r>
          </w:p>
        </w:tc>
        <w:tc>
          <w:tcPr/>
          <w:p>
            <w:pPr>
              <w:pStyle w:val="Compact"/>
              <w:spacing w:before="20" w:after="20"/>
              <w:jc w:val="left"/>
            </w:pPr>
            <w:r>
              <w:rPr>
                <w:sz w:val="18"/>
              </w:rPr>
              <w:t xml:space="preserve">1 FTE-week = 5 person-days; 1 month = 21 person-days.</w:t>
            </w:r>
          </w:p>
        </w:tc>
      </w:tr>
      <w:tr>
        <w:tc>
          <w:tcPr>
            <w:noWrap/>
          </w:tcPr>
          <w:p>
            <w:pPr>
              <w:pStyle w:val="Compact"/>
              <w:spacing w:before="20" w:after="20"/>
              <w:jc w:val="left"/>
            </w:pPr>
            <w:r>
              <w:rPr>
                <w:sz w:val="18"/>
              </w:rPr>
              <w:t xml:space="preserve">C-04</w:t>
            </w:r>
          </w:p>
        </w:tc>
        <w:tc>
          <w:tcPr/>
          <w:p>
            <w:pPr>
              <w:pStyle w:val="Compact"/>
              <w:spacing w:before="20" w:after="20"/>
              <w:jc w:val="left"/>
            </w:pPr>
            <w:r>
              <w:rPr>
                <w:sz w:val="18"/>
              </w:rPr>
              <w:t xml:space="preserve">TASCO provides core interface documentation (catalogue, rating, issuance) and a sandbox, or agrees the interim rating path, by the end of week 2; VETC provides sandboxes for wallet, push and the app web view by the same date; production credentials are available by week 10.</w:t>
            </w:r>
          </w:p>
        </w:tc>
      </w:tr>
      <w:tr>
        <w:tc>
          <w:tcPr>
            <w:noWrap/>
          </w:tcPr>
          <w:p>
            <w:pPr>
              <w:pStyle w:val="Compact"/>
              <w:spacing w:before="20" w:after="20"/>
              <w:jc w:val="left"/>
            </w:pPr>
            <w:r>
              <w:rPr>
                <w:sz w:val="18"/>
              </w:rPr>
              <w:t xml:space="preserve">C-05</w:t>
            </w:r>
          </w:p>
        </w:tc>
        <w:tc>
          <w:tcPr/>
          <w:p>
            <w:pPr>
              <w:pStyle w:val="Compact"/>
              <w:spacing w:before="20" w:after="20"/>
              <w:jc w:val="left"/>
            </w:pPr>
            <w:r>
              <w:rPr>
                <w:sz w:val="18"/>
              </w:rPr>
              <w:t xml:space="preserve">One voice-AI vendor (SIP plus Vietnamese ASR/TTS) is selected in Phase 0 and contracted directly by TASCO/VETC. Per-minute costs are pass-through.</w:t>
            </w:r>
          </w:p>
        </w:tc>
      </w:tr>
      <w:tr>
        <w:tc>
          <w:tcPr>
            <w:noWrap/>
          </w:tcPr>
          <w:p>
            <w:pPr>
              <w:pStyle w:val="Compact"/>
              <w:spacing w:before="20" w:after="20"/>
              <w:jc w:val="left"/>
            </w:pPr>
            <w:r>
              <w:rPr>
                <w:sz w:val="18"/>
              </w:rPr>
              <w:t xml:space="preserve">C-06</w:t>
            </w:r>
          </w:p>
        </w:tc>
        <w:tc>
          <w:tcPr/>
          <w:p>
            <w:pPr>
              <w:pStyle w:val="Compact"/>
              <w:spacing w:before="20" w:after="20"/>
              <w:jc w:val="left"/>
            </w:pPr>
            <w:r>
              <w:rPr>
                <w:sz w:val="18"/>
              </w:rPr>
              <w:t xml:space="preserve">The pilot cohort is 50,000–100,000 vehicles in 1–2 provinces, with a randomised control group.</w:t>
            </w:r>
          </w:p>
        </w:tc>
      </w:tr>
      <w:tr>
        <w:tc>
          <w:tcPr>
            <w:noWrap/>
          </w:tcPr>
          <w:p>
            <w:pPr>
              <w:pStyle w:val="Compact"/>
              <w:spacing w:before="20" w:after="20"/>
              <w:jc w:val="left"/>
            </w:pPr>
            <w:r>
              <w:rPr>
                <w:sz w:val="18"/>
              </w:rPr>
              <w:t xml:space="preserve">C-07</w:t>
            </w:r>
          </w:p>
        </w:tc>
        <w:tc>
          <w:tcPr/>
          <w:p>
            <w:pPr>
              <w:pStyle w:val="Compact"/>
              <w:spacing w:before="20" w:after="20"/>
              <w:jc w:val="left"/>
            </w:pPr>
            <w:r>
              <w:rPr>
                <w:sz w:val="18"/>
              </w:rPr>
              <w:t xml:space="preserve">TASCO legal confirms tariff, commission caps, contact policy, PDP basis and data residency in Phase 0. Delays move milestones day for day.</w:t>
            </w:r>
          </w:p>
        </w:tc>
      </w:tr>
      <w:tr>
        <w:tc>
          <w:tcPr>
            <w:noWrap/>
          </w:tcPr>
          <w:p>
            <w:pPr>
              <w:pStyle w:val="Compact"/>
              <w:spacing w:before="20" w:after="20"/>
              <w:jc w:val="left"/>
            </w:pPr>
            <w:r>
              <w:rPr>
                <w:sz w:val="18"/>
              </w:rPr>
              <w:t xml:space="preserve">C-08</w:t>
            </w:r>
          </w:p>
        </w:tc>
        <w:tc>
          <w:tcPr/>
          <w:p>
            <w:pPr>
              <w:pStyle w:val="Compact"/>
              <w:spacing w:before="20" w:after="20"/>
              <w:jc w:val="left"/>
            </w:pPr>
            <w:r>
              <w:rPr>
                <w:sz w:val="18"/>
              </w:rPr>
              <w:t xml:space="preserve">Hosting is in Vietnam on a managed Kubernetes and PostgreSQL platform chosen in Phase 0, and TASCO pays for it directly.</w:t>
            </w:r>
          </w:p>
        </w:tc>
      </w:tr>
      <w:tr>
        <w:tc>
          <w:tcPr>
            <w:noWrap/>
          </w:tcPr>
          <w:p>
            <w:pPr>
              <w:pStyle w:val="Compact"/>
              <w:spacing w:before="20" w:after="20"/>
              <w:jc w:val="left"/>
            </w:pPr>
            <w:r>
              <w:rPr>
                <w:sz w:val="18"/>
              </w:rPr>
              <w:t xml:space="preserve">C-09</w:t>
            </w:r>
          </w:p>
        </w:tc>
        <w:tc>
          <w:tcPr/>
          <w:p>
            <w:pPr>
              <w:pStyle w:val="Compact"/>
              <w:spacing w:before="20" w:after="20"/>
              <w:jc w:val="left"/>
            </w:pPr>
            <w:r>
              <w:rPr>
                <w:sz w:val="18"/>
              </w:rPr>
              <w:t xml:space="preserve">The existing codebase is the baseline. The open engineering notes in doc 05 that affect the MVP scope are closed in Phase 1; the rest in Phase 2.</w:t>
            </w:r>
          </w:p>
        </w:tc>
      </w:tr>
      <w:tr>
        <w:tc>
          <w:tcPr>
            <w:noWrap/>
          </w:tcPr>
          <w:p>
            <w:pPr>
              <w:pStyle w:val="Compact"/>
              <w:spacing w:before="20" w:after="20"/>
              <w:jc w:val="left"/>
            </w:pPr>
            <w:r>
              <w:rPr>
                <w:sz w:val="18"/>
              </w:rPr>
              <w:t xml:space="preserve">C-10</w:t>
            </w:r>
          </w:p>
        </w:tc>
        <w:tc>
          <w:tcPr/>
          <w:p>
            <w:pPr>
              <w:pStyle w:val="Compact"/>
              <w:spacing w:before="20" w:after="20"/>
              <w:jc w:val="left"/>
            </w:pPr>
            <w:r>
              <w:rPr>
                <w:sz w:val="18"/>
              </w:rPr>
              <w:t xml:space="preserve">User acceptance is against doc 04 acceptance criteria for in-scope stories.</w:t>
            </w:r>
          </w:p>
        </w:tc>
      </w:tr>
      <w:tr>
        <w:tc>
          <w:tcPr>
            <w:noWrap/>
          </w:tcPr>
          <w:p>
            <w:pPr>
              <w:pStyle w:val="Compact"/>
              <w:spacing w:before="20" w:after="20"/>
              <w:jc w:val="left"/>
            </w:pPr>
            <w:r>
              <w:rPr>
                <w:sz w:val="18"/>
              </w:rPr>
              <w:t xml:space="preserve">C-11</w:t>
            </w:r>
          </w:p>
        </w:tc>
        <w:tc>
          <w:tcPr/>
          <w:p>
            <w:pPr>
              <w:pStyle w:val="Compact"/>
              <w:spacing w:before="20" w:after="20"/>
              <w:jc w:val="left"/>
            </w:pPr>
            <w:r>
              <w:rPr>
                <w:sz w:val="18"/>
              </w:rPr>
              <w:t xml:space="preserve">The console is in English and Vietnamese, and the customer app is in Vietnamese. Customer wording is written or approved by TASCO/VETC.</w:t>
            </w:r>
          </w:p>
        </w:tc>
      </w:tr>
    </w:tbl>
    <w:bookmarkEnd w:id="39"/>
    <w:bookmarkStart w:id="40" w:name="Xc45742fdadce7c3cebf9b63af96500dd19b3591"/>
    <w:p>
      <w:pPr>
        <w:pStyle w:val="Heading2"/>
      </w:pPr>
      <w:r>
        <w:t xml:space="preserve">10. Exclusions</w:t>
      </w:r>
    </w:p>
    <w:p>
      <w:pPr>
        <w:numPr>
          <w:ilvl w:val="0"/>
          <w:numId w:val="1001"/>
        </w:numPr>
        <w:pStyle w:val="Compact"/>
      </w:pPr>
      <w:r>
        <w:t xml:space="preserve">Licences and usage fees of third-party services: voice-AI minutes, Zalo OA/ZNS, SMS brandname, push providers and cloud infrastructure.</w:t>
      </w:r>
    </w:p>
    <w:p>
      <w:pPr>
        <w:numPr>
          <w:ilvl w:val="0"/>
          <w:numId w:val="1001"/>
        </w:numPr>
        <w:pStyle w:val="Compact"/>
      </w:pPr>
      <w:r>
        <w:t xml:space="preserve">Changes inside TASCO's core system, the VETC app's native code, the VETC wallet or the VETC identity provider, beyond consuming their APIs.</w:t>
      </w:r>
    </w:p>
    <w:p>
      <w:pPr>
        <w:numPr>
          <w:ilvl w:val="0"/>
          <w:numId w:val="1001"/>
        </w:numPr>
        <w:pStyle w:val="Compact"/>
      </w:pPr>
      <w:r>
        <w:t xml:space="preserve">Claims adjudication, reserving, reinsurance and finance-system integration (accounting entries, VAT e-invoicing).</w:t>
      </w:r>
    </w:p>
    <w:p>
      <w:pPr>
        <w:numPr>
          <w:ilvl w:val="0"/>
          <w:numId w:val="1001"/>
        </w:numPr>
        <w:pStyle w:val="Compact"/>
      </w:pPr>
      <w:r>
        <w:t xml:space="preserve">Independent penetration testing by a third party (recommended; indicatively USD 6,000–10,000 in Vietnam), certification or audit fees.</w:t>
      </w:r>
    </w:p>
    <w:p>
      <w:pPr>
        <w:numPr>
          <w:ilvl w:val="0"/>
          <w:numId w:val="1001"/>
        </w:numPr>
        <w:pStyle w:val="Compact"/>
      </w:pPr>
      <w:r>
        <w:t xml:space="preserve">Migration of historical TASCO policy archives beyond the expiry-relevant fields.</w:t>
      </w:r>
    </w:p>
    <w:p>
      <w:pPr>
        <w:numPr>
          <w:ilvl w:val="0"/>
          <w:numId w:val="1001"/>
        </w:numPr>
        <w:pStyle w:val="Compact"/>
      </w:pPr>
      <w:r>
        <w:t xml:space="preserve">Legal, actuarial or regulatory advice. The platform encodes TASCO's decisions; it does not make them.</w:t>
      </w:r>
    </w:p>
    <w:p>
      <w:pPr>
        <w:numPr>
          <w:ilvl w:val="0"/>
          <w:numId w:val="1001"/>
        </w:numPr>
        <w:pStyle w:val="Compact"/>
      </w:pPr>
      <w:r>
        <w:t xml:space="preserve">On-premise hardware, and 24×7 coverage for P2–P4 (available on request).</w:t>
      </w:r>
    </w:p>
    <w:p>
      <w:pPr>
        <w:numPr>
          <w:ilvl w:val="0"/>
          <w:numId w:val="1001"/>
        </w:numPr>
        <w:pStyle w:val="Compact"/>
      </w:pPr>
      <w:r>
        <w:t xml:space="preserve">Marketing spend, call-centre staffing and customer-communication costs.</w:t>
      </w:r>
    </w:p>
    <w:bookmarkEnd w:id="40"/>
    <w:bookmarkStart w:id="41" w:name="X15497b16cc5bbff0e5417f2504503498185719f"/>
    <w:p>
      <w:pPr>
        <w:pStyle w:val="Heading2"/>
      </w:pPr>
      <w:r>
        <w:t xml:space="preserve">11. Key commercial risks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Risk</w:t>
            </w:r>
          </w:p>
        </w:tc>
        <w:tc>
          <w:tcPr>
            <w:shd w:val="clear" w:color="auto" w:fill="213368"/>
          </w:tcPr>
          <w:p>
            <w:pPr>
              <w:pStyle w:val="Compact"/>
              <w:spacing w:before="20" w:after="20"/>
              <w:jc w:val="left"/>
            </w:pPr>
            <w:r>
              <w:rPr>
                <w:b/>
                <w:color w:val="FFFFFF"/>
                <w:sz w:val="18"/>
              </w:rPr>
              <w:t xml:space="preserve">Mitigation</w:t>
            </w:r>
          </w:p>
        </w:tc>
      </w:tr>
      <w:tr>
        <w:tc>
          <w:tcPr/>
          <w:p>
            <w:pPr>
              <w:pStyle w:val="Compact"/>
              <w:spacing w:before="20" w:after="20"/>
              <w:jc w:val="left"/>
            </w:pPr>
            <w:r>
              <w:rPr>
                <w:sz w:val="18"/>
              </w:rPr>
              <w:t xml:space="preserve">TASCO core rating API not available in time</w:t>
            </w:r>
          </w:p>
        </w:tc>
        <w:tc>
          <w:tcPr/>
          <w:p>
            <w:pPr>
              <w:pStyle w:val="Compact"/>
              <w:spacing w:before="20" w:after="20"/>
              <w:jc w:val="left"/>
            </w:pPr>
            <w:r>
              <w:rPr>
                <w:sz w:val="18"/>
              </w:rPr>
              <w:t xml:space="preserve">Interim path: approved tariff tables in the platform with core re-rating at issue; decided in week 2</w:t>
            </w:r>
          </w:p>
        </w:tc>
      </w:tr>
      <w:tr>
        <w:tc>
          <w:tcPr/>
          <w:p>
            <w:pPr>
              <w:pStyle w:val="Compact"/>
              <w:spacing w:before="20" w:after="20"/>
              <w:jc w:val="left"/>
            </w:pPr>
            <w:r>
              <w:rPr>
                <w:sz w:val="18"/>
              </w:rPr>
              <w:t xml:space="preserve">Integration sandboxes late</w:t>
            </w:r>
          </w:p>
        </w:tc>
        <w:tc>
          <w:tcPr/>
          <w:p>
            <w:pPr>
              <w:pStyle w:val="Compact"/>
              <w:spacing w:before="20" w:after="20"/>
              <w:jc w:val="left"/>
            </w:pPr>
            <w:r>
              <w:rPr>
                <w:sz w:val="18"/>
              </w:rPr>
              <w:t xml:space="preserve">Simulated adapters already exist, so build continues; milestone dates move day for day by agreement</w:t>
            </w:r>
          </w:p>
        </w:tc>
      </w:tr>
      <w:tr>
        <w:tc>
          <w:tcPr/>
          <w:p>
            <w:pPr>
              <w:pStyle w:val="Compact"/>
              <w:spacing w:before="20" w:after="20"/>
              <w:jc w:val="left"/>
            </w:pPr>
            <w:r>
              <w:rPr>
                <w:sz w:val="18"/>
              </w:rPr>
              <w:t xml:space="preserve">Legal confirmations late (PDP, wording, loyalty)</w:t>
            </w:r>
          </w:p>
        </w:tc>
        <w:tc>
          <w:tcPr/>
          <w:p>
            <w:pPr>
              <w:pStyle w:val="Compact"/>
              <w:spacing w:before="20" w:after="20"/>
              <w:jc w:val="left"/>
            </w:pPr>
            <w:r>
              <w:rPr>
                <w:sz w:val="18"/>
              </w:rPr>
              <w:t xml:space="preserve">Conservative defaults in rules; features gated (</w:t>
            </w:r>
            <w:r>
              <w:rPr>
                <w:rStyle w:val="VerbatimChar"/>
                <w:sz w:val="18"/>
              </w:rPr>
              <w:t xml:space="preserve">legalStatus</w:t>
            </w:r>
            <w:r>
              <w:rPr>
                <w:sz w:val="18"/>
              </w:rPr>
              <w:t xml:space="preserve">,</w:t>
            </w:r>
            <w:r>
              <w:rPr>
                <w:sz w:val="18"/>
              </w:rPr>
              <w:t xml:space="preserve"> </w:t>
            </w:r>
            <w:r>
              <w:rPr>
                <w:rStyle w:val="VerbatimChar"/>
                <w:sz w:val="18"/>
              </w:rPr>
              <w:t xml:space="preserve">referral.enabled = false</w:t>
            </w:r>
            <w:r>
              <w:rPr>
                <w:sz w:val="18"/>
              </w:rPr>
              <w:t xml:space="preserve">)</w:t>
            </w:r>
          </w:p>
        </w:tc>
      </w:tr>
      <w:tr>
        <w:tc>
          <w:tcPr/>
          <w:p>
            <w:pPr>
              <w:pStyle w:val="Compact"/>
              <w:spacing w:before="20" w:after="20"/>
              <w:jc w:val="left"/>
            </w:pPr>
            <w:r>
              <w:rPr>
                <w:sz w:val="18"/>
              </w:rPr>
              <w:t xml:space="preserve">Scope growth during the MVP</w:t>
            </w:r>
          </w:p>
        </w:tc>
        <w:tc>
          <w:tcPr/>
          <w:p>
            <w:pPr>
              <w:pStyle w:val="Compact"/>
              <w:spacing w:before="20" w:after="20"/>
              <w:jc w:val="left"/>
            </w:pPr>
            <w:r>
              <w:rPr>
                <w:sz w:val="18"/>
              </w:rPr>
              <w:t xml:space="preserve">Clear MVP boundary; change control; USD 5,200 reserve under TASCO's control</w:t>
            </w:r>
          </w:p>
        </w:tc>
      </w:tr>
      <w:tr>
        <w:tc>
          <w:tcPr/>
          <w:p>
            <w:pPr>
              <w:pStyle w:val="Compact"/>
              <w:spacing w:before="20" w:after="20"/>
              <w:jc w:val="left"/>
            </w:pPr>
            <w:r>
              <w:rPr>
                <w:sz w:val="18"/>
              </w:rPr>
              <w:t xml:space="preserve">Outcome-fee disputes (Option B)</w:t>
            </w:r>
          </w:p>
        </w:tc>
        <w:tc>
          <w:tcPr/>
          <w:p>
            <w:pPr>
              <w:pStyle w:val="Compact"/>
              <w:spacing w:before="20" w:after="20"/>
              <w:jc w:val="left"/>
            </w:pPr>
            <w:r>
              <w:rPr>
                <w:sz w:val="18"/>
              </w:rPr>
              <w:t xml:space="preserve">Fee computed from the platform's audited, hash-chained order records</w:t>
            </w:r>
          </w:p>
        </w:tc>
      </w:tr>
    </w:tbl>
    <w:bookmarkEnd w:id="41"/>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Commercials and Engagement Model</dc:title>
  <dc:creator>iorta TechNXT</dc:creator>
  <cp:keywords/>
  <dcterms:created xsi:type="dcterms:W3CDTF">2026-10-07T22:36:01Z</dcterms:created>
  <dcterms:modified xsi:type="dcterms:W3CDTF">2026-10-07T22:36:01Z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Business &amp; Product</vt:lpwstr>
  </property>
</Properties>
</file>