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Delivery Documentation</w:t>
      </w:r>
    </w:p>
    <w:p>
      <w:pPr>
        <w:pStyle w:val="Subtitle"/>
      </w:pPr>
      <w:r>
        <w:t xml:space="preserve">TASCO Insurance × VETC Growth Platform — Delivery &amp; Change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Delivery Documentation Index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— Delivery Lead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odyText"/>
      </w:pPr>
      <w:r>
        <w:t xml:space="preserve">These documents describe how the TASCO Growth Platform (TASCO Insurance × VETC, delivered by iorta TechNXT) is planned, governed, delivered, handed over and adopted.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Primary readers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r:id="rId20">
              <w:r>
                <w:rPr>
                  <w:rStyle w:val="Hyperlink"/>
                </w:rPr>
                <w:t xml:space="preserve">Project Plan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Phases (Discovery → MVP → SIT/UAT → Pilot → Scale-out), milestones, Gantt chart, workstreams, dependencies, resource plan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Steering Committee, PMO, all leads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r:id="rId21">
              <w:r>
                <w:rPr>
                  <w:rStyle w:val="Hyperlink"/>
                </w:rPr>
                <w:t xml:space="preserve">Delivery Methodology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Hybrid agile (Scrum + stage gates), ceremonies, Definition of Ready/Done, quality gates, environments, governance cadence, reporting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Delivery team, Product Owner, QA, CAB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r:id="rId22">
              <w:r>
                <w:rPr>
                  <w:rStyle w:val="Hyperlink"/>
                </w:rPr>
                <w:t xml:space="preserve">RACI Matrix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Who is Responsible, Accountable, Consulted and Informed for build, launch, run and compliance activities across TASCO, VETC, iorta TechNXT, vendors and partners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All parties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r:id="rId23">
              <w:r>
                <w:rPr>
                  <w:rStyle w:val="Hyperlink"/>
                </w:rPr>
                <w:t xml:space="preserve">Risk Register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30 scored risks with owners, mitigations, contingencies and current status (regulatory, data, integration, adoption, AI, vendor, people)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Steering Committee, Delivery Lead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r:id="rId24">
              <w:r>
                <w:rPr>
                  <w:rStyle w:val="Hyperlink"/>
                </w:rPr>
                <w:t xml:space="preserve">Knowledge Transfer Plan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Knowledge transfer for 10+ year maintainability: phases, curriculum per role, how-tos, runbooks, code walkthroughs, sign-off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TASCO/VETC IT, future support team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r:id="rId25">
              <w:r>
                <w:rPr>
                  <w:rStyle w:val="Hyperlink"/>
                </w:rPr>
                <w:t xml:space="preserve">Change Management and Training Plan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Change impact, communications, champions, role-based training with sandbox practice, certification, adoption KPIs, reinforcement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Change Lead, managers, trainers</w:t>
            </w:r>
          </w:p>
        </w:tc>
      </w:tr>
    </w:tbl>
    <w:bookmarkStart w:id="26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docs/ux/</w:t>
      </w:r>
      <w:r>
        <w:t xml:space="preserve"> </w:t>
      </w:r>
      <w:r>
        <w:t xml:space="preserve">covers the design system, accessibility and UX standards, information architecture and journey maps, and usability testing.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docs/manuals/</w:t>
      </w:r>
      <w:r>
        <w:t xml:space="preserve"> </w:t>
      </w:r>
      <w:r>
        <w:t xml:space="preserve">holds the user manual, persona manuals, partner API guide and customer app guide.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docs/business/</w:t>
      </w:r>
      <w:r>
        <w:t xml:space="preserve"> </w:t>
      </w:r>
      <w:r>
        <w:t xml:space="preserve">covers business context, requirements, user stories, traceability, personas and commercials.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docs/architecture/</w:t>
      </w:r>
      <w:r>
        <w:t xml:space="preserve"> </w:t>
      </w:r>
      <w:r>
        <w:t xml:space="preserve">holds the solution, data, integration, security and deployment architecture and the ADRs. The OpenAPI spec is generated with</w:t>
      </w:r>
      <w:r>
        <w:t xml:space="preserve"> </w:t>
      </w:r>
      <w:r>
        <w:rPr>
          <w:rStyle w:val="VerbatimChar"/>
        </w:rPr>
        <w:t xml:space="preserve">npm run job -- openapi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docs/quality/</w:t>
      </w:r>
      <w:r>
        <w:t xml:space="preserve"> </w:t>
      </w:r>
      <w:r>
        <w:t xml:space="preserve">holds the test strategy (including the known-issues register KI-xx), test cases, UAT plan, performance plan and the Test Cases and Results workbook (TASCO-Test-Cases-and-Results.xlsx).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docs/operations/</w:t>
      </w:r>
      <w:r>
        <w:t xml:space="preserve"> </w:t>
      </w:r>
      <w:r>
        <w:t xml:space="preserve">holds runbooks (RB-xx, SOP-xx), monitoring, DR/BCP and the production readiness checklist.</w:t>
      </w:r>
    </w:p>
    <w:bookmarkEnd w:id="26"/>
    <w:bookmarkStart w:id="27" w:name="conventions"/>
    <w:p>
      <w:pPr>
        <w:pStyle w:val="Heading2"/>
      </w:pPr>
      <w:r>
        <w:t xml:space="preserve">Conventions</w:t>
      </w:r>
    </w:p>
    <w:p>
      <w:pPr>
        <w:numPr>
          <w:ilvl w:val="0"/>
          <w:numId w:val="1002"/>
        </w:numPr>
        <w:pStyle w:val="Compact"/>
      </w:pPr>
      <w:r>
        <w:t xml:space="preserve">Dates are indicative and assume kick-off on 19 October 2026, with a Tết freeze from 1 to 14 February 2027.</w:t>
      </w:r>
    </w:p>
    <w:p>
      <w:pPr>
        <w:numPr>
          <w:ilvl w:val="0"/>
          <w:numId w:val="1002"/>
        </w:numPr>
        <w:pStyle w:val="Compact"/>
      </w:pPr>
      <w:r>
        <w:t xml:space="preserve">KPI targets marked</w:t>
      </w:r>
      <w:r>
        <w:t xml:space="preserve"> </w:t>
      </w:r>
      <w:r>
        <w:rPr>
          <w:bCs/>
          <w:b/>
        </w:rPr>
        <w:t xml:space="preserve">proposed</w:t>
      </w:r>
      <w:r>
        <w:t xml:space="preserve"> </w:t>
      </w:r>
      <w:r>
        <w:t xml:space="preserve">need agreement at Gate G1/G3.</w:t>
      </w:r>
    </w:p>
    <w:p>
      <w:pPr>
        <w:numPr>
          <w:ilvl w:val="0"/>
          <w:numId w:val="1002"/>
        </w:numPr>
        <w:pStyle w:val="Compact"/>
      </w:pPr>
      <w:r>
        <w:t xml:space="preserve">Code references use repository paths (for example</w:t>
      </w:r>
      <w:r>
        <w:t xml:space="preserve"> </w:t>
      </w:r>
      <w:r>
        <w:rPr>
          <w:rStyle w:val="VerbatimChar"/>
        </w:rPr>
        <w:t xml:space="preserve">src/application/rulesService.js</w:t>
      </w:r>
      <w:r>
        <w:t xml:space="preserve">) so that the documents stay traceable to the implementation.</w:t>
      </w:r>
    </w:p>
    <w:p>
      <w:pPr>
        <w:numPr>
          <w:ilvl w:val="0"/>
          <w:numId w:val="1002"/>
        </w:numPr>
        <w:pStyle w:val="Compact"/>
      </w:pPr>
      <w:r>
        <w:t xml:space="preserve">Documents are delivered as Word (.docx) and PDF with the same base names. Cross-references name the document and its PDF file, and each folder's index is</w:t>
      </w:r>
      <w:r>
        <w:t xml:space="preserve"> </w:t>
      </w:r>
      <w:r>
        <w:rPr>
          <w:rStyle w:val="VerbatimChar"/>
        </w:rPr>
        <w:t xml:space="preserve">00-index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Hosted UAT credentials are distributed only in the access workbook and are never written in these documents.</w:t>
      </w:r>
    </w:p>
    <w:p>
      <w:pPr>
        <w:numPr>
          <w:ilvl w:val="0"/>
          <w:numId w:val="1002"/>
        </w:numPr>
        <w:pStyle w:val="Compact"/>
      </w:pPr>
      <w:r>
        <w:t xml:space="preserve">The UI is described as the</w:t>
      </w:r>
      <w:r>
        <w:t xml:space="preserve"> </w:t>
      </w:r>
      <w:r>
        <w:rPr>
          <w:bCs/>
          <w:b/>
        </w:rPr>
        <w:t xml:space="preserve">v1 UI</w:t>
      </w:r>
      <w:r>
        <w:t xml:space="preserve"> </w:t>
      </w:r>
      <w:r>
        <w:t xml:space="preserve">(staff console at</w:t>
      </w:r>
      <w:r>
        <w:t xml:space="preserve"> </w:t>
      </w:r>
      <w:r>
        <w:rPr>
          <w:rStyle w:val="VerbatimChar"/>
        </w:rPr>
        <w:t xml:space="preserve">/</w:t>
      </w:r>
      <w:r>
        <w:t xml:space="preserve">, customer app at</w:t>
      </w:r>
      <w:r>
        <w:t xml:space="preserve"> </w:t>
      </w:r>
      <w:r>
        <w:rPr>
          <w:rStyle w:val="VerbatimChar"/>
        </w:rPr>
        <w:t xml:space="preserve">/app/</w:t>
      </w:r>
      <w:r>
        <w:t xml:space="preserve">, certificate check at</w:t>
      </w:r>
      <w:r>
        <w:t xml:space="preserve"> </w:t>
      </w:r>
      <w:r>
        <w:rPr>
          <w:rStyle w:val="VerbatimChar"/>
        </w:rPr>
        <w:t xml:space="preserve">/verify/&lt;certNo&gt;</w:t>
      </w:r>
      <w:r>
        <w:t xml:space="preserve">).</w:t>
      </w:r>
    </w:p>
    <w:bookmarkEnd w:id="27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5" Type="http://schemas.openxmlformats.org/officeDocument/2006/relationships/hyperlink" Target="change-management-and-training.pdf" TargetMode="External"/><Relationship Id="rId21" Type="http://schemas.openxmlformats.org/officeDocument/2006/relationships/hyperlink" Target="delivery-methodology.pdf" TargetMode="External"/><Relationship Id="rId24" Type="http://schemas.openxmlformats.org/officeDocument/2006/relationships/hyperlink" Target="kt-plan.pdf" TargetMode="External"/><Relationship Id="rId20" Type="http://schemas.openxmlformats.org/officeDocument/2006/relationships/hyperlink" Target="project-plan.pdf" TargetMode="External"/><Relationship Id="rId22" Type="http://schemas.openxmlformats.org/officeDocument/2006/relationships/hyperlink" Target="raci.pdf" TargetMode="External"/><Relationship Id="rId23" Type="http://schemas.openxmlformats.org/officeDocument/2006/relationships/hyperlink" Target="risk-register.pdf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hange-management-and-training.pdf" TargetMode="External"/><Relationship Id="rId21" Type="http://schemas.openxmlformats.org/officeDocument/2006/relationships/hyperlink" Target="delivery-methodology.pdf" TargetMode="External"/><Relationship Id="rId24" Type="http://schemas.openxmlformats.org/officeDocument/2006/relationships/hyperlink" Target="kt-plan.pdf" TargetMode="External"/><Relationship Id="rId20" Type="http://schemas.openxmlformats.org/officeDocument/2006/relationships/hyperlink" Target="project-plan.pdf" TargetMode="External"/><Relationship Id="rId22" Type="http://schemas.openxmlformats.org/officeDocument/2006/relationships/hyperlink" Target="raci.pdf" TargetMode="External"/><Relationship Id="rId23" Type="http://schemas.openxmlformats.org/officeDocument/2006/relationships/hyperlink" Target="risk-registe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Documentation</dc:title>
  <dc:creator>iorta TechNXT</dc:creator>
  <cp:keywords/>
  <dcterms:created xsi:type="dcterms:W3CDTF">2026-10-07T22:36:02Z</dcterms:created>
  <dcterms:modified xsi:type="dcterms:W3CDTF">2026-10-07T22:36:02Z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Delivery &amp; Change</vt:lpwstr>
  </property>
</Properties>
</file>