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User Manuals — TASCO Growth Platform (v1 UI)</w:t>
      </w:r>
    </w:p>
    <w:p>
      <w:pPr>
        <w:pStyle w:val="Subtitle"/>
      </w:pPr>
      <w:r>
        <w:t xml:space="preserve">TASCO Insurance × VETC Growth Platform — User Manuals</w:t>
      </w:r>
    </w:p>
    <w:p>
      <w:pPr>
        <w:pStyle w:val="Author"/>
      </w:pPr>
      <w:r>
        <w:t xml:space="preserve">iorta TechNXT</w:t>
      </w:r>
    </w:p>
    <w:p>
      <w:pPr>
        <w:pStyle w:val="Date"/>
      </w:pPr>
      <w:r>
        <w:t xml:space="preserve">Version 1.0 · 07 October 2026</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blHeader w:val="true"/>
        </w:trPr>
        <w:tc>
          <w:tcPr>
            <w:shd w:val="clear" w:color="auto" w:fill="213368"/>
          </w:tcPr>
          <w:p>
            <w:pPr>
              <w:pStyle w:val="Compact"/>
              <w:spacing w:before="20" w:after="20"/>
              <w:jc w:val="left"/>
            </w:pPr>
            <w:r>
              <w:rPr>
                <w:b/>
                <w:color w:val="FFFFFF"/>
                <w:sz w:val="17"/>
              </w:rPr>
              <w:t xml:space="preserve">Document</w:t>
            </w:r>
          </w:p>
        </w:tc>
        <w:tc>
          <w:tcPr>
            <w:shd w:val="clear" w:color="auto" w:fill="213368"/>
          </w:tcPr>
          <w:p>
            <w:pPr>
              <w:pStyle w:val="Compact"/>
              <w:spacing w:before="20" w:after="20"/>
              <w:jc w:val="left"/>
            </w:pPr>
            <w:r>
              <w:rPr>
                <w:b/>
                <w:color w:val="FFFFFF"/>
                <w:sz w:val="17"/>
              </w:rPr>
              <w:t xml:space="preserve">Version</w:t>
            </w:r>
          </w:p>
        </w:tc>
        <w:tc>
          <w:tcPr>
            <w:shd w:val="clear" w:color="auto" w:fill="213368"/>
          </w:tcPr>
          <w:p>
            <w:pPr>
              <w:pStyle w:val="Compact"/>
              <w:spacing w:before="20" w:after="20"/>
              <w:jc w:val="left"/>
            </w:pPr>
            <w:r>
              <w:rPr>
                <w:b/>
                <w:color w:val="FFFFFF"/>
                <w:sz w:val="17"/>
              </w:rPr>
              <w:t xml:space="preserve">Date</w:t>
            </w:r>
          </w:p>
        </w:tc>
        <w:tc>
          <w:tcPr>
            <w:shd w:val="clear" w:color="auto" w:fill="213368"/>
          </w:tcPr>
          <w:p>
            <w:pPr>
              <w:pStyle w:val="Compact"/>
              <w:spacing w:before="20" w:after="20"/>
              <w:jc w:val="left"/>
            </w:pPr>
            <w:r>
              <w:rPr>
                <w:b/>
                <w:color w:val="FFFFFF"/>
                <w:sz w:val="17"/>
              </w:rPr>
              <w:t xml:space="preserve">Owner</w:t>
            </w:r>
          </w:p>
        </w:tc>
        <w:tc>
          <w:tcPr>
            <w:shd w:val="clear" w:color="auto" w:fill="213368"/>
          </w:tcPr>
          <w:p>
            <w:pPr>
              <w:pStyle w:val="Compact"/>
              <w:spacing w:before="20" w:after="20"/>
              <w:jc w:val="left"/>
            </w:pPr>
            <w:r>
              <w:rPr>
                <w:b/>
                <w:color w:val="FFFFFF"/>
                <w:sz w:val="17"/>
              </w:rPr>
              <w:t xml:space="preserve">Status</w:t>
            </w:r>
          </w:p>
        </w:tc>
      </w:tr>
      <w:tr>
        <w:tc>
          <w:tcPr/>
          <w:p>
            <w:pPr>
              <w:pStyle w:val="Compact"/>
              <w:spacing w:before="20" w:after="20"/>
              <w:jc w:val="left"/>
            </w:pPr>
            <w:r>
              <w:rPr>
                <w:sz w:val="17"/>
              </w:rPr>
              <w:t xml:space="preserve">User Manuals Index</w:t>
            </w:r>
          </w:p>
        </w:tc>
        <w:tc>
          <w:tcPr>
            <w:noWrap/>
          </w:tcPr>
          <w:p>
            <w:pPr>
              <w:pStyle w:val="Compact"/>
              <w:spacing w:before="20" w:after="20"/>
              <w:jc w:val="left"/>
            </w:pPr>
            <w:r>
              <w:rPr>
                <w:sz w:val="17"/>
              </w:rPr>
              <w:t xml:space="preserve">1.0</w:t>
            </w:r>
          </w:p>
        </w:tc>
        <w:tc>
          <w:tcPr/>
          <w:p>
            <w:pPr>
              <w:pStyle w:val="Compact"/>
              <w:spacing w:before="20" w:after="20"/>
              <w:jc w:val="left"/>
            </w:pPr>
            <w:r>
              <w:rPr>
                <w:sz w:val="17"/>
              </w:rPr>
              <w:t xml:space="preserve">07 October 2026</w:t>
            </w:r>
          </w:p>
        </w:tc>
        <w:tc>
          <w:tcPr/>
          <w:p>
            <w:pPr>
              <w:pStyle w:val="Compact"/>
              <w:spacing w:before="20" w:after="20"/>
              <w:jc w:val="left"/>
            </w:pPr>
            <w:r>
              <w:rPr>
                <w:sz w:val="17"/>
              </w:rPr>
              <w:t xml:space="preserve">iorta TechNXT — Business Analysis and UX</w:t>
            </w:r>
          </w:p>
        </w:tc>
        <w:tc>
          <w:tcPr/>
          <w:p>
            <w:pPr>
              <w:pStyle w:val="Compact"/>
              <w:spacing w:before="20" w:after="20"/>
              <w:jc w:val="left"/>
            </w:pPr>
            <w:r>
              <w:rPr>
                <w:sz w:val="17"/>
              </w:rPr>
              <w:t xml:space="preserve">Issued for submission</w:t>
            </w:r>
          </w:p>
        </w:tc>
      </w:tr>
    </w:tbl>
    <w:p>
      <w:pPr>
        <w:pStyle w:val="BodyText"/>
      </w:pPr>
      <w:r>
        <w:t xml:space="preserve">Start with the</w:t>
      </w:r>
      <w:r>
        <w:t xml:space="preserve"> </w:t>
      </w:r>
      <w:r>
        <w:rPr>
          <w:bCs/>
          <w:b/>
        </w:rPr>
        <w:t xml:space="preserve">Staff User Manual</w:t>
      </w:r>
      <w:r>
        <w:t xml:space="preserve">, then read the manual for your role. The in-app help drawer ("?") summarises each page and points to these manuals.</w:t>
      </w:r>
    </w:p>
    <w:bookmarkStart w:id="31" w:name="staff"/>
    <w:p>
      <w:pPr>
        <w:pStyle w:val="Heading2"/>
      </w:pPr>
      <w:r>
        <w:t xml:space="preserve">Staff</w:t>
      </w:r>
    </w:p>
    <w:tbl>
      <w:tblPr>
        <w:tblStyle w:val="Table"/>
        <w:tblW w:type="pct" w:w="5000"/>
        <w:tblLook w:firstRow="1" w:lastRow="0" w:firstColumn="0" w:lastColumn="0" w:noHBand="0" w:noVBand="0" w:val="0020"/>
        <w:jc w:val="start"/>
      </w:tblPr>
      <w:tblGrid>
        <w:gridCol w:w="2640"/>
        <w:gridCol w:w="2640"/>
        <w:gridCol w:w="2640"/>
      </w:tblGrid>
      <w:tr>
        <w:trPr>
          <w:tblHeader w:val="true"/>
          <w:tblHeader w:val="true"/>
        </w:trPr>
        <w:tc>
          <w:tcPr>
            <w:shd w:val="clear" w:color="auto" w:fill="213368"/>
          </w:tcPr>
          <w:p>
            <w:pPr>
              <w:pStyle w:val="Compact"/>
              <w:spacing w:before="20" w:after="20"/>
              <w:jc w:val="left"/>
            </w:pPr>
            <w:r>
              <w:rPr>
                <w:b/>
                <w:color w:val="FFFFFF"/>
                <w:sz w:val="18"/>
              </w:rPr>
              <w:t xml:space="preserve">Manual</w:t>
            </w:r>
          </w:p>
        </w:tc>
        <w:tc>
          <w:tcPr>
            <w:shd w:val="clear" w:color="auto" w:fill="213368"/>
          </w:tcPr>
          <w:p>
            <w:pPr>
              <w:pStyle w:val="Compact"/>
              <w:spacing w:before="20" w:after="20"/>
              <w:jc w:val="left"/>
            </w:pPr>
            <w:r>
              <w:rPr>
                <w:b/>
                <w:color w:val="FFFFFF"/>
                <w:sz w:val="18"/>
              </w:rPr>
              <w:t xml:space="preserve">Role(s)</w:t>
            </w:r>
          </w:p>
        </w:tc>
        <w:tc>
          <w:tcPr>
            <w:shd w:val="clear" w:color="auto" w:fill="213368"/>
          </w:tcPr>
          <w:p>
            <w:pPr>
              <w:pStyle w:val="Compact"/>
              <w:spacing w:before="20" w:after="20"/>
              <w:jc w:val="left"/>
            </w:pPr>
            <w:r>
              <w:rPr>
                <w:b/>
                <w:color w:val="FFFFFF"/>
                <w:sz w:val="18"/>
              </w:rPr>
              <w:t xml:space="preserve">Demo user (training and UAT only)</w:t>
            </w:r>
          </w:p>
        </w:tc>
      </w:tr>
      <w:tr>
        <w:tc>
          <w:tcPr/>
          <w:p>
            <w:pPr>
              <w:pStyle w:val="Compact"/>
              <w:spacing w:before="20" w:after="20"/>
              <w:jc w:val="left"/>
            </w:pPr>
            <w:hyperlink r:id="rId20">
              <w:r>
                <w:rPr>
                  <w:rStyle w:val="Hyperlink"/>
                </w:rPr>
                <w:t xml:space="preserve">Staff User Manual</w:t>
              </w:r>
            </w:hyperlink>
            <w:r>
              <w:rPr>
                <w:sz w:val="18"/>
              </w:rPr>
              <w:t xml:space="preserve">: sign-in and MFA, navigation, common actions, help, troubleshooting, FAQ</w:t>
            </w:r>
          </w:p>
        </w:tc>
        <w:tc>
          <w:tcPr/>
          <w:p>
            <w:pPr>
              <w:pStyle w:val="Compact"/>
              <w:spacing w:before="20" w:after="20"/>
              <w:jc w:val="left"/>
            </w:pPr>
            <w:r>
              <w:rPr>
                <w:sz w:val="18"/>
              </w:rPr>
              <w:t xml:space="preserve">All staff</w:t>
            </w:r>
          </w:p>
        </w:tc>
        <w:tc>
          <w:tcPr/>
          <w:p>
            <w:pPr>
              <w:pStyle w:val="Compact"/>
              <w:spacing w:before="20" w:after="20"/>
              <w:jc w:val="left"/>
            </w:pPr>
            <w:r>
              <w:rPr>
                <w:sz w:val="18"/>
              </w:rPr>
              <w:t xml:space="preserve">—</w:t>
            </w:r>
          </w:p>
        </w:tc>
      </w:tr>
      <w:tr>
        <w:tc>
          <w:tcPr/>
          <w:p>
            <w:pPr>
              <w:pStyle w:val="Compact"/>
              <w:spacing w:before="20" w:after="20"/>
              <w:jc w:val="left"/>
            </w:pPr>
            <w:hyperlink r:id="rId21">
              <w:r>
                <w:rPr>
                  <w:rStyle w:val="Hyperlink"/>
                </w:rPr>
                <w:t xml:space="preserve">Telesales Agent</w:t>
              </w:r>
            </w:hyperlink>
          </w:p>
        </w:tc>
        <w:tc>
          <w:tcPr/>
          <w:p>
            <w:pPr>
              <w:pStyle w:val="Compact"/>
              <w:spacing w:before="20" w:after="20"/>
              <w:jc w:val="left"/>
            </w:pPr>
            <w:r>
              <w:rPr>
                <w:rStyle w:val="VerbatimChar"/>
                <w:sz w:val="18"/>
              </w:rPr>
              <w:t xml:space="preserve">telesales_agent</w:t>
            </w:r>
          </w:p>
        </w:tc>
        <w:tc>
          <w:tcPr/>
          <w:p>
            <w:pPr>
              <w:pStyle w:val="Compact"/>
              <w:spacing w:before="20" w:after="20"/>
              <w:jc w:val="left"/>
            </w:pPr>
            <w:r>
              <w:rPr>
                <w:rStyle w:val="VerbatimChar"/>
                <w:sz w:val="18"/>
              </w:rPr>
              <w:t xml:space="preserve">agent.hn</w:t>
            </w:r>
            <w:r>
              <w:rPr>
                <w:sz w:val="18"/>
              </w:rPr>
              <w:t xml:space="preserve">,</w:t>
            </w:r>
            <w:r>
              <w:rPr>
                <w:sz w:val="18"/>
              </w:rPr>
              <w:t xml:space="preserve"> </w:t>
            </w:r>
            <w:r>
              <w:rPr>
                <w:rStyle w:val="VerbatimChar"/>
                <w:sz w:val="18"/>
              </w:rPr>
              <w:t xml:space="preserve">agent.hcm</w:t>
            </w:r>
          </w:p>
        </w:tc>
      </w:tr>
      <w:tr>
        <w:tc>
          <w:tcPr/>
          <w:p>
            <w:pPr>
              <w:pStyle w:val="Compact"/>
              <w:spacing w:before="20" w:after="20"/>
              <w:jc w:val="left"/>
            </w:pPr>
            <w:hyperlink r:id="rId22">
              <w:r>
                <w:rPr>
                  <w:rStyle w:val="Hyperlink"/>
                </w:rPr>
                <w:t xml:space="preserve">Telesales Supervisor</w:t>
              </w:r>
            </w:hyperlink>
          </w:p>
        </w:tc>
        <w:tc>
          <w:tcPr/>
          <w:p>
            <w:pPr>
              <w:pStyle w:val="Compact"/>
              <w:spacing w:before="20" w:after="20"/>
              <w:jc w:val="left"/>
            </w:pPr>
            <w:r>
              <w:rPr>
                <w:rStyle w:val="VerbatimChar"/>
                <w:sz w:val="18"/>
              </w:rPr>
              <w:t xml:space="preserve">telesales_supervisor</w:t>
            </w:r>
          </w:p>
        </w:tc>
        <w:tc>
          <w:tcPr/>
          <w:p>
            <w:pPr>
              <w:pStyle w:val="Compact"/>
              <w:spacing w:before="20" w:after="20"/>
              <w:jc w:val="left"/>
            </w:pPr>
            <w:r>
              <w:rPr>
                <w:rStyle w:val="VerbatimChar"/>
                <w:sz w:val="18"/>
              </w:rPr>
              <w:t xml:space="preserve">supervisor</w:t>
            </w:r>
          </w:p>
        </w:tc>
      </w:tr>
      <w:tr>
        <w:tc>
          <w:tcPr/>
          <w:p>
            <w:pPr>
              <w:pStyle w:val="Compact"/>
              <w:spacing w:before="20" w:after="20"/>
              <w:jc w:val="left"/>
            </w:pPr>
            <w:hyperlink r:id="rId23">
              <w:r>
                <w:rPr>
                  <w:rStyle w:val="Hyperlink"/>
                </w:rPr>
                <w:t xml:space="preserve">Campaign Manager</w:t>
              </w:r>
            </w:hyperlink>
          </w:p>
        </w:tc>
        <w:tc>
          <w:tcPr/>
          <w:p>
            <w:pPr>
              <w:pStyle w:val="Compact"/>
              <w:spacing w:before="20" w:after="20"/>
              <w:jc w:val="left"/>
            </w:pPr>
            <w:r>
              <w:rPr>
                <w:rStyle w:val="VerbatimChar"/>
                <w:sz w:val="18"/>
              </w:rPr>
              <w:t xml:space="preserve">campaign_manager</w:t>
            </w:r>
          </w:p>
        </w:tc>
        <w:tc>
          <w:tcPr/>
          <w:p>
            <w:pPr>
              <w:pStyle w:val="Compact"/>
              <w:spacing w:before="20" w:after="20"/>
              <w:jc w:val="left"/>
            </w:pPr>
            <w:r>
              <w:rPr>
                <w:rStyle w:val="VerbatimChar"/>
                <w:sz w:val="18"/>
              </w:rPr>
              <w:t xml:space="preserve">campaign</w:t>
            </w:r>
          </w:p>
        </w:tc>
      </w:tr>
      <w:tr>
        <w:tc>
          <w:tcPr/>
          <w:p>
            <w:pPr>
              <w:pStyle w:val="Compact"/>
              <w:spacing w:before="20" w:after="20"/>
              <w:jc w:val="left"/>
            </w:pPr>
            <w:hyperlink r:id="rId24">
              <w:r>
                <w:rPr>
                  <w:rStyle w:val="Hyperlink"/>
                </w:rPr>
                <w:t xml:space="preserve">Rule Author and Approver (maker-checker)</w:t>
              </w:r>
            </w:hyperlink>
          </w:p>
        </w:tc>
        <w:tc>
          <w:tcPr/>
          <w:p>
            <w:pPr>
              <w:pStyle w:val="Compact"/>
              <w:spacing w:before="20" w:after="20"/>
              <w:jc w:val="left"/>
            </w:pPr>
            <w:r>
              <w:rPr>
                <w:rStyle w:val="VerbatimChar"/>
                <w:sz w:val="18"/>
              </w:rPr>
              <w:t xml:space="preserve">rule_author</w:t>
            </w:r>
            <w:r>
              <w:rPr>
                <w:sz w:val="18"/>
              </w:rPr>
              <w:t xml:space="preserve">,</w:t>
            </w:r>
            <w:r>
              <w:rPr>
                <w:sz w:val="18"/>
              </w:rPr>
              <w:t xml:space="preserve"> </w:t>
            </w:r>
            <w:r>
              <w:rPr>
                <w:rStyle w:val="VerbatimChar"/>
                <w:sz w:val="18"/>
              </w:rPr>
              <w:t xml:space="preserve">rule_approver</w:t>
            </w:r>
          </w:p>
        </w:tc>
        <w:tc>
          <w:tcPr/>
          <w:p>
            <w:pPr>
              <w:pStyle w:val="Compact"/>
              <w:spacing w:before="20" w:after="20"/>
              <w:jc w:val="left"/>
            </w:pPr>
            <w:r>
              <w:rPr>
                <w:rStyle w:val="VerbatimChar"/>
                <w:sz w:val="18"/>
              </w:rPr>
              <w:t xml:space="preserve">author</w:t>
            </w:r>
            <w:r>
              <w:rPr>
                <w:sz w:val="18"/>
              </w:rPr>
              <w:t xml:space="preserve">,</w:t>
            </w:r>
            <w:r>
              <w:rPr>
                <w:sz w:val="18"/>
              </w:rPr>
              <w:t xml:space="preserve"> </w:t>
            </w:r>
            <w:r>
              <w:rPr>
                <w:rStyle w:val="VerbatimChar"/>
                <w:sz w:val="18"/>
              </w:rPr>
              <w:t xml:space="preserve">approver</w:t>
            </w:r>
            <w:r>
              <w:rPr>
                <w:sz w:val="18"/>
              </w:rPr>
              <w:t xml:space="preserve"> </w:t>
            </w:r>
            <w:r>
              <w:rPr>
                <w:sz w:val="18"/>
              </w:rPr>
              <w:t xml:space="preserve">(MFA)</w:t>
            </w:r>
          </w:p>
        </w:tc>
      </w:tr>
      <w:tr>
        <w:tc>
          <w:tcPr/>
          <w:p>
            <w:pPr>
              <w:pStyle w:val="Compact"/>
              <w:spacing w:before="20" w:after="20"/>
              <w:jc w:val="left"/>
            </w:pPr>
            <w:hyperlink r:id="rId25">
              <w:r>
                <w:rPr>
                  <w:rStyle w:val="Hyperlink"/>
                </w:rPr>
                <w:t xml:space="preserve">Compliance Officer</w:t>
              </w:r>
            </w:hyperlink>
            <w:r>
              <w:rPr>
                <w:sz w:val="18"/>
              </w:rPr>
              <w:t xml:space="preserve">: approvals, audit, DSAR, governance figures</w:t>
            </w:r>
          </w:p>
        </w:tc>
        <w:tc>
          <w:tcPr/>
          <w:p>
            <w:pPr>
              <w:pStyle w:val="Compact"/>
              <w:spacing w:before="20" w:after="20"/>
              <w:jc w:val="left"/>
            </w:pPr>
            <w:r>
              <w:rPr>
                <w:rStyle w:val="VerbatimChar"/>
                <w:sz w:val="18"/>
              </w:rPr>
              <w:t xml:space="preserve">compliance_officer</w:t>
            </w:r>
          </w:p>
        </w:tc>
        <w:tc>
          <w:tcPr/>
          <w:p>
            <w:pPr>
              <w:pStyle w:val="Compact"/>
              <w:spacing w:before="20" w:after="20"/>
              <w:jc w:val="left"/>
            </w:pPr>
            <w:r>
              <w:rPr>
                <w:rStyle w:val="VerbatimChar"/>
                <w:sz w:val="18"/>
              </w:rPr>
              <w:t xml:space="preserve">compliance</w:t>
            </w:r>
            <w:r>
              <w:rPr>
                <w:sz w:val="18"/>
              </w:rPr>
              <w:t xml:space="preserve"> </w:t>
            </w:r>
            <w:r>
              <w:rPr>
                <w:sz w:val="18"/>
              </w:rPr>
              <w:t xml:space="preserve">(MFA)</w:t>
            </w:r>
          </w:p>
        </w:tc>
      </w:tr>
      <w:tr>
        <w:tc>
          <w:tcPr/>
          <w:p>
            <w:pPr>
              <w:pStyle w:val="Compact"/>
              <w:spacing w:before="20" w:after="20"/>
              <w:jc w:val="left"/>
            </w:pPr>
            <w:hyperlink r:id="rId26">
              <w:r>
                <w:rPr>
                  <w:rStyle w:val="Hyperlink"/>
                </w:rPr>
                <w:t xml:space="preserve">Data Steward</w:t>
              </w:r>
            </w:hyperlink>
          </w:p>
        </w:tc>
        <w:tc>
          <w:tcPr/>
          <w:p>
            <w:pPr>
              <w:pStyle w:val="Compact"/>
              <w:spacing w:before="20" w:after="20"/>
              <w:jc w:val="left"/>
            </w:pPr>
            <w:r>
              <w:rPr>
                <w:rStyle w:val="VerbatimChar"/>
                <w:sz w:val="18"/>
              </w:rPr>
              <w:t xml:space="preserve">data_steward</w:t>
            </w:r>
          </w:p>
        </w:tc>
        <w:tc>
          <w:tcPr/>
          <w:p>
            <w:pPr>
              <w:pStyle w:val="Compact"/>
              <w:spacing w:before="20" w:after="20"/>
              <w:jc w:val="left"/>
            </w:pPr>
            <w:r>
              <w:rPr>
                <w:rStyle w:val="VerbatimChar"/>
                <w:sz w:val="18"/>
              </w:rPr>
              <w:t xml:space="preserve">steward</w:t>
            </w:r>
            <w:r>
              <w:rPr>
                <w:sz w:val="18"/>
              </w:rPr>
              <w:t xml:space="preserve"> </w:t>
            </w:r>
            <w:r>
              <w:rPr>
                <w:sz w:val="18"/>
              </w:rPr>
              <w:t xml:space="preserve">(MFA)</w:t>
            </w:r>
          </w:p>
        </w:tc>
      </w:tr>
      <w:tr>
        <w:tc>
          <w:tcPr/>
          <w:p>
            <w:pPr>
              <w:pStyle w:val="Compact"/>
              <w:spacing w:before="20" w:after="20"/>
              <w:jc w:val="left"/>
            </w:pPr>
            <w:hyperlink r:id="rId27">
              <w:r>
                <w:rPr>
                  <w:rStyle w:val="Hyperlink"/>
                </w:rPr>
                <w:t xml:space="preserve">Claims Handler</w:t>
              </w:r>
            </w:hyperlink>
          </w:p>
        </w:tc>
        <w:tc>
          <w:tcPr/>
          <w:p>
            <w:pPr>
              <w:pStyle w:val="Compact"/>
              <w:spacing w:before="20" w:after="20"/>
              <w:jc w:val="left"/>
            </w:pPr>
            <w:r>
              <w:rPr>
                <w:rStyle w:val="VerbatimChar"/>
                <w:sz w:val="18"/>
              </w:rPr>
              <w:t xml:space="preserve">claims_handler</w:t>
            </w:r>
          </w:p>
        </w:tc>
        <w:tc>
          <w:tcPr/>
          <w:p>
            <w:pPr>
              <w:pStyle w:val="Compact"/>
              <w:spacing w:before="20" w:after="20"/>
              <w:jc w:val="left"/>
            </w:pPr>
            <w:r>
              <w:rPr>
                <w:rStyle w:val="VerbatimChar"/>
                <w:sz w:val="18"/>
              </w:rPr>
              <w:t xml:space="preserve">claims</w:t>
            </w:r>
          </w:p>
        </w:tc>
      </w:tr>
      <w:tr>
        <w:tc>
          <w:tcPr/>
          <w:p>
            <w:pPr>
              <w:pStyle w:val="Compact"/>
              <w:spacing w:before="20" w:after="20"/>
              <w:jc w:val="left"/>
            </w:pPr>
            <w:hyperlink r:id="rId28">
              <w:r>
                <w:rPr>
                  <w:rStyle w:val="Hyperlink"/>
                </w:rPr>
                <w:t xml:space="preserve">Partner Manager</w:t>
              </w:r>
            </w:hyperlink>
          </w:p>
        </w:tc>
        <w:tc>
          <w:tcPr/>
          <w:p>
            <w:pPr>
              <w:pStyle w:val="Compact"/>
              <w:spacing w:before="20" w:after="20"/>
              <w:jc w:val="left"/>
            </w:pPr>
            <w:r>
              <w:rPr>
                <w:rStyle w:val="VerbatimChar"/>
                <w:sz w:val="18"/>
              </w:rPr>
              <w:t xml:space="preserve">partner_manager</w:t>
            </w:r>
          </w:p>
        </w:tc>
        <w:tc>
          <w:tcPr/>
          <w:p>
            <w:pPr>
              <w:pStyle w:val="Compact"/>
              <w:spacing w:before="20" w:after="20"/>
              <w:jc w:val="left"/>
            </w:pPr>
            <w:r>
              <w:rPr>
                <w:rStyle w:val="VerbatimChar"/>
                <w:sz w:val="18"/>
              </w:rPr>
              <w:t xml:space="preserve">partners</w:t>
            </w:r>
          </w:p>
        </w:tc>
      </w:tr>
      <w:tr>
        <w:tc>
          <w:tcPr/>
          <w:p>
            <w:pPr>
              <w:pStyle w:val="Compact"/>
              <w:spacing w:before="20" w:after="20"/>
              <w:jc w:val="left"/>
            </w:pPr>
            <w:hyperlink r:id="rId29">
              <w:r>
                <w:rPr>
                  <w:rStyle w:val="Hyperlink"/>
                </w:rPr>
                <w:t xml:space="preserve">Administrator and Support</w:t>
              </w:r>
            </w:hyperlink>
            <w:r>
              <w:rPr>
                <w:sz w:val="18"/>
              </w:rPr>
              <w:t xml:space="preserve">: users, operations status, jobs, health</w:t>
            </w:r>
          </w:p>
        </w:tc>
        <w:tc>
          <w:tcPr/>
          <w:p>
            <w:pPr>
              <w:pStyle w:val="Compact"/>
              <w:spacing w:before="20" w:after="20"/>
              <w:jc w:val="left"/>
            </w:pPr>
            <w:r>
              <w:rPr>
                <w:rStyle w:val="VerbatimChar"/>
                <w:sz w:val="18"/>
              </w:rPr>
              <w:t xml:space="preserve">admin</w:t>
            </w:r>
            <w:r>
              <w:rPr>
                <w:sz w:val="18"/>
              </w:rPr>
              <w:t xml:space="preserve">,</w:t>
            </w:r>
            <w:r>
              <w:rPr>
                <w:sz w:val="18"/>
              </w:rPr>
              <w:t xml:space="preserve"> </w:t>
            </w:r>
            <w:r>
              <w:rPr>
                <w:rStyle w:val="VerbatimChar"/>
                <w:sz w:val="18"/>
              </w:rPr>
              <w:t xml:space="preserve">support_engineer</w:t>
            </w:r>
          </w:p>
        </w:tc>
        <w:tc>
          <w:tcPr/>
          <w:p>
            <w:pPr>
              <w:pStyle w:val="Compact"/>
              <w:spacing w:before="20" w:after="20"/>
              <w:jc w:val="left"/>
            </w:pPr>
            <w:r>
              <w:rPr>
                <w:rStyle w:val="VerbatimChar"/>
                <w:sz w:val="18"/>
              </w:rPr>
              <w:t xml:space="preserve">admin</w:t>
            </w:r>
            <w:r>
              <w:rPr>
                <w:sz w:val="18"/>
              </w:rPr>
              <w:t xml:space="preserve"> </w:t>
            </w:r>
            <w:r>
              <w:rPr>
                <w:sz w:val="18"/>
              </w:rPr>
              <w:t xml:space="preserve">(MFA),</w:t>
            </w:r>
            <w:r>
              <w:rPr>
                <w:sz w:val="18"/>
              </w:rPr>
              <w:t xml:space="preserve"> </w:t>
            </w:r>
            <w:r>
              <w:rPr>
                <w:rStyle w:val="VerbatimChar"/>
                <w:sz w:val="18"/>
              </w:rPr>
              <w:t xml:space="preserve">support</w:t>
            </w:r>
          </w:p>
        </w:tc>
      </w:tr>
      <w:tr>
        <w:tc>
          <w:tcPr>
            <w:noWrap/>
          </w:tcPr>
          <w:p>
            <w:pPr>
              <w:pStyle w:val="Compact"/>
              <w:spacing w:before="20" w:after="20"/>
              <w:jc w:val="left"/>
            </w:pPr>
            <w:hyperlink r:id="rId30">
              <w:r>
                <w:rPr>
                  <w:rStyle w:val="Hyperlink"/>
                </w:rPr>
                <w:t xml:space="preserve">Executive</w:t>
              </w:r>
            </w:hyperlink>
          </w:p>
        </w:tc>
        <w:tc>
          <w:tcPr/>
          <w:p>
            <w:pPr>
              <w:pStyle w:val="Compact"/>
              <w:spacing w:before="20" w:after="20"/>
              <w:jc w:val="left"/>
            </w:pPr>
            <w:r>
              <w:rPr>
                <w:rStyle w:val="VerbatimChar"/>
                <w:sz w:val="18"/>
              </w:rPr>
              <w:t xml:space="preserve">executive</w:t>
            </w:r>
          </w:p>
        </w:tc>
        <w:tc>
          <w:tcPr/>
          <w:p>
            <w:pPr>
              <w:pStyle w:val="Compact"/>
              <w:spacing w:before="20" w:after="20"/>
              <w:jc w:val="left"/>
            </w:pPr>
            <w:r>
              <w:rPr>
                <w:rStyle w:val="VerbatimChar"/>
                <w:sz w:val="18"/>
              </w:rPr>
              <w:t xml:space="preserve">exec</w:t>
            </w:r>
          </w:p>
        </w:tc>
      </w:tr>
    </w:tbl>
    <w:p>
      <w:pPr>
        <w:pStyle w:val="BodyText"/>
      </w:pPr>
      <w:r>
        <w:t xml:space="preserve">Roles and their permissions are defined in</w:t>
      </w:r>
      <w:r>
        <w:t xml:space="preserve"> </w:t>
      </w:r>
      <w:r>
        <w:rPr>
          <w:rStyle w:val="VerbatimChar"/>
        </w:rPr>
        <w:t xml:space="preserve">config/security/rbac.json</w:t>
      </w:r>
      <w:r>
        <w:t xml:space="preserve">. The internal auditor role (</w:t>
      </w:r>
      <w:r>
        <w:rPr>
          <w:rStyle w:val="VerbatimChar"/>
        </w:rPr>
        <w:t xml:space="preserve">auditor</w:t>
      </w:r>
      <w:r>
        <w:t xml:space="preserve">, demo user</w:t>
      </w:r>
      <w:r>
        <w:t xml:space="preserve"> </w:t>
      </w:r>
      <w:r>
        <w:rPr>
          <w:rStyle w:val="VerbatimChar"/>
        </w:rPr>
        <w:t xml:space="preserve">auditor</w:t>
      </w:r>
      <w:r>
        <w:t xml:space="preserve">) is read-only. Auditors should use the audit sections of the</w:t>
      </w:r>
      <w:r>
        <w:t xml:space="preserve"> </w:t>
      </w:r>
      <w:hyperlink r:id="rId25">
        <w:r>
          <w:rPr>
            <w:rStyle w:val="Hyperlink"/>
          </w:rPr>
          <w:t xml:space="preserve">Compliance Officer Manual</w:t>
        </w:r>
      </w:hyperlink>
      <w:r>
        <w:t xml:space="preserve"> </w:t>
      </w:r>
      <w:r>
        <w:t xml:space="preserve">(section 4).</w:t>
      </w:r>
    </w:p>
    <w:p>
      <w:pPr>
        <w:pStyle w:val="BodyText"/>
      </w:pPr>
      <w:r>
        <w:rPr>
          <w:bCs/>
          <w:b/>
        </w:rPr>
        <w:t xml:space="preserve">Training and UAT environments:</w:t>
      </w:r>
      <w:r>
        <w:t xml:space="preserve"> </w:t>
      </w:r>
      <w:r>
        <w:t xml:space="preserve">demo users exist only when the platform runs in demo mode. Sign in with the username and password from the access workbook issued for your environment (a local demo on a developer machine uses the default password</w:t>
      </w:r>
      <w:r>
        <w:t xml:space="preserve"> </w:t>
      </w:r>
      <w:r>
        <w:rPr>
          <w:rStyle w:val="VerbatimChar"/>
        </w:rPr>
        <w:t xml:space="preserve">Tasco@Demo2026!</w:t>
      </w:r>
      <w:r>
        <w:t xml:space="preserve">). The sign-in page has no role shortcut buttons. Users with MFA roles enrol an authenticator app at their first sign-in. In UAT, the MFA step also offers</w:t>
      </w:r>
      <w:r>
        <w:t xml:space="preserve"> </w:t>
      </w:r>
      <w:r>
        <w:rPr>
          <w:bCs/>
          <w:b/>
        </w:rPr>
        <w:t xml:space="preserve">Sign in with demo code (UAT)</w:t>
      </w:r>
      <w:r>
        <w:t xml:space="preserve">. None of these helpers exist in production.</w:t>
      </w:r>
    </w:p>
    <w:bookmarkEnd w:id="31"/>
    <w:bookmarkStart w:id="34" w:name="partners-and-customers"/>
    <w:p>
      <w:pPr>
        <w:pStyle w:val="Heading2"/>
      </w:pPr>
      <w:r>
        <w:t xml:space="preserve">Partners and customers</w:t>
      </w:r>
    </w:p>
    <w:tbl>
      <w:tblPr>
        <w:tblStyle w:val="Table"/>
        <w:tblW w:type="pct" w:w="5000"/>
        <w:tblLook w:firstRow="1" w:lastRow="0" w:firstColumn="0" w:lastColumn="0" w:noHBand="0" w:noVBand="0" w:val="0020"/>
        <w:jc w:val="start"/>
      </w:tblPr>
      <w:tblGrid>
        <w:gridCol w:w="3960"/>
        <w:gridCol w:w="3960"/>
      </w:tblGrid>
      <w:tr>
        <w:trPr>
          <w:tblHeader w:val="true"/>
          <w:tblHeader w:val="true"/>
        </w:trPr>
        <w:tc>
          <w:tcPr>
            <w:shd w:val="clear" w:color="auto" w:fill="213368"/>
          </w:tcPr>
          <w:p>
            <w:pPr>
              <w:pStyle w:val="Compact"/>
              <w:spacing w:before="20" w:after="20"/>
              <w:jc w:val="left"/>
            </w:pPr>
            <w:r>
              <w:rPr>
                <w:b/>
                <w:color w:val="FFFFFF"/>
                <w:sz w:val="18"/>
              </w:rPr>
              <w:t xml:space="preserve">Guide</w:t>
            </w:r>
          </w:p>
        </w:tc>
        <w:tc>
          <w:tcPr>
            <w:shd w:val="clear" w:color="auto" w:fill="213368"/>
          </w:tcPr>
          <w:p>
            <w:pPr>
              <w:pStyle w:val="Compact"/>
              <w:spacing w:before="20" w:after="20"/>
              <w:jc w:val="left"/>
            </w:pPr>
            <w:r>
              <w:rPr>
                <w:b/>
                <w:color w:val="FFFFFF"/>
                <w:sz w:val="18"/>
              </w:rPr>
              <w:t xml:space="preserve">Audience</w:t>
            </w:r>
          </w:p>
        </w:tc>
      </w:tr>
      <w:tr>
        <w:tc>
          <w:tcPr/>
          <w:p>
            <w:pPr>
              <w:pStyle w:val="Compact"/>
              <w:spacing w:before="20" w:after="20"/>
              <w:jc w:val="left"/>
            </w:pPr>
            <w:hyperlink r:id="rId32">
              <w:r>
                <w:rPr>
                  <w:rStyle w:val="Hyperlink"/>
                </w:rPr>
                <w:t xml:space="preserve">Partner API Guide</w:t>
              </w:r>
            </w:hyperlink>
            <w:r>
              <w:rPr>
                <w:sz w:val="18"/>
              </w:rPr>
              <w:t xml:space="preserve">: quotes, orders (idempotent), policies, commission statement, authentication, errors, curl examples</w:t>
            </w:r>
          </w:p>
        </w:tc>
        <w:tc>
          <w:tcPr/>
          <w:p>
            <w:pPr>
              <w:pStyle w:val="Compact"/>
              <w:spacing w:before="20" w:after="20"/>
              <w:jc w:val="left"/>
            </w:pPr>
            <w:r>
              <w:rPr>
                <w:sz w:val="18"/>
              </w:rPr>
              <w:t xml:space="preserve">Partner developers</w:t>
            </w:r>
          </w:p>
        </w:tc>
      </w:tr>
      <w:tr>
        <w:tc>
          <w:tcPr/>
          <w:p>
            <w:pPr>
              <w:pStyle w:val="Compact"/>
              <w:spacing w:before="20" w:after="20"/>
              <w:jc w:val="left"/>
            </w:pPr>
            <w:hyperlink r:id="rId33">
              <w:r>
                <w:rPr>
                  <w:rStyle w:val="Hyperlink"/>
                </w:rPr>
                <w:t xml:space="preserve">Customer App Guide</w:t>
              </w:r>
            </w:hyperlink>
            <w:r>
              <w:rPr>
                <w:sz w:val="18"/>
              </w:rPr>
              <w:t xml:space="preserve">: Vietnamese, with an English summary</w:t>
            </w:r>
          </w:p>
        </w:tc>
        <w:tc>
          <w:tcPr/>
          <w:p>
            <w:pPr>
              <w:pStyle w:val="Compact"/>
              <w:spacing w:before="20" w:after="20"/>
              <w:jc w:val="left"/>
            </w:pPr>
            <w:r>
              <w:rPr>
                <w:sz w:val="18"/>
              </w:rPr>
              <w:t xml:space="preserve">VETC drivers, and customer-service staff who support them</w:t>
            </w:r>
          </w:p>
        </w:tc>
      </w:tr>
    </w:tbl>
    <w:bookmarkEnd w:id="34"/>
    <w:bookmarkStart w:id="35" w:name="conventions-in-these-manuals"/>
    <w:p>
      <w:pPr>
        <w:pStyle w:val="Heading2"/>
      </w:pPr>
      <w:r>
        <w:t xml:space="preserve">Conventions in these manuals</w:t>
      </w:r>
    </w:p>
    <w:p>
      <w:pPr>
        <w:numPr>
          <w:ilvl w:val="0"/>
          <w:numId w:val="1001"/>
        </w:numPr>
        <w:pStyle w:val="Compact"/>
      </w:pPr>
      <w:r>
        <w:rPr>
          <w:bCs/>
          <w:b/>
        </w:rPr>
        <w:t xml:space="preserve">Numbered steps</w:t>
      </w:r>
      <w:r>
        <w:t xml:space="preserve"> </w:t>
      </w:r>
      <w:r>
        <w:t xml:space="preserve">for procedures.</w:t>
      </w:r>
      <w:r>
        <w:t xml:space="preserve"> </w:t>
      </w:r>
      <w:r>
        <w:rPr>
          <w:bCs/>
          <w:b/>
        </w:rPr>
        <w:t xml:space="preserve">"What you will see"</w:t>
      </w:r>
      <w:r>
        <w:t xml:space="preserve"> </w:t>
      </w:r>
      <w:r>
        <w:t xml:space="preserve">describes the expected result.</w:t>
      </w:r>
      <w:r>
        <w:t xml:space="preserve"> </w:t>
      </w:r>
      <w:r>
        <w:rPr>
          <w:bCs/>
          <w:b/>
        </w:rPr>
        <w:t xml:space="preserve">Tips</w:t>
      </w:r>
      <w:r>
        <w:t xml:space="preserve"> </w:t>
      </w:r>
      <w:r>
        <w:t xml:space="preserve">and</w:t>
      </w:r>
      <w:r>
        <w:t xml:space="preserve"> </w:t>
      </w:r>
      <w:r>
        <w:rPr>
          <w:bCs/>
          <w:b/>
        </w:rPr>
        <w:t xml:space="preserve">Troubleshooting</w:t>
      </w:r>
      <w:r>
        <w:t xml:space="preserve"> </w:t>
      </w:r>
      <w:r>
        <w:t xml:space="preserve">close each manual.</w:t>
      </w:r>
    </w:p>
    <w:p>
      <w:pPr>
        <w:numPr>
          <w:ilvl w:val="0"/>
          <w:numId w:val="1001"/>
        </w:numPr>
        <w:pStyle w:val="Compact"/>
      </w:pPr>
      <w:r>
        <w:t xml:space="preserve">Screen labels are in English, with the Vietnamese label in brackets where it helps. The console opens in Vietnamese by default. The language button in the top bar switches between Vietnamese and English.</w:t>
      </w:r>
    </w:p>
    <w:p>
      <w:pPr>
        <w:numPr>
          <w:ilvl w:val="0"/>
          <w:numId w:val="1001"/>
        </w:numPr>
        <w:pStyle w:val="Compact"/>
      </w:pPr>
      <w:r>
        <w:t xml:space="preserve">Dates on screen are dd/mm/yyyy. Money is in VND.</w:t>
      </w:r>
    </w:p>
    <w:p>
      <w:pPr>
        <w:numPr>
          <w:ilvl w:val="0"/>
          <w:numId w:val="1001"/>
        </w:numPr>
        <w:pStyle w:val="Compact"/>
      </w:pPr>
      <w:r>
        <w:t xml:space="preserve">The no-discount rule applies everywhere: TNDS premiums are regulated and identical at every insurer.</w:t>
      </w:r>
    </w:p>
    <w:p>
      <w:pPr>
        <w:numPr>
          <w:ilvl w:val="0"/>
          <w:numId w:val="1001"/>
        </w:numPr>
        <w:pStyle w:val="Compact"/>
      </w:pPr>
      <w:r>
        <w:t xml:space="preserve">Staff never take payment. Customers confirm and pay inside the VETC app.</w:t>
      </w:r>
    </w:p>
    <w:p>
      <w:pPr>
        <w:pStyle w:val="FirstParagraph"/>
      </w:pPr>
      <w:r>
        <w:t xml:space="preserve">Related: the UX documents in</w:t>
      </w:r>
      <w:r>
        <w:t xml:space="preserve"> </w:t>
      </w:r>
      <w:r>
        <w:rPr>
          <w:rStyle w:val="VerbatimChar"/>
        </w:rPr>
        <w:t xml:space="preserve">docs/ux/</w:t>
      </w:r>
      <w:r>
        <w:t xml:space="preserve"> </w:t>
      </w:r>
      <w:r>
        <w:t xml:space="preserve">(design system, accessibility, information architecture) and the delivery documents in</w:t>
      </w:r>
      <w:r>
        <w:t xml:space="preserve"> </w:t>
      </w:r>
      <w:r>
        <w:rPr>
          <w:rStyle w:val="VerbatimChar"/>
        </w:rPr>
        <w:t xml:space="preserve">docs/delivery/</w:t>
      </w:r>
      <w:r>
        <w:t xml:space="preserve">, in particular the Change Management and Training Plan (docs/delivery/change-management-and-training.pdf) and the Knowledge Transfer Plan (docs/delivery/kt-plan.pdf).</w:t>
      </w:r>
    </w:p>
    <w:bookmarkEnd w:id="35"/>
    <w:sectPr>
      <w:headerReference r:id="rId9" w:type="default"/>
      <w:footerReference r:id="rId10" w:type="default"/>
      <w:pgSz w:h="16838" w:w="11906"/>
      <w:pgMar w:bottom="1020" w:left="1020" w:right="102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 xml:space="preserve">Prepared by iorta TechNXT · Confidential · Page </w:t>
    </w:r>
    <w:r>
      <w:rPr>
        <w:sz w:val="16"/>
      </w:rPr>
      <w:fldChar w:fldCharType="begin"/>
      <w:instrText>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213368"/>
        <w:sz w:val="16"/>
      </w:rPr>
      <w:t>TASCO Insurance × VETC — Growth Platform</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21A33"/>
      <w:sz w:val="22"/>
    </w:rPr>
  </w:style>
  <w:style w:styleId="BodyText" w:type="paragraph">
    <w:name w:val="Body Text"/>
    <w:basedOn w:val="Normal"/>
    <w:link w:val="BodyTextChar"/>
    <w:pPr>
      <w:spacing w:after="180" w:before="180"/>
    </w:pPr>
    <w:qFormat/>
    <w:rPr>
      <w:rFonts w:ascii="Calibri" w:cs="Calibri" w:eastAsia="Calibri" w:hAnsi="Calibri"/>
      <w:color w:val="121A33"/>
      <w:sz w:val="22"/>
    </w:rPr>
  </w:style>
  <w:style w:customStyle="1" w:styleId="FirstParagraph" w:type="paragraph">
    <w:name w:val="First Paragraph"/>
    <w:basedOn w:val="BodyText"/>
    <w:next w:val="BodyText"/>
    <w:qFormat/>
    <w:rPr>
      <w:rFonts w:ascii="Calibri" w:cs="Calibri" w:eastAsia="Calibri" w:hAnsi="Calibri"/>
      <w:color w:val="121A33"/>
      <w:sz w:val="22"/>
    </w:rPr>
  </w:style>
  <w:style w:customStyle="1" w:styleId="Compact" w:type="paragraph">
    <w:name w:val="Compact"/>
    <w:basedOn w:val="BodyText"/>
    <w:qFormat/>
    <w:pPr>
      <w:spacing w:after="36" w:before="36"/>
    </w:pPr>
    <w:rPr>
      <w:rFonts w:ascii="Calibri" w:cs="Calibri" w:eastAsia="Calibri" w:hAnsi="Calibri"/>
      <w:color w:val="121A33"/>
      <w:sz w:val="22"/>
    </w:rPr>
  </w:style>
  <w:style w:styleId="Title" w:type="paragraph">
    <w:name w:val="Title"/>
    <w:basedOn w:val="Normal"/>
    <w:next w:val="BodyText"/>
    <w:qFormat/>
    <w:pPr>
      <w:keepNext/>
      <w:keepLines/>
      <w:spacing w:after="240" w:before="480"/>
      <w:jc w:val="center"/>
    </w:pPr>
    <w:rPr>
      <w:rFonts w:ascii="Calibri" w:asciiTheme="majorHAnsi" w:cs="Calibri" w:cstheme="majorBidi" w:eastAsia="Calibri" w:eastAsiaTheme="majorEastAsia" w:hAnsi="Calibri" w:hAnsiTheme="majorHAnsi"/>
      <w:b/>
      <w:bCs/>
      <w:color w:val="213368"/>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0B6B66"/>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color w:val="121A33"/>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sz w:val="18"/>
    </w:rPr>
    <w:tblPr>
      <w:tblInd w:type="dxa" w:w="0"/>
      <w:tblCellMar>
        <w:top w:type="dxa" w:w="0"/>
        <w:left w:type="dxa" w:w="108"/>
        <w:bottom w:type="dxa" w:w="0"/>
        <w:right w:type="dxa" w:w="108"/>
      </w:tblCellMar>
      <w:tblBorders>
        <w:top w:color="C9D1E0" w:sz="4" w:val="single"/>
        <w:left w:color="C9D1E0" w:sz="4" w:val="single"/>
        <w:bottom w:color="C9D1E0" w:sz="4" w:val="single"/>
        <w:right w:color="C9D1E0" w:sz="4" w:val="single"/>
        <w:insideH w:color="C9D1E0" w:sz="4" w:val="single"/>
        <w:insideV w:color="C9D1E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2A3A6E"/>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B6B66"/>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3" Type="http://schemas.openxmlformats.org/officeDocument/2006/relationships/hyperlink" Target="customer-app-guide.pdf" TargetMode="External"/><Relationship Id="rId29" Type="http://schemas.openxmlformats.org/officeDocument/2006/relationships/hyperlink" Target="manual-administrator-and-support.pdf" TargetMode="External"/><Relationship Id="rId23" Type="http://schemas.openxmlformats.org/officeDocument/2006/relationships/hyperlink" Target="manual-campaign-manager.pdf" TargetMode="External"/><Relationship Id="rId27" Type="http://schemas.openxmlformats.org/officeDocument/2006/relationships/hyperlink" Target="manual-claims-handler.pdf" TargetMode="External"/><Relationship Id="rId25" Type="http://schemas.openxmlformats.org/officeDocument/2006/relationships/hyperlink" Target="manual-compliance-officer.pdf" TargetMode="External"/><Relationship Id="rId26" Type="http://schemas.openxmlformats.org/officeDocument/2006/relationships/hyperlink" Target="manual-data-steward.pdf" TargetMode="External"/><Relationship Id="rId30" Type="http://schemas.openxmlformats.org/officeDocument/2006/relationships/hyperlink" Target="manual-executive.pdf" TargetMode="External"/><Relationship Id="rId28" Type="http://schemas.openxmlformats.org/officeDocument/2006/relationships/hyperlink" Target="manual-partner-manager.pdf" TargetMode="External"/><Relationship Id="rId24" Type="http://schemas.openxmlformats.org/officeDocument/2006/relationships/hyperlink" Target="manual-rule-author-and-approver.pdf" TargetMode="External"/><Relationship Id="rId21" Type="http://schemas.openxmlformats.org/officeDocument/2006/relationships/hyperlink" Target="manual-telesales-agent.pdf" TargetMode="External"/><Relationship Id="rId22" Type="http://schemas.openxmlformats.org/officeDocument/2006/relationships/hyperlink" Target="manual-telesales-supervisor.pdf" TargetMode="External"/><Relationship Id="rId32" Type="http://schemas.openxmlformats.org/officeDocument/2006/relationships/hyperlink" Target="partner-api-guide.pdf" TargetMode="External"/><Relationship Id="rId20" Type="http://schemas.openxmlformats.org/officeDocument/2006/relationships/hyperlink" Target="user-manual.pdf" TargetMode="External"/></Relationships>
</file>

<file path=word/_rels/footnotes.xml.rels><?xml version='1.0' encoding='UTF-8' standalone='yes'?>
<Relationships xmlns="http://schemas.openxmlformats.org/package/2006/relationships"><Relationship Id="rId33" Type="http://schemas.openxmlformats.org/officeDocument/2006/relationships/hyperlink" Target="customer-app-guide.pdf" TargetMode="External"/><Relationship Id="rId29" Type="http://schemas.openxmlformats.org/officeDocument/2006/relationships/hyperlink" Target="manual-administrator-and-support.pdf" TargetMode="External"/><Relationship Id="rId23" Type="http://schemas.openxmlformats.org/officeDocument/2006/relationships/hyperlink" Target="manual-campaign-manager.pdf" TargetMode="External"/><Relationship Id="rId27" Type="http://schemas.openxmlformats.org/officeDocument/2006/relationships/hyperlink" Target="manual-claims-handler.pdf" TargetMode="External"/><Relationship Id="rId25" Type="http://schemas.openxmlformats.org/officeDocument/2006/relationships/hyperlink" Target="manual-compliance-officer.pdf" TargetMode="External"/><Relationship Id="rId26" Type="http://schemas.openxmlformats.org/officeDocument/2006/relationships/hyperlink" Target="manual-data-steward.pdf" TargetMode="External"/><Relationship Id="rId30" Type="http://schemas.openxmlformats.org/officeDocument/2006/relationships/hyperlink" Target="manual-executive.pdf" TargetMode="External"/><Relationship Id="rId28" Type="http://schemas.openxmlformats.org/officeDocument/2006/relationships/hyperlink" Target="manual-partner-manager.pdf" TargetMode="External"/><Relationship Id="rId24" Type="http://schemas.openxmlformats.org/officeDocument/2006/relationships/hyperlink" Target="manual-rule-author-and-approver.pdf" TargetMode="External"/><Relationship Id="rId21" Type="http://schemas.openxmlformats.org/officeDocument/2006/relationships/hyperlink" Target="manual-telesales-agent.pdf" TargetMode="External"/><Relationship Id="rId22" Type="http://schemas.openxmlformats.org/officeDocument/2006/relationships/hyperlink" Target="manual-telesales-supervisor.pdf" TargetMode="External"/><Relationship Id="rId32" Type="http://schemas.openxmlformats.org/officeDocument/2006/relationships/hyperlink" Target="partner-api-guide.pdf" TargetMode="External"/><Relationship Id="rId20" Type="http://schemas.openxmlformats.org/officeDocument/2006/relationships/hyperlink" Target="user-manu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Manuals — TASCO Growth Platform (v1 UI)</dc:title>
  <dc:creator>iorta TechNXT</dc:creator>
  <cp:keywords/>
  <dcterms:created xsi:type="dcterms:W3CDTF">2026-10-07T22:36:08Z</dcterms:created>
  <dcterms:modified xsi:type="dcterms:W3CDTF">2026-10-07T22:36:08Z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07 October 2026</vt:lpwstr>
  </property>
  <property fmtid="{D5CDD505-2E9C-101B-9397-08002B2CF9AE}" pid="3" name="subtitle">
    <vt:lpwstr>TASCO Insurance × VETC Growth Platform — User Manuals</vt:lpwstr>
  </property>
</Properties>
</file>