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Steward Manual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Steward Manual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Business Analysis and 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rPr>
          <w:rStyle w:val="VerbatimChar"/>
        </w:rPr>
        <w:t xml:space="preserve">data_steward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 user:</w:t>
      </w:r>
      <w:r>
        <w:t xml:space="preserve"> </w:t>
      </w:r>
      <w:r>
        <w:rPr>
          <w:rStyle w:val="VerbatimChar"/>
        </w:rPr>
        <w:t xml:space="preserve">steward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MFA: required</w:t>
      </w:r>
    </w:p>
    <w:p>
      <w:pPr>
        <w:pStyle w:val="BodyText"/>
      </w:pPr>
      <w:r>
        <w:rPr>
          <w:bCs/>
          <w:b/>
        </w:rPr>
        <w:t xml:space="preserve">Your permissions:</w:t>
      </w:r>
      <w:r>
        <w:t xml:space="preserve"> </w:t>
      </w:r>
      <w:r>
        <w:t xml:space="preserve">data-quality issues (</w:t>
      </w:r>
      <w:r>
        <w:rPr>
          <w:rStyle w:val="VerbatimChar"/>
        </w:rPr>
        <w:t xml:space="preserve">dq:read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dq:resolve</w:t>
      </w:r>
      <w:r>
        <w:t xml:space="preserve">), customer records</w:t>
      </w:r>
      <w:r>
        <w:t xml:space="preserve"> </w:t>
      </w:r>
      <w:r>
        <w:rPr>
          <w:bCs/>
          <w:b/>
        </w:rPr>
        <w:t xml:space="preserve">with personal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profile:read_pii</w:t>
      </w:r>
      <w:r>
        <w:t xml:space="preserve">),</w:t>
      </w:r>
      <w:r>
        <w:t xml:space="preserve"> </w:t>
      </w:r>
      <w:r>
        <w:rPr>
          <w:bCs/>
          <w:b/>
        </w:rPr>
        <w:t xml:space="preserve">correct customer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profile:update</w:t>
      </w:r>
      <w:r>
        <w:t xml:space="preserve">),</w:t>
      </w:r>
      <w:r>
        <w:t xml:space="preserve"> </w:t>
      </w:r>
      <w:r>
        <w:rPr>
          <w:bCs/>
          <w:b/>
        </w:rPr>
        <w:t xml:space="preserve">ingest data batches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data:ingest</w:t>
      </w:r>
      <w:r>
        <w:t xml:space="preserve">), leads (</w:t>
      </w:r>
      <w:r>
        <w:rPr>
          <w:rStyle w:val="VerbatimChar"/>
        </w:rPr>
        <w:t xml:space="preserve">leads:read</w:t>
      </w:r>
      <w:r>
        <w:t xml:space="preserve">), dashboards (</w:t>
      </w:r>
      <w:r>
        <w:rPr>
          <w:rStyle w:val="VerbatimChar"/>
        </w:rPr>
        <w:t xml:space="preserve">dashboard:read</w:t>
      </w:r>
      <w:r>
        <w:t xml:space="preserve">).</w:t>
      </w:r>
    </w:p>
    <w:p>
      <w:pPr>
        <w:pStyle w:val="BodyText"/>
      </w:pPr>
      <w:r>
        <w:t xml:space="preserve">You keep the golden record trustworthy. Only about 1 in 10 source records carries a reliable policy stamp, so the platform infers missing facts and scores its confidence. Your corrections, together with customer and voice bot confirmations, turn estimates into facts.</w:t>
      </w:r>
    </w:p>
    <w:p>
      <w:pPr>
        <w:pStyle w:val="BodyText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Start w:id="21" w:name="X29f2fc40e9597e62407f1fc9b28e3c8c8c7042e"/>
    <w:p>
      <w:pPr>
        <w:pStyle w:val="Heading2"/>
      </w:pPr>
      <w:r>
        <w:t xml:space="preserve">1. How the golden record works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records</w:t>
      </w:r>
      <w:r>
        <w:t xml:space="preserve"> </w:t>
      </w:r>
      <w:r>
        <w:t xml:space="preserve">arrive from VETC (accounts, tags, toll class, app activity), TASCO core, partners and telesales files. Each is stored with its batch and lineage.</w:t>
      </w:r>
    </w:p>
    <w:p>
      <w:pPr>
        <w:numPr>
          <w:ilvl w:val="0"/>
          <w:numId w:val="1001"/>
        </w:numPr>
        <w:pStyle w:val="Compact"/>
      </w:pPr>
      <w:r>
        <w:t xml:space="preserve">Records are matched</w:t>
      </w:r>
      <w:r>
        <w:t xml:space="preserve"> </w:t>
      </w:r>
      <w:r>
        <w:rPr>
          <w:bCs/>
          <w:b/>
        </w:rPr>
        <w:t xml:space="preserve">by licence plate</w:t>
      </w:r>
      <w:r>
        <w:t xml:space="preserve">. The plate is normalised, for example "30a-123.45" becomes key</w:t>
      </w:r>
      <w:r>
        <w:t xml:space="preserve"> </w:t>
      </w:r>
      <w:r>
        <w:rPr>
          <w:rStyle w:val="VerbatimChar"/>
        </w:rPr>
        <w:t xml:space="preserve">30A12345</w:t>
      </w:r>
      <w:r>
        <w:t xml:space="preserve">, and the province is checked from the plate prefix. Invalid plates are rejected and logged as DQ issues.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Survivorship</w:t>
      </w:r>
      <w:r>
        <w:t xml:space="preserve"> </w:t>
      </w:r>
      <w:r>
        <w:t xml:space="preserve">picks each field from the most trusted source (</w:t>
      </w:r>
      <w:r>
        <w:rPr>
          <w:rStyle w:val="VerbatimChar"/>
        </w:rPr>
        <w:t xml:space="preserve">enrichment.sourceTrust</w:t>
      </w:r>
      <w:r>
        <w:t xml:space="preserve">). From highest to lowest:</w:t>
      </w:r>
      <w:r>
        <w:t xml:space="preserve"> </w:t>
      </w:r>
      <w:r>
        <w:rPr>
          <w:rStyle w:val="VerbatimChar"/>
        </w:rPr>
        <w:t xml:space="preserve">tasco_core</w:t>
      </w:r>
      <w:r>
        <w:t xml:space="preserve"> </w:t>
      </w:r>
      <w:r>
        <w:t xml:space="preserve">1.0, VETC app purchase 0.95, VETC account 0.85, customer declared 0.75, inspection centre 0.65, bank/showroom/fleet 0.6, agent 0.5, telesales CSV 0.4.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Expiry inference</w:t>
      </w:r>
      <w:r>
        <w:t xml:space="preserve"> </w:t>
      </w:r>
      <w:r>
        <w:t xml:space="preserve">uses evidence: a verified certificate (1.0), customer declared (0.75), a partner policy record (0.7, scaled by source trust), the inspection cycle (0.5), the tag anniversary (0.25). Agreeing evidence within 21 days raises confidence (+0.15 each, max 0.95).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Vehicle category</w:t>
      </w:r>
      <w:r>
        <w:t xml:space="preserve"> </w:t>
      </w:r>
      <w:r>
        <w:t xml:space="preserve">is inferred from declared seats, use and toll class (decision table), with confidence and the basis shown.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DQ score</w:t>
      </w:r>
      <w:r>
        <w:t xml:space="preserve"> </w:t>
      </w:r>
      <w:r>
        <w:t xml:space="preserve">combines completeness (50 %), expiry confidence (35 %) and category confidence (15 %).</w:t>
      </w:r>
    </w:p>
    <w:p>
      <w:pPr>
        <w:numPr>
          <w:ilvl w:val="0"/>
          <w:numId w:val="1001"/>
        </w:numPr>
        <w:pStyle w:val="Compact"/>
      </w:pPr>
      <w:r>
        <w:t xml:space="preserve">Facts confirmed</w:t>
      </w:r>
      <w:r>
        <w:t xml:space="preserve"> </w:t>
      </w:r>
      <w:r>
        <w:rPr>
          <w:bCs/>
          <w:b/>
        </w:rPr>
        <w:t xml:space="preserve">on the platform</w:t>
      </w:r>
      <w:r>
        <w:t xml:space="preserve"> </w:t>
      </w:r>
      <w:r>
        <w:t xml:space="preserve">(customer declared, voice bot, TASCO-issued, steward corrections) survive later rebuilds when they are more confident.</w:t>
      </w:r>
    </w:p>
    <w:p>
      <w:pPr>
        <w:pStyle w:val="FirstParagraph"/>
      </w:pPr>
      <w:r>
        <w:rPr>
          <w:bCs/>
          <w:b/>
        </w:rPr>
        <w:t xml:space="preserve">Thresholds to remember:</w:t>
      </w:r>
      <w:r>
        <w:t xml:space="preserve"> </w:t>
      </w:r>
      <w:r>
        <w:t xml:space="preserve">expiry confidence</w:t>
      </w:r>
      <w:r>
        <w:t xml:space="preserve"> </w:t>
      </w:r>
      <w:r>
        <w:rPr>
          <w:bCs/>
          <w:b/>
        </w:rPr>
        <w:t xml:space="preserve">&lt; 0.5</w:t>
      </w:r>
      <w:r>
        <w:t xml:space="preserve"> </w:t>
      </w:r>
      <w:r>
        <w:t xml:space="preserve">means "not reliable — fix data before selling" (the NBA sends a confirmation request). Customers are asked to confirm in the app when confidence is</w:t>
      </w:r>
      <w:r>
        <w:t xml:space="preserve"> </w:t>
      </w:r>
      <w:r>
        <w:rPr>
          <w:bCs/>
          <w:b/>
        </w:rPr>
        <w:t xml:space="preserve">&lt; 0.75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Xe85383c2676475b82b9d7a5fa812f88ce9bbe57"/>
    <w:p>
      <w:pPr>
        <w:pStyle w:val="Heading2"/>
      </w:pPr>
      <w:r>
        <w:t xml:space="preserve">2. Your daily work: the Data quality queue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Data quality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a button per issue type with its count (and</w:t>
      </w:r>
      <w:r>
        <w:t xml:space="preserve"> </w:t>
      </w:r>
      <w:r>
        <w:rPr>
          <w:bCs/>
          <w:b/>
        </w:rPr>
        <w:t xml:space="preserve">All</w:t>
      </w:r>
      <w:r>
        <w:t xml:space="preserve">), then the open issues with</w:t>
      </w:r>
      <w:r>
        <w:t xml:space="preserve"> </w:t>
      </w:r>
      <w:r>
        <w:rPr>
          <w:bCs/>
          <w:b/>
        </w:rPr>
        <w:t xml:space="preserve">Issue</w:t>
      </w:r>
      <w:r>
        <w:t xml:space="preserve"> </w:t>
      </w:r>
      <w:r>
        <w:t xml:space="preserve">(type),</w:t>
      </w:r>
      <w:r>
        <w:t xml:space="preserve"> </w:t>
      </w:r>
      <w:r>
        <w:rPr>
          <w:bCs/>
          <w:b/>
        </w:rPr>
        <w:t xml:space="preserve">Customer</w:t>
      </w:r>
      <w:r>
        <w:t xml:space="preserve">,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(or batch),</w:t>
      </w:r>
      <w:r>
        <w:t xml:space="preserve"> </w:t>
      </w:r>
      <w:r>
        <w:rPr>
          <w:bCs/>
          <w:b/>
        </w:rPr>
        <w:t xml:space="preserve">Detected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Resolve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Issue 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Raised when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Typical resolution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invalid_plate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source record's plate cannot be normalised (format or unknown province code)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 it at source, or reject the record. Resolve with a note.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wrong_person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voice bot reached someone who says it's not their car or number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phone. Remove or replace it from a better source. Resolve.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plate_mismatch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person on the call gave a different plate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for a sold vehicle, a transfer or a wrong phone link. Resolve.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phone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phone number or name in any source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Enrich from a trusted source (VETC account update, partner file), or leave it to journeys (app push needs no phone)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reliable_expiry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Expiry confidence below the usable threshold (0.5)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 with evidence (section 3), or let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verify_expiry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journey step ask the customer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vehicle_category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Category confidence below 0.6, so the premium may be wrong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 seats and use from a reliable source and re-ingest. Ask underwriting if unsure.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current_insurer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Current insurer unknown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Usually resolved by customer or voice bot confirmation. Correct when evidence exists.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conflicting_phone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Sources disagree on the phone number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lineage and keep the most trusted. Remove numbers known to be wrong at source.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Select a type button to filter, and work the highest volumes first. Issues tied to hot leads (open the customer to see the tier) come before the rest.</w:t>
      </w:r>
    </w:p>
    <w:bookmarkStart w:id="22" w:name="X57123d95ebd997eab9416645433133dc56a1b3b"/>
    <w:p>
      <w:pPr>
        <w:pStyle w:val="Heading3"/>
      </w:pPr>
      <w:r>
        <w:t xml:space="preserve">2.1 Resolve an issue</w:t>
      </w:r>
    </w:p>
    <w:p>
      <w:pPr>
        <w:numPr>
          <w:ilvl w:val="0"/>
          <w:numId w:val="1004"/>
        </w:numPr>
        <w:pStyle w:val="Compact"/>
      </w:pPr>
      <w:r>
        <w:t xml:space="preserve">Select the customer ID in the</w:t>
      </w:r>
      <w:r>
        <w:t xml:space="preserve"> </w:t>
      </w:r>
      <w:r>
        <w:rPr>
          <w:bCs/>
          <w:b/>
        </w:rPr>
        <w:t xml:space="preserve">Customer</w:t>
      </w:r>
      <w:r>
        <w:t xml:space="preserve"> </w:t>
      </w:r>
      <w:r>
        <w:t xml:space="preserve">column to open Customer 360, if needed.</w:t>
      </w:r>
    </w:p>
    <w:p>
      <w:pPr>
        <w:numPr>
          <w:ilvl w:val="0"/>
          <w:numId w:val="1004"/>
        </w:numPr>
        <w:pStyle w:val="Compact"/>
      </w:pPr>
      <w:r>
        <w:t xml:space="preserve">Investigate (see 2.2) and make any correction.</w:t>
      </w:r>
    </w:p>
    <w:p>
      <w:pPr>
        <w:numPr>
          <w:ilvl w:val="0"/>
          <w:numId w:val="1004"/>
        </w:numPr>
        <w:pStyle w:val="Compact"/>
      </w:pPr>
      <w:r>
        <w:t xml:space="preserve">Back on</w:t>
      </w:r>
      <w:r>
        <w:t xml:space="preserve"> </w:t>
      </w:r>
      <w:r>
        <w:rPr>
          <w:bCs/>
          <w:b/>
        </w:rPr>
        <w:t xml:space="preserve">Data quality</w:t>
      </w:r>
      <w:r>
        <w:t xml:space="preserve">, select</w:t>
      </w:r>
      <w:r>
        <w:t xml:space="preserve"> </w:t>
      </w:r>
      <w:r>
        <w:rPr>
          <w:bCs/>
          <w:b/>
        </w:rPr>
        <w:t xml:space="preserve">Resolve</w:t>
      </w:r>
      <w:r>
        <w:t xml:space="preserve"> </w:t>
      </w:r>
      <w:r>
        <w:t xml:space="preserve">on the issue and enter a</w:t>
      </w:r>
      <w:r>
        <w:t xml:space="preserve"> </w:t>
      </w:r>
      <w:r>
        <w:rPr>
          <w:bCs/>
          <w:b/>
        </w:rPr>
        <w:t xml:space="preserve">Resolution note</w:t>
      </w:r>
      <w:r>
        <w:t xml:space="preserve"> </w:t>
      </w:r>
      <w:r>
        <w:t xml:space="preserve">(what you found and did, for example "Phone belongs to previous owner; removed per VETC account update 12/10/2026").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toast "Resolved", and the issue disappears from the open list. It is audited as</w:t>
      </w:r>
      <w:r>
        <w:t xml:space="preserve"> </w:t>
      </w:r>
      <w:r>
        <w:rPr>
          <w:rStyle w:val="VerbatimChar"/>
        </w:rPr>
        <w:t xml:space="preserve">dq.resolved</w:t>
      </w:r>
      <w:r>
        <w:t xml:space="preserve"> </w:t>
      </w:r>
      <w:r>
        <w:t xml:space="preserve">with your user ID. If new conflicting data arrives later, a new issue may be raised.</w:t>
      </w:r>
    </w:p>
    <w:bookmarkEnd w:id="22"/>
    <w:bookmarkStart w:id="23" w:name="Xe0a0c32f169837e77b7ef95bbc64a100fbcba71"/>
    <w:p>
      <w:pPr>
        <w:pStyle w:val="Heading3"/>
      </w:pPr>
      <w:r>
        <w:t xml:space="preserve">2.2 Investigate with lineage</w:t>
      </w:r>
    </w:p>
    <w:p>
      <w:pPr>
        <w:numPr>
          <w:ilvl w:val="0"/>
          <w:numId w:val="1005"/>
        </w:numPr>
        <w:pStyle w:val="Compact"/>
      </w:pPr>
      <w:r>
        <w:t xml:space="preserve">In Customer 360, open</w:t>
      </w:r>
      <w:r>
        <w:t xml:space="preserve"> </w:t>
      </w:r>
      <w:r>
        <w:rPr>
          <w:bCs/>
          <w:b/>
        </w:rPr>
        <w:t xml:space="preserve">Data &amp; lineage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you will see: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Golden record</w:t>
      </w:r>
      <w:r>
        <w:t xml:space="preserve">: the fields, including</w:t>
      </w:r>
      <w:r>
        <w:t xml:space="preserve"> </w:t>
      </w:r>
      <w:r>
        <w:rPr>
          <w:bCs/>
          <w:b/>
        </w:rPr>
        <w:t xml:space="preserve">Sources</w:t>
      </w:r>
      <w:r>
        <w:t xml:space="preserve"> </w:t>
      </w:r>
      <w:r>
        <w:t xml:space="preserve">(the source systems that built this profile) and</w:t>
      </w:r>
      <w:r>
        <w:t xml:space="preserve"> </w:t>
      </w:r>
      <w:r>
        <w:rPr>
          <w:bCs/>
          <w:b/>
        </w:rPr>
        <w:t xml:space="preserve">Data quality</w:t>
      </w:r>
      <w:r>
        <w:t xml:space="preserve"> </w:t>
      </w:r>
      <w:r>
        <w:t xml:space="preserve">(score and missing fields);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Lineage</w:t>
      </w:r>
      <w:r>
        <w:t xml:space="preserve">: for each field (for example</w:t>
      </w:r>
      <w:r>
        <w:t xml:space="preserve"> </w:t>
      </w:r>
      <w:r>
        <w:rPr>
          <w:rStyle w:val="VerbatimChar"/>
        </w:rPr>
        <w:t xml:space="preserve">policy.expiryDate</w:t>
      </w:r>
      <w:r>
        <w:t xml:space="preserve">), the source or rule and the confidence;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Expiry evidence</w:t>
      </w:r>
      <w:r>
        <w:t xml:space="preserve">: each piece of evidence with its date, method and confidence.</w:t>
      </w:r>
    </w:p>
    <w:p>
      <w:pPr>
        <w:numPr>
          <w:ilvl w:val="0"/>
          <w:numId w:val="1005"/>
        </w:numPr>
        <w:pStyle w:val="Compact"/>
      </w:pPr>
      <w:r>
        <w:t xml:space="preserve">Decide which evidence is right. When in doubt, prefer TASCO core or a verified certificate.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1fd16cb2dad8f3417e159251304a1be5583491d"/>
    <w:p>
      <w:pPr>
        <w:pStyle w:val="Heading2"/>
      </w:pPr>
      <w:r>
        <w:t xml:space="preserve">3. Correct a policy expiry date</w:t>
      </w:r>
    </w:p>
    <w:p>
      <w:pPr>
        <w:pStyle w:val="FirstParagraph"/>
      </w:pPr>
      <w:r>
        <w:t xml:space="preserve">Use this when you have</w:t>
      </w:r>
      <w:r>
        <w:t xml:space="preserve"> </w:t>
      </w:r>
      <w:r>
        <w:rPr>
          <w:bCs/>
          <w:b/>
        </w:rPr>
        <w:t xml:space="preserve">evidence</w:t>
      </w:r>
      <w:r>
        <w:t xml:space="preserve">: a certificate photo sent by the customer, a TASCO core record, a partner confirmation or a call note.</w:t>
      </w:r>
    </w:p>
    <w:p>
      <w:pPr>
        <w:numPr>
          <w:ilvl w:val="0"/>
          <w:numId w:val="1007"/>
        </w:numPr>
        <w:pStyle w:val="Compact"/>
      </w:pPr>
      <w:r>
        <w:t xml:space="preserve">Open the customer in</w:t>
      </w:r>
      <w:r>
        <w:t xml:space="preserve"> </w:t>
      </w:r>
      <w:r>
        <w:rPr>
          <w:bCs/>
          <w:b/>
        </w:rPr>
        <w:t xml:space="preserve">Customer 360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Data &amp; lineage</w:t>
      </w:r>
      <w:r>
        <w:t xml:space="preserve"> </w:t>
      </w:r>
      <w:r>
        <w:t xml:space="preserve">tab and scroll to</w:t>
      </w:r>
      <w:r>
        <w:t xml:space="preserve"> </w:t>
      </w:r>
      <w:r>
        <w:rPr>
          <w:bCs/>
          <w:b/>
        </w:rPr>
        <w:t xml:space="preserve">Correct expiry (data steward)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Enter: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New expiry date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Insurer</w:t>
      </w:r>
      <w:r>
        <w:t xml:space="preserve"> </w:t>
      </w:r>
      <w:r>
        <w:t xml:space="preserve">(optional, for example</w:t>
      </w:r>
      <w:r>
        <w:t xml:space="preserve"> </w:t>
      </w:r>
      <w:r>
        <w:rPr>
          <w:rStyle w:val="VerbatimChar"/>
        </w:rPr>
        <w:t xml:space="preserve">TASCO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or the insurer name);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Evidence</w:t>
      </w:r>
      <w:r>
        <w:t xml:space="preserve"> </w:t>
      </w:r>
      <w:r>
        <w:t xml:space="preserve">(required, up to 300 characters): what the evidence is and where it is stored, for example "Certificate photo, ticket SR-5521".</w:t>
      </w:r>
    </w:p>
    <w:p>
      <w:pPr>
        <w:numPr>
          <w:ilvl w:val="0"/>
          <w:numId w:val="1007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Save correction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"Corrected and re-scored". The expiry now shows source</w:t>
      </w:r>
      <w:r>
        <w:t xml:space="preserve"> </w:t>
      </w:r>
      <w:r>
        <w:rPr>
          <w:rStyle w:val="VerbatimChar"/>
        </w:rPr>
        <w:t xml:space="preserve">data_steward</w:t>
      </w:r>
      <w:r>
        <w:t xml:space="preserve"> </w:t>
      </w:r>
      <w:r>
        <w:t xml:space="preserve">with confidence 0.9 (</w:t>
      </w:r>
      <w:r>
        <w:rPr>
          <w:rStyle w:val="VerbatimChar"/>
        </w:rPr>
        <w:t xml:space="preserve">stewardCorrectionConfidence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service_levels</w:t>
      </w:r>
      <w:r>
        <w:t xml:space="preserve"> </w:t>
      </w:r>
      <w:r>
        <w:t xml:space="preserve">rule set). The lead is</w:t>
      </w:r>
      <w:r>
        <w:t xml:space="preserve"> </w:t>
      </w:r>
      <w:r>
        <w:rPr>
          <w:bCs/>
          <w:b/>
        </w:rPr>
        <w:t xml:space="preserve">recomputed at once</w:t>
      </w:r>
      <w:r>
        <w:t xml:space="preserve">: tier, journey and scheduled touchpoints may change. The audit trail records</w:t>
      </w:r>
      <w:r>
        <w:t xml:space="preserve"> </w:t>
      </w:r>
      <w:r>
        <w:rPr>
          <w:rStyle w:val="VerbatimChar"/>
        </w:rPr>
        <w:t xml:space="preserve">profile.expiry_corrected</w:t>
      </w:r>
      <w:r>
        <w:t xml:space="preserve"> </w:t>
      </w:r>
      <w:r>
        <w:t xml:space="preserve">with your evidence note.</w:t>
      </w:r>
    </w:p>
    <w:p>
      <w:pPr>
        <w:pStyle w:val="BlockText"/>
      </w:pPr>
      <w:r>
        <w:rPr>
          <w:bCs/>
          <w:b/>
        </w:rPr>
        <w:t xml:space="preserve">Do not guess.</w:t>
      </w:r>
      <w:r>
        <w:t xml:space="preserve"> </w:t>
      </w:r>
      <w:r>
        <w:t xml:space="preserve">A wrong date sends reminders at the wrong time and destroys customer trust. If you have no evidence, leave the customer in the</w:t>
      </w:r>
      <w:r>
        <w:t xml:space="preserve"> </w:t>
      </w:r>
      <w:r>
        <w:rPr>
          <w:rStyle w:val="VerbatimChar"/>
        </w:rPr>
        <w:t xml:space="preserve">verify_expiry</w:t>
      </w:r>
      <w:r>
        <w:t xml:space="preserve"> </w:t>
      </w:r>
      <w:r>
        <w:t xml:space="preserve">path so they confirm it themselves.</w:t>
      </w:r>
    </w:p>
    <w:p>
      <w:r>
        <w:pict>
          <v:rect style="width:0;height:1.5pt" o:hralign="center" o:hrstd="t" o:hr="t"/>
        </w:pict>
      </w:r>
    </w:p>
    <w:bookmarkEnd w:id="25"/>
    <w:bookmarkStart w:id="26" w:name="X2e40416a198152228642dc1cb234fee68564b11"/>
    <w:p>
      <w:pPr>
        <w:pStyle w:val="Heading2"/>
      </w:pPr>
      <w:r>
        <w:t xml:space="preserve">4. Ingest a data batch</w:t>
      </w:r>
    </w:p>
    <w:p>
      <w:pPr>
        <w:pStyle w:val="FirstParagraph"/>
      </w:pPr>
      <w:r>
        <w:t xml:space="preserve">Use this for partner files, telesales lists or corrected extracts. Routine VETC/TASCO feeds run automatically.</w:t>
      </w:r>
    </w:p>
    <w:p>
      <w:pPr>
        <w:numPr>
          <w:ilvl w:val="0"/>
          <w:numId w:val="1009"/>
        </w:numPr>
        <w:pStyle w:val="Compact"/>
      </w:pPr>
      <w:r>
        <w:t xml:space="preserve">Prepare the records in the agreed JSON format. Each record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have a unique</w:t>
      </w:r>
      <w:r>
        <w:t xml:space="preserve"> </w:t>
      </w:r>
      <w:r>
        <w:rPr>
          <w:rStyle w:val="VerbatimChar"/>
        </w:rPr>
        <w:t xml:space="preserve">recordId</w:t>
      </w:r>
      <w:r>
        <w:t xml:space="preserve">. Allowed fields:</w:t>
      </w:r>
      <w:r>
        <w:t xml:space="preserve"> </w:t>
      </w:r>
      <w:r>
        <w:rPr>
          <w:rStyle w:val="VerbatimChar"/>
        </w:rPr>
        <w:t xml:space="preserve">recordId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plateRaw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phoneRaw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tollClass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seatsDeclared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usageDeclared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tagActivatedAt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insurer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),</w:t>
      </w:r>
      <w:r>
        <w:t xml:space="preserve"> </w:t>
      </w:r>
      <w:r>
        <w:rPr>
          <w:rStyle w:val="VerbatimChar"/>
        </w:rPr>
        <w:t xml:space="preserve">lastInspectionDate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declaredExpiry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firstRegisteredYear</w:t>
      </w:r>
      <w:r>
        <w:t xml:space="preserve">. Any other field is ignored.</w:t>
      </w:r>
    </w:p>
    <w:p>
      <w:pPr>
        <w:numPr>
          <w:ilvl w:val="0"/>
          <w:numId w:val="1009"/>
        </w:numPr>
        <w:pStyle w:val="Compact"/>
      </w:pPr>
      <w:r>
        <w:t xml:space="preserve">Submit the batch through the ingestion API,</w:t>
      </w:r>
      <w:r>
        <w:t xml:space="preserve"> </w:t>
      </w:r>
      <w:r>
        <w:rPr>
          <w:rStyle w:val="VerbatimChar"/>
        </w:rPr>
        <w:t xml:space="preserve">POST /api/data/ingest</w:t>
      </w:r>
      <w:r>
        <w:t xml:space="preserve"> </w:t>
      </w:r>
      <w:r>
        <w:t xml:space="preserve">(permission</w:t>
      </w:r>
      <w:r>
        <w:t xml:space="preserve"> </w:t>
      </w:r>
      <w:r>
        <w:rPr>
          <w:rStyle w:val="VerbatimChar"/>
        </w:rPr>
        <w:t xml:space="preserve">data:ingest</w:t>
      </w:r>
      <w:r>
        <w:t xml:space="preserve">). The v1 console has no upload screen. Set the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name of each record (for example</w:t>
      </w:r>
      <w:r>
        <w:t xml:space="preserve"> </w:t>
      </w:r>
      <w:r>
        <w:rPr>
          <w:rStyle w:val="VerbatimChar"/>
        </w:rPr>
        <w:t xml:space="preserve">partner_inspection_center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telesales_csv</w:t>
      </w:r>
      <w:r>
        <w:t xml:space="preserve">): it drives source trust.</w:t>
      </w:r>
    </w:p>
    <w:p>
      <w:pPr>
        <w:numPr>
          <w:ilvl w:val="0"/>
          <w:numId w:val="1009"/>
        </w:numPr>
        <w:pStyle w:val="Compact"/>
      </w:pPr>
      <w:r>
        <w:t xml:space="preserve">Keep batches to</w:t>
      </w:r>
      <w:r>
        <w:t xml:space="preserve"> </w:t>
      </w:r>
      <w:r>
        <w:rPr>
          <w:bCs/>
          <w:b/>
        </w:rPr>
        <w:t xml:space="preserve">2,000 records or fewer</w:t>
      </w:r>
      <w:r>
        <w:t xml:space="preserve">. The API accepts up to 5,000 records, but larger batches can exceed the 1 MiB request limit.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the batch ID (</w:t>
      </w:r>
      <w:r>
        <w:rPr>
          <w:rStyle w:val="VerbatimChar"/>
        </w:rPr>
        <w:t xml:space="preserve">B-&lt;date&gt;-…</w:t>
      </w:r>
      <w:r>
        <w:t xml:space="preserve">), records received, the number rejected (invalid plates), profiles touched and rebuilt, and new DQ issues. Affected leads are re-scored automatically.</w:t>
      </w:r>
    </w:p>
    <w:p>
      <w:pPr>
        <w:pStyle w:val="BlockText"/>
      </w:pPr>
      <w:r>
        <w:t xml:space="preserve">Only ingest data that has a lawful basis and a data-sharing agreement. Personal data in source records is encrypted at rest. Raw source records are deleted after 365 days (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rule set).</w:t>
      </w:r>
    </w:p>
    <w:p>
      <w:r>
        <w:pict>
          <v:rect style="width:0;height:1.5pt" o:hralign="center" o:hrstd="t" o:hr="t"/>
        </w:pict>
      </w:r>
    </w:p>
    <w:bookmarkEnd w:id="26"/>
    <w:bookmarkStart w:id="27" w:name="X36a459a2fc99ddc181b5a928236d55be828a719"/>
    <w:p>
      <w:pPr>
        <w:pStyle w:val="Heading2"/>
      </w:pPr>
      <w:r>
        <w:t xml:space="preserve">5. KPIs (proposed)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KPI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Profiles with usable expiry (confidence ≥ 0.5)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Rising every month. ≥ 50 % of the base at scale.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DQ issues older than 5 business days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10 %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wrong_person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plate_mismatch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100 voice calls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Falling trend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Corrections with evidence notes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100 %</w:t>
            </w:r>
          </w:p>
        </w:tc>
      </w:tr>
    </w:tbl>
    <w:bookmarkEnd w:id="27"/>
    <w:bookmarkStart w:id="30" w:name="X0f82250e26c8b58406dd91cb5ad8bd54e9d2d72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"records[3].recordId required"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record needs a string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recordId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Error on batch size, or HTTP 413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Split into batches of 2,000 records or fewer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Many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invalid_plate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issues from one source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source's plate format and province codes. Feed back to the provider.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Correction "not found"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customer may have been anonymised (DSAR erasure)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My correction was overwritten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a more trusted, more confident source (for example a TASCO-issued policy) can override it. Check lineage.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28">
        <w:r>
          <w:rPr>
            <w:rStyle w:val="Hyperlink"/>
          </w:rPr>
          <w:t xml:space="preserve">Compliance Officer Manual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Campaign Manager Manual</w:t>
        </w:r>
      </w:hyperlink>
      <w:r>
        <w:t xml:space="preserve">.</w:t>
      </w:r>
    </w:p>
    <w:bookmarkEnd w:id="30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hyperlink" Target="manual-campaign-manager.pdf" TargetMode="External"/><Relationship Id="rId28" Type="http://schemas.openxmlformats.org/officeDocument/2006/relationships/hyperlink" Target="manual-compliance-officer.pdf" TargetMode="External"/><Relationship Id="rId20" Type="http://schemas.openxmlformats.org/officeDocument/2006/relationships/hyperlink" Target="user-manual.pdf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manual-campaign-manager.pdf" TargetMode="External"/><Relationship Id="rId28" Type="http://schemas.openxmlformats.org/officeDocument/2006/relationships/hyperlink" Target="manual-compliance-officer.pdf" TargetMode="External"/><Relationship Id="rId20" Type="http://schemas.openxmlformats.org/officeDocument/2006/relationships/hyperlink" Target="user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Steward Manual</dc:title>
  <dc:creator>iorta TechNXT</dc:creator>
  <cp:keywords/>
  <dcterms:created xsi:type="dcterms:W3CDTF">2026-10-07T22:36:11Z</dcterms:created>
  <dcterms:modified xsi:type="dcterms:W3CDTF">2026-10-07T22:36:11Z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