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Executive Manual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executive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user: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MFA:</w:t>
      </w:r>
      <w:r>
        <w:t xml:space="preserve"> </w:t>
      </w:r>
      <w:r>
        <w:t xml:space="preserve">recommended</w:t>
      </w:r>
    </w:p>
    <w:p>
      <w:pPr>
        <w:pStyle w:val="BodyText"/>
      </w:pPr>
      <w:r>
        <w:rPr>
          <w:bCs/>
          <w:b/>
        </w:rPr>
        <w:t xml:space="preserve">Your permission:</w:t>
      </w:r>
      <w:r>
        <w:t xml:space="preserve"> </w:t>
      </w:r>
      <w:r>
        <w:t xml:space="preserve">dashboards (</w:t>
      </w:r>
      <w:r>
        <w:rPr>
          <w:rStyle w:val="VerbatimChar"/>
        </w:rPr>
        <w:t xml:space="preserve">dashboard:read</w:t>
      </w:r>
      <w:r>
        <w:t xml:space="preserve">). You see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only, with live KPIs computed directly from the platform, so no manual reporting is needed. You do not see individual customers' personal data.</w:t>
      </w:r>
    </w:p>
    <w:p>
      <w:pPr>
        <w:pStyle w:val="BodyText"/>
      </w:pPr>
      <w:r>
        <w:t xml:space="preserve">Read sections 3–4 of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for sign-in and navigation (about 5 minutes).</w:t>
      </w:r>
    </w:p>
    <w:p>
      <w:r>
        <w:pict>
          <v:rect style="width:0;height:1.5pt" o:hralign="center" o:hrstd="t" o:hr="t"/>
        </w:pict>
      </w:r>
    </w:p>
    <w:bookmarkStart w:id="21" w:name="X9b630fc049a566291d08683b5e01f7d1616929c"/>
    <w:p>
      <w:pPr>
        <w:pStyle w:val="Heading2"/>
      </w:pPr>
      <w:r>
        <w:t xml:space="preserve">1. Reading the dashboard in 5 minutes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Home</w:t>
      </w:r>
      <w:r>
        <w:t xml:space="preserve">. The</w:t>
      </w:r>
      <w:r>
        <w:t xml:space="preserve"> </w:t>
      </w:r>
      <w:r>
        <w:rPr>
          <w:bCs/>
          <w:b/>
        </w:rPr>
        <w:t xml:space="preserve">as-of</w:t>
      </w:r>
      <w:r>
        <w:t xml:space="preserve"> </w:t>
      </w:r>
      <w:r>
        <w:t xml:space="preserve">date is shown at the top ("Snapshot as of … Growth across new business and retention.").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Block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Question it answers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What good looks like (proposed)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Key indicators</w:t>
            </w:r>
            <w:r>
              <w:rPr>
                <w:sz w:val="18"/>
              </w:rPr>
              <w:t xml:space="preserve">: vehicles in the golden record (and how many have usable data), expiring in 30 days, uninsured (lapsed ≤ 60 days)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How big is the opportunity right now?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Expiring-in-30 is the near-term pipeline. Lapsed vehicles are a new-business and road-safety opportunity.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Hot leads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(with warm)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New-business leads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How much high-intent demand do we have?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stable or rising hot share as data quality improves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Journey mix</w:t>
            </w:r>
            <w:r>
              <w:rPr>
                <w:sz w:val="18"/>
              </w:rPr>
              <w:t xml:space="preserve">: renewal (TASCO book), conquest (other insurer), new vehicle, uninsured recovery, cross-sell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Are we growing new business as well as retaining?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Conquest + new vehicle + uninsured together larger than renewal is healthy growth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Open data issues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Data quality issues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type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Can we trust the targeting?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Usable-data share rising month on month (baseline ≈ 10 %)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Messages sent by channel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Voice bot outcomes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Are we reaching customers without spamming?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Opt-outs ≤ 5 % of calls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Policies sold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(with GWP)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Sales by 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Is it converting, and where?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In-app (VETC app / Zalo) share ≥ 50 % in pilot. Partner API growing after launch.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Active policies by product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(in Channel economics)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mix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Add-on attach (PA_SEAT, MOTOR_PD) rising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Channel economics</w:t>
            </w:r>
            <w:r>
              <w:rPr>
                <w:sz w:val="18"/>
              </w:rPr>
              <w:t xml:space="preserve">: voice bot cost vs equivalent telesales cost, messaging cost,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acquisition cost per order (bot + messaging)</w:t>
            </w:r>
            <w:r>
              <w:rPr>
                <w:sz w:val="18"/>
              </w:rPr>
              <w:t xml:space="preserve">, and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Voice bot saving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Is the model efficient?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Saving vs telesales positive. Cost per order falling.</w:t>
            </w:r>
          </w:p>
        </w:tc>
      </w:tr>
    </w:tbl>
    <w:p>
      <w:pPr>
        <w:pStyle w:val="BodyText"/>
      </w:pPr>
      <w:r>
        <w:t xml:space="preserve">Notes on economics: unit costs come from the</w:t>
      </w:r>
      <w:r>
        <w:t xml:space="preserve"> </w:t>
      </w:r>
      <w:r>
        <w:rPr>
          <w:rStyle w:val="VerbatimChar"/>
        </w:rPr>
        <w:t xml:space="preserve">costs</w:t>
      </w:r>
      <w:r>
        <w:t xml:space="preserve"> </w:t>
      </w:r>
      <w:r>
        <w:t xml:space="preserve">rule set (for example voice bot 1,500 ₫ per minute, telesales 6,000 ₫ per minute, Zalo ZNS 300 ₫ and SMS 700 ₫ per message). These are</w:t>
      </w:r>
      <w:r>
        <w:t xml:space="preserve"> </w:t>
      </w:r>
      <w:r>
        <w:rPr>
          <w:bCs/>
          <w:b/>
        </w:rPr>
        <w:t xml:space="preserve">assumptions</w:t>
      </w:r>
      <w:r>
        <w:t xml:space="preserve"> </w:t>
      </w:r>
      <w:r>
        <w:t xml:space="preserve">until replaced with contracted rates.</w:t>
      </w:r>
    </w:p>
    <w:bookmarkEnd w:id="21"/>
    <w:bookmarkStart w:id="22" w:name="X9118ba82f5edbb106bff603692f7556b387604b"/>
    <w:p>
      <w:pPr>
        <w:pStyle w:val="Heading2"/>
      </w:pPr>
      <w:r>
        <w:t xml:space="preserve">2. Adoption and claims figures</w:t>
      </w:r>
    </w:p>
    <w:p>
      <w:pPr>
        <w:pStyle w:val="FirstParagraph"/>
      </w:pPr>
      <w:r>
        <w:t xml:space="preserve">Adoption figures (active users, sign-ins, failed sign-ins, handoff actions and actions by type) and claims by status are prepared for the Steering Committee pack from the platform's adoption and overview reports. Built-in adoption targets: weekly active telesales ≥ 90 %, average clicks to renew ≤ 3, handoff first contact within 2 business hours, rule change lead time ≤ 1 day.</w:t>
      </w:r>
    </w:p>
    <w:bookmarkEnd w:id="22"/>
    <w:bookmarkStart w:id="23" w:name="X592ec5d02cafdde0a9317da52cf356e42cd736f"/>
    <w:p>
      <w:pPr>
        <w:pStyle w:val="Heading2"/>
      </w:pPr>
      <w:r>
        <w:t xml:space="preserve">3. Questions to ask your teams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If you see…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Ask…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Many hot leads but few 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"Are handoffs worked within 2 hours? Are links sent?" (Telesales supervisor)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 blocked 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"Which contact-policy reason is blocking? Are journeys overlapping?" (Campaign manager)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 voice opt-out or plate-mismatch rates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"Are we calling the right people? What does the data steward see?"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Usable-data share flat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"Is the confirm-expiry step working in the app?" (Product, Data)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Cost per order rising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"Is the channel mix shifting to telesales? Are bot calls converting?"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orders flat after launch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"Which partners are certified? Any channel-conflict issues?" (Partner manager)</w:t>
            </w:r>
          </w:p>
        </w:tc>
      </w:tr>
    </w:tbl>
    <w:bookmarkEnd w:id="23"/>
    <w:bookmarkStart w:id="24" w:name="X35603096d29833cf1b54f51df5e72c348a22a1e"/>
    <w:p>
      <w:pPr>
        <w:pStyle w:val="Heading2"/>
      </w:pPr>
      <w:r>
        <w:t xml:space="preserve">4. Important reminders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TNDS premiums are regulated and identical everywhere.</w:t>
      </w:r>
      <w:r>
        <w:t xml:space="preserve"> </w:t>
      </w:r>
      <w:r>
        <w:t xml:space="preserve">Growth comes from service value, not price. Any request for discounting must be refused (Law on Insurance Business 08/2022/QH15).</w:t>
      </w:r>
    </w:p>
    <w:p>
      <w:pPr>
        <w:numPr>
          <w:ilvl w:val="0"/>
          <w:numId w:val="1001"/>
        </w:numPr>
        <w:pStyle w:val="Compact"/>
      </w:pPr>
      <w:r>
        <w:t xml:space="preserve">KPI targets in the delivery documents are</w:t>
      </w:r>
      <w:r>
        <w:t xml:space="preserve"> </w:t>
      </w:r>
      <w:r>
        <w:rPr>
          <w:bCs/>
          <w:b/>
        </w:rPr>
        <w:t xml:space="preserve">proposals</w:t>
      </w:r>
      <w:r>
        <w:t xml:space="preserve"> </w:t>
      </w:r>
      <w:r>
        <w:t xml:space="preserve">to be agreed by the Steering Committee.</w:t>
      </w:r>
    </w:p>
    <w:p>
      <w:pPr>
        <w:numPr>
          <w:ilvl w:val="0"/>
          <w:numId w:val="1001"/>
        </w:numPr>
        <w:pStyle w:val="Compact"/>
      </w:pPr>
      <w:r>
        <w:t xml:space="preserve">Dashboards are live. Numbers can change during the day as journeys and sales run.</w:t>
      </w:r>
    </w:p>
    <w:bookmarkEnd w:id="24"/>
    <w:bookmarkStart w:id="25" w:name="Xd5b3d8a68c73b756968aad1dd84151376a19c17"/>
    <w:p>
      <w:pPr>
        <w:pStyle w:val="Heading2"/>
      </w:pPr>
      <w:r>
        <w:t xml:space="preserve">5.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Dashboard empty in a training or UAT environment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environment is seeded with demo data. Ask support if it stays empty.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number looks wrong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Note the as-of date and the block, and ask the Product Owner. Each number is traceable to platform data.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Want customer-level detail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Ask the campaign manager or supervisor (role-based access protects personal data).</w:t>
            </w:r>
          </w:p>
        </w:tc>
      </w:tr>
    </w:tbl>
    <w:bookmarkEnd w:id="25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user-manual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Manual</dc:title>
  <dc:creator>iorta TechNXT</dc:creator>
  <cp:keywords/>
  <dcterms:created xsi:type="dcterms:W3CDTF">2026-10-07T22:36:12Z</dcterms:created>
  <dcterms:modified xsi:type="dcterms:W3CDTF">2026-10-07T22:36:12Z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