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Partner Manager Manual</w:t>
      </w:r>
    </w:p>
    <w:p>
      <w:pPr>
        <w:pStyle w:val="Subtitle"/>
      </w:pPr>
      <w:r>
        <w:t xml:space="preserve">TASCO Insurance × VETC Growth Platform — User Manuals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Document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Partner Manager Manual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07 October 2026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iorta TechNXT — Business Analysis and UX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Issued for submission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Role:</w:t>
      </w:r>
      <w:r>
        <w:t xml:space="preserve"> </w:t>
      </w:r>
      <w:r>
        <w:rPr>
          <w:rStyle w:val="VerbatimChar"/>
        </w:rPr>
        <w:t xml:space="preserve">partner_manager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Demo user:</w:t>
      </w:r>
      <w:r>
        <w:t xml:space="preserve"> </w:t>
      </w:r>
      <w:r>
        <w:rPr>
          <w:rStyle w:val="VerbatimChar"/>
        </w:rPr>
        <w:t xml:space="preserve">partners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MFA:</w:t>
      </w:r>
      <w:r>
        <w:t xml:space="preserve"> </w:t>
      </w:r>
      <w:r>
        <w:t xml:space="preserve">not required by default (recommended)</w:t>
      </w:r>
    </w:p>
    <w:p>
      <w:pPr>
        <w:pStyle w:val="BodyText"/>
      </w:pPr>
      <w:r>
        <w:rPr>
          <w:bCs/>
          <w:b/>
        </w:rPr>
        <w:t xml:space="preserve">Your permissions:</w:t>
      </w:r>
      <w:r>
        <w:t xml:space="preserve"> </w:t>
      </w:r>
      <w:r>
        <w:t xml:space="preserve">manage partners (</w:t>
      </w:r>
      <w:r>
        <w:rPr>
          <w:rStyle w:val="VerbatimChar"/>
        </w:rPr>
        <w:t xml:space="preserve">partners:manage</w:t>
      </w:r>
      <w:r>
        <w:t xml:space="preserve">), read dashboards (</w:t>
      </w:r>
      <w:r>
        <w:rPr>
          <w:rStyle w:val="VerbatimChar"/>
        </w:rPr>
        <w:t xml:space="preserve">dashboard:read</w:t>
      </w:r>
      <w:r>
        <w:t xml:space="preserve">), read policies (</w:t>
      </w:r>
      <w:r>
        <w:rPr>
          <w:rStyle w:val="VerbatimChar"/>
        </w:rPr>
        <w:t xml:space="preserve">policy:read</w:t>
      </w:r>
      <w:r>
        <w:t xml:space="preserve">).</w:t>
      </w:r>
    </w:p>
    <w:p>
      <w:pPr>
        <w:pStyle w:val="BodyText"/>
      </w:pPr>
      <w:r>
        <w:t xml:space="preserve">Partners already close most TNDS deals. Instead of competing with them, the platform gives them an</w:t>
      </w:r>
      <w:r>
        <w:t xml:space="preserve"> </w:t>
      </w:r>
      <w:r>
        <w:rPr>
          <w:bCs/>
          <w:b/>
        </w:rPr>
        <w:t xml:space="preserve">API</w:t>
      </w:r>
      <w:r>
        <w:t xml:space="preserve"> </w:t>
      </w:r>
      <w:r>
        <w:t xml:space="preserve">to quote and sell TASCO cover using VETC data, with</w:t>
      </w:r>
      <w:r>
        <w:t xml:space="preserve"> </w:t>
      </w:r>
      <w:r>
        <w:rPr>
          <w:bCs/>
          <w:b/>
        </w:rPr>
        <w:t xml:space="preserve">transparent, capped commission</w:t>
      </w:r>
      <w:r>
        <w:t xml:space="preserve">. You onboard partners, control their API access and produce commission statements.</w:t>
      </w:r>
    </w:p>
    <w:p>
      <w:pPr>
        <w:pStyle w:val="BodyText"/>
      </w:pPr>
      <w:r>
        <w:rPr>
          <w:bCs/>
          <w:b/>
        </w:rPr>
        <w:t xml:space="preserve">Partner sales are partner-collected.</w:t>
      </w:r>
      <w:r>
        <w:t xml:space="preserve"> </w:t>
      </w:r>
      <w:r>
        <w:t xml:space="preserve">The partner takes the premium from its customer. The platform does not debit any VETC wallet for partner orders: the order's payment reference starts with</w:t>
      </w:r>
      <w:r>
        <w:t xml:space="preserve"> </w:t>
      </w:r>
      <w:r>
        <w:rPr>
          <w:rStyle w:val="VerbatimChar"/>
        </w:rPr>
        <w:t xml:space="preserve">PARTNER-</w:t>
      </w:r>
      <w:r>
        <w:t xml:space="preserve">, and the partner remits the premium to TASCO under the partner agreement, reconciled against the commission statement.</w:t>
      </w:r>
    </w:p>
    <w:p>
      <w:pPr>
        <w:pStyle w:val="BodyText"/>
      </w:pPr>
      <w:r>
        <w:t xml:space="preserve">Read the</w:t>
      </w:r>
      <w:r>
        <w:t xml:space="preserve"> </w:t>
      </w:r>
      <w:hyperlink r:id="rId20">
        <w:r>
          <w:rPr>
            <w:rStyle w:val="Hyperlink"/>
          </w:rPr>
          <w:t xml:space="preserve">Staff User Manual</w:t>
        </w:r>
      </w:hyperlink>
      <w:r>
        <w:t xml:space="preserve"> </w:t>
      </w:r>
      <w:r>
        <w:t xml:space="preserve">first. Give partner developers the</w:t>
      </w:r>
      <w:r>
        <w:t xml:space="preserve"> </w:t>
      </w:r>
      <w:hyperlink r:id="rId21">
        <w:r>
          <w:rPr>
            <w:rStyle w:val="Hyperlink"/>
          </w:rPr>
          <w:t xml:space="preserve">Partner API Guide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2" w:name="X8d7802b25548dda1820a6504d679290f3f3ffe7"/>
    <w:p>
      <w:pPr>
        <w:pStyle w:val="Heading2"/>
      </w:pPr>
      <w:r>
        <w:t xml:space="preserve">1. Partner types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Type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Examples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Typical products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bank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Car-loan banks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TNDS, physical damage, PA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showroom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Car dealers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New-vehicle TNDS + physical damage (higher physical damage commission: 10 %)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agent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Independent agencies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TNDS, PA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fleet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Fleet operators, logistics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TNDS for many vehicles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inspection_center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Đăng kiểm centres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TNDS at inspection time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Commission</w:t>
      </w:r>
      <w:r>
        <w:t xml:space="preserve"> </w:t>
      </w:r>
      <w:r>
        <w:t xml:space="preserve">(from the active</w:t>
      </w:r>
      <w:r>
        <w:t xml:space="preserve"> </w:t>
      </w:r>
      <w:r>
        <w:rPr>
          <w:rStyle w:val="VerbatimChar"/>
        </w:rPr>
        <w:t xml:space="preserve">commission</w:t>
      </w:r>
      <w:r>
        <w:t xml:space="preserve"> </w:t>
      </w:r>
      <w:r>
        <w:t xml:space="preserve">rule set, as a share of</w:t>
      </w:r>
      <w:r>
        <w:t xml:space="preserve"> </w:t>
      </w:r>
      <w:r>
        <w:rPr>
          <w:bCs/>
          <w:b/>
        </w:rPr>
        <w:t xml:space="preserve">net</w:t>
      </w:r>
      <w:r>
        <w:t xml:space="preserve"> </w:t>
      </w:r>
      <w:r>
        <w:t xml:space="preserve">premium, capped by statutory limits):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Product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Rate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Statutory cap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TNDS (car, motorbike)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5 %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5 %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Physical damage (MOTOR_PD), showroom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10 %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10 %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Physical damage, other partners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8 %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10 %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Personal accident (PA_SEAT)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15 %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20 %</w:t>
            </w:r>
          </w:p>
        </w:tc>
      </w:tr>
    </w:tbl>
    <w:p>
      <w:pPr>
        <w:pStyle w:val="BodyText"/>
      </w:pPr>
      <w:r>
        <w:t xml:space="preserve">Rates are configuration. TASCO Finance and Legal must confirm the figures, and changes go through the Rules studio with maker-checker approval.</w:t>
      </w:r>
    </w:p>
    <w:p>
      <w:r>
        <w:pict>
          <v:rect style="width:0;height:1.5pt" o:hralign="center" o:hrstd="t" o:hr="t"/>
        </w:pict>
      </w:r>
    </w:p>
    <w:bookmarkEnd w:id="22"/>
    <w:bookmarkStart w:id="23" w:name="X04e40711d86fdefe7265ceb5cbd296000a089e3"/>
    <w:p>
      <w:pPr>
        <w:pStyle w:val="Heading2"/>
      </w:pPr>
      <w:r>
        <w:t xml:space="preserve">2. Onboard a partner</w:t>
      </w:r>
    </w:p>
    <w:p>
      <w:pPr>
        <w:pStyle w:val="FirstParagraph"/>
      </w:pPr>
      <w:r>
        <w:rPr>
          <w:bCs/>
          <w:b/>
        </w:rPr>
        <w:t xml:space="preserve">Before you start:</w:t>
      </w:r>
      <w:r>
        <w:t xml:space="preserve"> </w:t>
      </w:r>
      <w:r>
        <w:t xml:space="preserve">signed partner agreement, KYC/due diligence completed, the partner's technical contact identified, and the commercial terms matching the active commission rules.</w:t>
      </w:r>
    </w:p>
    <w:p>
      <w:pPr>
        <w:numPr>
          <w:ilvl w:val="0"/>
          <w:numId w:val="1001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Partners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In the</w:t>
      </w:r>
      <w:r>
        <w:t xml:space="preserve"> </w:t>
      </w:r>
      <w:r>
        <w:rPr>
          <w:bCs/>
          <w:b/>
        </w:rPr>
        <w:t xml:space="preserve">Onboard partner</w:t>
      </w:r>
      <w:r>
        <w:t xml:space="preserve"> </w:t>
      </w:r>
      <w:r>
        <w:t xml:space="preserve">card, enter</w:t>
      </w:r>
      <w:r>
        <w:t xml:space="preserve"> </w:t>
      </w:r>
      <w:r>
        <w:rPr>
          <w:bCs/>
          <w:b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Type</w:t>
      </w:r>
      <w:r>
        <w:t xml:space="preserve"> </w:t>
      </w:r>
      <w:r>
        <w:t xml:space="preserve">(Bank, Car showroom, Agent, Fleet, Inspection centre).</w:t>
      </w:r>
    </w:p>
    <w:p>
      <w:pPr>
        <w:numPr>
          <w:ilvl w:val="0"/>
          <w:numId w:val="1001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Create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What you will see:</w:t>
      </w:r>
      <w:r>
        <w:t xml:space="preserve"> </w:t>
      </w:r>
      <w:r>
        <w:t xml:space="preserve">"Partner created" with an ID such as</w:t>
      </w:r>
      <w:r>
        <w:t xml:space="preserve"> </w:t>
      </w:r>
      <w:r>
        <w:rPr>
          <w:rStyle w:val="VerbatimChar"/>
        </w:rPr>
        <w:t xml:space="preserve">P-1A2B3C4D</w:t>
      </w:r>
      <w:r>
        <w:t xml:space="preserve">, status</w:t>
      </w:r>
      <w:r>
        <w:t xml:space="preserve"> </w:t>
      </w:r>
      <w:r>
        <w:rPr>
          <w:bCs/>
          <w:b/>
        </w:rPr>
        <w:t xml:space="preserve">active</w:t>
      </w:r>
      <w:r>
        <w:t xml:space="preserve">. The action is audited (</w:t>
      </w:r>
      <w:r>
        <w:rPr>
          <w:rStyle w:val="VerbatimChar"/>
        </w:rPr>
        <w:t xml:space="preserve">partner.created</w:t>
      </w:r>
      <w:r>
        <w:t xml:space="preserve">).</w:t>
      </w:r>
    </w:p>
    <w:bookmarkEnd w:id="23"/>
    <w:bookmarkStart w:id="24" w:name="X37d5dfd802cbb7a89971d5401ece8e64bc8ecdd"/>
    <w:p>
      <w:pPr>
        <w:pStyle w:val="Heading2"/>
      </w:pPr>
      <w:r>
        <w:t xml:space="preserve">3. Issue an API key</w:t>
      </w:r>
    </w:p>
    <w:p>
      <w:pPr>
        <w:numPr>
          <w:ilvl w:val="0"/>
          <w:numId w:val="1002"/>
        </w:numPr>
        <w:pStyle w:val="Compact"/>
      </w:pPr>
      <w:r>
        <w:t xml:space="preserve">In the partner list, select</w:t>
      </w:r>
      <w:r>
        <w:t xml:space="preserve"> </w:t>
      </w:r>
      <w:r>
        <w:rPr>
          <w:bCs/>
          <w:b/>
        </w:rPr>
        <w:t xml:space="preserve">Issue API key</w:t>
      </w:r>
      <w:r>
        <w:t xml:space="preserve"> </w:t>
      </w:r>
      <w:r>
        <w:t xml:space="preserve">on the partner's row.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What you will see:</w:t>
      </w:r>
      <w:r>
        <w:t xml:space="preserve"> </w:t>
      </w:r>
      <w:r>
        <w:t xml:space="preserve">a warning</w:t>
      </w:r>
      <w:r>
        <w:t xml:space="preserve"> </w:t>
      </w:r>
      <w:r>
        <w:rPr>
          <w:bCs/>
          <w:b/>
        </w:rPr>
        <w:t xml:space="preserve">"Copy this API key now — it will not be shown again"</w:t>
      </w:r>
      <w:r>
        <w:t xml:space="preserve"> </w:t>
      </w:r>
      <w:r>
        <w:t xml:space="preserve">with a key starting</w:t>
      </w:r>
      <w:r>
        <w:t xml:space="preserve"> </w:t>
      </w:r>
      <w:r>
        <w:rPr>
          <w:rStyle w:val="VerbatimChar"/>
        </w:rPr>
        <w:t xml:space="preserve">tpk_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Copy it and send it to the partner's named technical contact through a</w:t>
      </w:r>
      <w:r>
        <w:t xml:space="preserve"> </w:t>
      </w:r>
      <w:r>
        <w:rPr>
          <w:bCs/>
          <w:b/>
        </w:rPr>
        <w:t xml:space="preserve">secure channel</w:t>
      </w:r>
      <w:r>
        <w:t xml:space="preserve"> </w:t>
      </w:r>
      <w:r>
        <w:t xml:space="preserve">(for example an encrypted file plus a password by SMS). Never send it by plain email or chat.</w:t>
      </w:r>
    </w:p>
    <w:p>
      <w:pPr>
        <w:pStyle w:val="FirstParagraph"/>
      </w:pPr>
      <w:r>
        <w:t xml:space="preserve">The platform stores only a hash of the key, so a lost key cannot be recovered. Issue a new one and revoke the old one. Each key has a short visible</w:t>
      </w:r>
      <w:r>
        <w:t xml:space="preserve"> </w:t>
      </w:r>
      <w:r>
        <w:rPr>
          <w:bCs/>
          <w:b/>
        </w:rPr>
        <w:t xml:space="preserve">prefix</w:t>
      </w:r>
      <w:r>
        <w:t xml:space="preserve"> </w:t>
      </w:r>
      <w:r>
        <w:t xml:space="preserve">and an ID (</w:t>
      </w:r>
      <w:r>
        <w:rPr>
          <w:rStyle w:val="VerbatimChar"/>
        </w:rPr>
        <w:t xml:space="preserve">K-…</w:t>
      </w:r>
      <w:r>
        <w:t xml:space="preserve">) to identify it.</w:t>
      </w:r>
    </w:p>
    <w:p>
      <w:pPr>
        <w:pStyle w:val="BodyText"/>
      </w:pPr>
      <w:r>
        <w:t xml:space="preserve">Each key carries</w:t>
      </w:r>
      <w:r>
        <w:t xml:space="preserve"> </w:t>
      </w:r>
      <w:r>
        <w:rPr>
          <w:bCs/>
          <w:b/>
        </w:rPr>
        <w:t xml:space="preserve">scopes</w:t>
      </w:r>
      <w:r>
        <w:t xml:space="preserve">, which the platform enforces:</w:t>
      </w:r>
      <w:r>
        <w:t xml:space="preserve"> </w:t>
      </w:r>
      <w:r>
        <w:rPr>
          <w:rStyle w:val="VerbatimChar"/>
        </w:rPr>
        <w:t xml:space="preserve">quote</w:t>
      </w:r>
      <w:r>
        <w:t xml:space="preserve"> </w:t>
      </w:r>
      <w:r>
        <w:t xml:space="preserve">(create quotes),</w:t>
      </w:r>
      <w:r>
        <w:t xml:space="preserve"> </w:t>
      </w:r>
      <w:r>
        <w:rPr>
          <w:rStyle w:val="VerbatimChar"/>
        </w:rPr>
        <w:t xml:space="preserve">purchase</w:t>
      </w:r>
      <w:r>
        <w:t xml:space="preserve"> </w:t>
      </w:r>
      <w:r>
        <w:t xml:space="preserve">(bind orders) and</w:t>
      </w:r>
      <w:r>
        <w:t xml:space="preserve"> </w:t>
      </w:r>
      <w:r>
        <w:rPr>
          <w:rStyle w:val="VerbatimChar"/>
        </w:rPr>
        <w:t xml:space="preserve">policies:read</w:t>
      </w:r>
      <w:r>
        <w:t xml:space="preserve"> </w:t>
      </w:r>
      <w:r>
        <w:t xml:space="preserve">(list policies and the statement). Keys issued from the console have all three. A call outside the key's scopes fails with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("API key lacks scope …").</w:t>
      </w:r>
    </w:p>
    <w:p>
      <w:pPr>
        <w:pStyle w:val="BlockText"/>
      </w:pPr>
      <w:r>
        <w:t xml:space="preserve">Issue</w:t>
      </w:r>
      <w:r>
        <w:t xml:space="preserve"> </w:t>
      </w:r>
      <w:r>
        <w:rPr>
          <w:bCs/>
          <w:b/>
        </w:rPr>
        <w:t xml:space="preserve">separate keys</w:t>
      </w:r>
      <w:r>
        <w:t xml:space="preserve"> </w:t>
      </w:r>
      <w:r>
        <w:t xml:space="preserve">for the partner's test and production systems, and rotate keys at least yearly.</w:t>
      </w:r>
    </w:p>
    <w:bookmarkEnd w:id="24"/>
    <w:bookmarkStart w:id="25" w:name="X4ae4e0f098abd7ef7006cf371a5ce0eae653e1c"/>
    <w:p>
      <w:pPr>
        <w:pStyle w:val="Heading2"/>
      </w:pPr>
      <w:r>
        <w:t xml:space="preserve">4. Revoke a key</w:t>
      </w:r>
    </w:p>
    <w:p>
      <w:pPr>
        <w:pStyle w:val="FirstParagraph"/>
      </w:pPr>
      <w:r>
        <w:t xml:space="preserve">Revoke when a key may be exposed, when the partner rotates keys, or when staff leave the partner.</w:t>
      </w:r>
    </w:p>
    <w:p>
      <w:pPr>
        <w:numPr>
          <w:ilvl w:val="0"/>
          <w:numId w:val="1003"/>
        </w:numPr>
        <w:pStyle w:val="Compact"/>
      </w:pPr>
      <w:r>
        <w:t xml:space="preserve">Identify the key by its ID (</w:t>
      </w:r>
      <w:r>
        <w:rPr>
          <w:rStyle w:val="VerbatimChar"/>
        </w:rPr>
        <w:t xml:space="preserve">K-…</w:t>
      </w:r>
      <w:r>
        <w:t xml:space="preserve">) and prefix.</w:t>
      </w:r>
    </w:p>
    <w:p>
      <w:pPr>
        <w:numPr>
          <w:ilvl w:val="0"/>
          <w:numId w:val="1003"/>
        </w:numPr>
        <w:pStyle w:val="Compact"/>
      </w:pPr>
      <w:r>
        <w:t xml:space="preserve">Revoke it through the API:</w:t>
      </w:r>
      <w:r>
        <w:t xml:space="preserve"> </w:t>
      </w:r>
      <w:r>
        <w:rPr>
          <w:rStyle w:val="VerbatimChar"/>
        </w:rPr>
        <w:t xml:space="preserve">DELETE /api/partners/keys/&lt;key ID&gt;</w:t>
      </w:r>
      <w:r>
        <w:t xml:space="preserve"> </w:t>
      </w:r>
      <w:r>
        <w:t xml:space="preserve">(permission</w:t>
      </w:r>
      <w:r>
        <w:t xml:space="preserve"> </w:t>
      </w:r>
      <w:r>
        <w:rPr>
          <w:rStyle w:val="VerbatimChar"/>
        </w:rPr>
        <w:t xml:space="preserve">partners:manage</w:t>
      </w:r>
      <w:r>
        <w:t xml:space="preserve">). The v1 console does not yet have a</w:t>
      </w:r>
      <w:r>
        <w:t xml:space="preserve"> </w:t>
      </w:r>
      <w:r>
        <w:rPr>
          <w:bCs/>
          <w:b/>
        </w:rPr>
        <w:t xml:space="preserve">Revoke</w:t>
      </w:r>
      <w:r>
        <w:t xml:space="preserve"> </w:t>
      </w:r>
      <w:r>
        <w:t xml:space="preserve">button.</w:t>
      </w:r>
    </w:p>
    <w:p>
      <w:pPr>
        <w:pStyle w:val="FirstParagraph"/>
      </w:pPr>
      <w:r>
        <w:rPr>
          <w:bCs/>
          <w:b/>
        </w:rPr>
        <w:t xml:space="preserve">What you will see:</w:t>
      </w:r>
      <w:r>
        <w:t xml:space="preserve"> </w:t>
      </w:r>
      <w:r>
        <w:t xml:space="preserve">the key status changes to</w:t>
      </w:r>
      <w:r>
        <w:t xml:space="preserve"> </w:t>
      </w:r>
      <w:r>
        <w:rPr>
          <w:bCs/>
          <w:b/>
        </w:rPr>
        <w:t xml:space="preserve">revoked</w:t>
      </w:r>
      <w:r>
        <w:t xml:space="preserve">. Calls with it fail at once with</w:t>
      </w:r>
      <w:r>
        <w:t xml:space="preserve"> </w:t>
      </w:r>
      <w:r>
        <w:rPr>
          <w:rStyle w:val="VerbatimChar"/>
        </w:rPr>
        <w:t xml:space="preserve">401 UNAUTHENTICATED</w:t>
      </w:r>
      <w:r>
        <w:t xml:space="preserve"> </w:t>
      </w:r>
      <w:r>
        <w:t xml:space="preserve">("Valid X-Api-Key required").</w:t>
      </w:r>
    </w:p>
    <w:bookmarkEnd w:id="25"/>
    <w:bookmarkStart w:id="26" w:name="X8e953617218114f524f9a60e877bc52bc25da3e"/>
    <w:p>
      <w:pPr>
        <w:pStyle w:val="Heading2"/>
      </w:pPr>
      <w:r>
        <w:t xml:space="preserve">5. Suspend or reactivate a partner</w:t>
      </w:r>
    </w:p>
    <w:p>
      <w:pPr>
        <w:numPr>
          <w:ilvl w:val="0"/>
          <w:numId w:val="1004"/>
        </w:numPr>
        <w:pStyle w:val="Compact"/>
      </w:pPr>
      <w:r>
        <w:t xml:space="preserve">In the partner list, select</w:t>
      </w:r>
      <w:r>
        <w:t xml:space="preserve"> </w:t>
      </w:r>
      <w:r>
        <w:rPr>
          <w:bCs/>
          <w:b/>
        </w:rPr>
        <w:t xml:space="preserve">Suspend</w:t>
      </w:r>
      <w:r>
        <w:t xml:space="preserve"> </w:t>
      </w:r>
      <w:r>
        <w:t xml:space="preserve">(or</w:t>
      </w:r>
      <w:r>
        <w:t xml:space="preserve"> </w:t>
      </w:r>
      <w:r>
        <w:rPr>
          <w:bCs/>
          <w:b/>
        </w:rPr>
        <w:t xml:space="preserve">Activate</w:t>
      </w:r>
      <w:r>
        <w:t xml:space="preserve">) on the partner's row.</w:t>
      </w:r>
    </w:p>
    <w:p>
      <w:pPr>
        <w:numPr>
          <w:ilvl w:val="0"/>
          <w:numId w:val="1004"/>
        </w:numPr>
        <w:pStyle w:val="Compact"/>
      </w:pPr>
      <w:r>
        <w:t xml:space="preserve">While suspended,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the partner's keys stop working. Existing policies remain valid.</w:t>
      </w:r>
    </w:p>
    <w:p>
      <w:pPr>
        <w:pStyle w:val="FirstParagraph"/>
      </w:pPr>
      <w:r>
        <w:t xml:space="preserve">Use suspension for contract breaches, compliance investigations or unpaid balances.</w:t>
      </w:r>
    </w:p>
    <w:bookmarkEnd w:id="26"/>
    <w:bookmarkStart w:id="27" w:name="X90aeff5b836e5229c044c16b74f0cfd741e2b98"/>
    <w:p>
      <w:pPr>
        <w:pStyle w:val="Heading2"/>
      </w:pPr>
      <w:r>
        <w:t xml:space="preserve">6. Commission statements</w:t>
      </w:r>
    </w:p>
    <w:p>
      <w:pPr>
        <w:numPr>
          <w:ilvl w:val="0"/>
          <w:numId w:val="1005"/>
        </w:numPr>
        <w:pStyle w:val="Compact"/>
      </w:pPr>
      <w:r>
        <w:t xml:space="preserve">In the partner list, select</w:t>
      </w:r>
      <w:r>
        <w:t xml:space="preserve"> </w:t>
      </w:r>
      <w:r>
        <w:rPr>
          <w:bCs/>
          <w:b/>
        </w:rPr>
        <w:t xml:space="preserve">Statement</w:t>
      </w:r>
      <w:r>
        <w:t xml:space="preserve"> </w:t>
      </w:r>
      <w:r>
        <w:t xml:space="preserve">on the partner's row.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you will see:</w:t>
      </w:r>
      <w:r>
        <w:t xml:space="preserve"> </w:t>
      </w:r>
      <w:r>
        <w:t xml:space="preserve">the number of completed orders, the</w:t>
      </w:r>
      <w:r>
        <w:t xml:space="preserve"> </w:t>
      </w:r>
      <w:r>
        <w:rPr>
          <w:bCs/>
          <w:b/>
        </w:rPr>
        <w:t xml:space="preserve">total commission</w:t>
      </w:r>
      <w:r>
        <w:t xml:space="preserve">, and lines per order and product: order, date, product, rate and amount. To limit the statement to a period, use the API with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</w:t>
      </w:r>
      <w:r>
        <w:t xml:space="preserve"> </w:t>
      </w:r>
      <w:r>
        <w:t xml:space="preserve">dates (</w:t>
      </w:r>
      <w:r>
        <w:rPr>
          <w:rStyle w:val="VerbatimChar"/>
        </w:rPr>
        <w:t xml:space="preserve">GET /api/partners/&lt;partner ID&gt;/statement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Export the statement for Finance. Partners can download the same statement through the API, so both sides see identical figures.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bCs/>
          <w:b/>
        </w:rPr>
        <w:t xml:space="preserve">completed</w:t>
      </w:r>
      <w:r>
        <w:t xml:space="preserve"> </w:t>
      </w:r>
      <w:r>
        <w:t xml:space="preserve">orders (issued) earn commission. Failed orders do not.</w:t>
      </w:r>
    </w:p>
    <w:bookmarkEnd w:id="27"/>
    <w:bookmarkStart w:id="28" w:name="Xdcc51203d7818289b0a601d891364537715c7b2"/>
    <w:p>
      <w:pPr>
        <w:pStyle w:val="Heading2"/>
      </w:pPr>
      <w:r>
        <w:t xml:space="preserve">7. Monitoring partner performance</w:t>
      </w:r>
    </w:p>
    <w:p>
      <w:pPr>
        <w:numPr>
          <w:ilvl w:val="0"/>
          <w:numId w:val="1006"/>
        </w:numPr>
        <w:pStyle w:val="Compact"/>
      </w:pPr>
      <w:r>
        <w:t xml:space="preserve">The partner's</w:t>
      </w:r>
      <w:r>
        <w:t xml:space="preserve"> </w:t>
      </w:r>
      <w:r>
        <w:rPr>
          <w:bCs/>
          <w:b/>
        </w:rPr>
        <w:t xml:space="preserve">Statement</w:t>
      </w:r>
      <w:r>
        <w:t xml:space="preserve"> </w:t>
      </w:r>
      <w:r>
        <w:t xml:space="preserve">shows its completed orders. Platform-wide sales are on</w:t>
      </w:r>
      <w:r>
        <w:t xml:space="preserve"> </w:t>
      </w:r>
      <w:r>
        <w:rPr>
          <w:bCs/>
          <w:b/>
        </w:rPr>
        <w:t xml:space="preserve">Home</w:t>
      </w:r>
      <w:r>
        <w:t xml:space="preserve"> </w:t>
      </w:r>
      <w:r>
        <w:t xml:space="preserve">(</w:t>
      </w:r>
      <w:r>
        <w:rPr>
          <w:bCs/>
          <w:b/>
        </w:rPr>
        <w:t xml:space="preserve">Policies sold</w:t>
      </w:r>
      <w:r>
        <w:t xml:space="preserve">,</w:t>
      </w:r>
      <w:r>
        <w:t xml:space="preserve"> </w:t>
      </w:r>
      <w:r>
        <w:rPr>
          <w:bCs/>
          <w:b/>
        </w:rPr>
        <w:t xml:space="preserve">Sales by journey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Check policies sold by a partner through the partner's statement or the policies list.</w:t>
      </w:r>
    </w:p>
    <w:p>
      <w:pPr>
        <w:numPr>
          <w:ilvl w:val="0"/>
          <w:numId w:val="1006"/>
        </w:numPr>
        <w:pStyle w:val="Compact"/>
      </w:pPr>
      <w:r>
        <w:t xml:space="preserve">Watch for unusual patterns, such as spikes in quotes without orders, many new unknown plates, or repeated failures. Discuss them with Compliance.</w:t>
      </w:r>
    </w:p>
    <w:bookmarkEnd w:id="28"/>
    <w:bookmarkStart w:id="29" w:name="X6e248a8460567fa0a1f903309546f4cf9898a1d"/>
    <w:p>
      <w:pPr>
        <w:pStyle w:val="Heading2"/>
      </w:pPr>
      <w:r>
        <w:t xml:space="preserve">8. Rules of engagement (channel conflict)</w:t>
      </w:r>
    </w:p>
    <w:p>
      <w:pPr>
        <w:pStyle w:val="FirstParagraph"/>
      </w:pPr>
      <w:r>
        <w:t xml:space="preserve">Agree these with each partner and with marketing:</w:t>
      </w:r>
    </w:p>
    <w:p>
      <w:pPr>
        <w:numPr>
          <w:ilvl w:val="0"/>
          <w:numId w:val="1007"/>
        </w:numPr>
        <w:pStyle w:val="Compact"/>
      </w:pPr>
      <w:r>
        <w:t xml:space="preserve">Vehicles</w:t>
      </w:r>
      <w:r>
        <w:t xml:space="preserve"> </w:t>
      </w:r>
      <w:r>
        <w:rPr>
          <w:bCs/>
          <w:b/>
        </w:rPr>
        <w:t xml:space="preserve">quoted through a partner</w:t>
      </w:r>
      <w:r>
        <w:t xml:space="preserve"> </w:t>
      </w:r>
      <w:r>
        <w:t xml:space="preserve">are attributed to that partner. Discuss suppression windows for VETC conquest journeys with the campaign manager. This is configured in the</w:t>
      </w:r>
      <w:r>
        <w:t xml:space="preserve"> </w:t>
      </w:r>
      <w:r>
        <w:rPr>
          <w:rStyle w:val="VerbatimChar"/>
        </w:rPr>
        <w:t xml:space="preserve">nba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journeys</w:t>
      </w:r>
      <w:r>
        <w:t xml:space="preserve"> </w:t>
      </w:r>
      <w:r>
        <w:t xml:space="preserve">rules through maker-checker.</w:t>
      </w:r>
    </w:p>
    <w:p>
      <w:pPr>
        <w:numPr>
          <w:ilvl w:val="0"/>
          <w:numId w:val="1007"/>
        </w:numPr>
        <w:pStyle w:val="Compact"/>
      </w:pPr>
      <w:r>
        <w:t xml:space="preserve">Partners must not use discount wording for TNDS either.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Physical damage (</w:t>
      </w:r>
      <w:r>
        <w:rPr>
          <w:rStyle w:val="VerbatimChar"/>
          <w:bCs/>
          <w:b/>
        </w:rPr>
        <w:t xml:space="preserve">MOTOR_PD</w:t>
      </w:r>
      <w:r>
        <w:rPr>
          <w:bCs/>
          <w:b/>
        </w:rPr>
        <w:t xml:space="preserve">)</w:t>
      </w:r>
      <w:r>
        <w:t xml:space="preserve"> </w:t>
      </w:r>
      <w:r>
        <w:t xml:space="preserve">needs a recorded vehicle inspection before the order can be bound. Agree with the partner how the inspection is arranged; TASCO staff record it on the quote.</w:t>
      </w:r>
    </w:p>
    <w:p>
      <w:pPr>
        <w:numPr>
          <w:ilvl w:val="0"/>
          <w:numId w:val="1007"/>
        </w:numPr>
        <w:pStyle w:val="Compact"/>
      </w:pPr>
      <w:r>
        <w:t xml:space="preserve">Partners send personal data only with a lawful basis. Marketing consent for TASCO/VETC is not collected through the v1 partner API.</w:t>
      </w:r>
    </w:p>
    <w:bookmarkEnd w:id="29"/>
    <w:bookmarkStart w:id="30" w:name="X604d32d4245089c058c4a17a722c369f414c972"/>
    <w:p>
      <w:pPr>
        <w:pStyle w:val="Heading2"/>
      </w:pPr>
      <w:r>
        <w:t xml:space="preserve">9.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Problem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Fix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Partner reports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401 Valid X-Api-Key required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Key revoked, wrong key, partner suspended, or the header is missing. Check the status and issue a new key if needed.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Partner reports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403 API key lacks scope …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key does not carry the scope for that call. Issue a key with the required scopes.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Partner reports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409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 an order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Idempotency-Key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belongs to an earlier attempt that failed, or the quote is already being paid. Retry with a new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Idempotency-Key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Partner reports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422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mentioning inspection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Physical damage quote without a recorded inspection. Arrange the inspection and have it recorded on the quote.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Partner reports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404 Quote not found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 order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quote belongs to another partner, or the ID is wrong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Partner reports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422 Quote expired — please re-quote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Quotes last 24 hours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Statement total looks wrong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Check the period. Only completed orders count. Check the active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commission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version in the Rules studio.</w:t>
            </w:r>
          </w:p>
        </w:tc>
      </w:tr>
    </w:tbl>
    <w:p>
      <w:pPr>
        <w:pStyle w:val="BodyText"/>
      </w:pPr>
      <w:r>
        <w:t xml:space="preserve">See also:</w:t>
      </w:r>
      <w:r>
        <w:t xml:space="preserve"> </w:t>
      </w:r>
      <w:hyperlink r:id="rId21">
        <w:r>
          <w:rPr>
            <w:rStyle w:val="Hyperlink"/>
          </w:rPr>
          <w:t xml:space="preserve">Partner API Guide</w:t>
        </w:r>
      </w:hyperlink>
      <w:r>
        <w:t xml:space="preserve">.</w:t>
      </w:r>
    </w:p>
    <w:bookmarkEnd w:id="30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21A33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121A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121A33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121A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213368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color w:val="121A33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2A3A6E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1" Type="http://schemas.openxmlformats.org/officeDocument/2006/relationships/hyperlink" Target="partner-api-guide.pdf" TargetMode="External"/><Relationship Id="rId20" Type="http://schemas.openxmlformats.org/officeDocument/2006/relationships/hyperlink" Target="user-manual.pdf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partner-api-guide.pdf" TargetMode="External"/><Relationship Id="rId20" Type="http://schemas.openxmlformats.org/officeDocument/2006/relationships/hyperlink" Target="user-manu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 Manager Manual</dc:title>
  <dc:creator>iorta TechNXT</dc:creator>
  <cp:keywords/>
  <dcterms:created xsi:type="dcterms:W3CDTF">2026-10-07T22:36:12Z</dcterms:created>
  <dcterms:modified xsi:type="dcterms:W3CDTF">2026-10-07T22:36:12Z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User Manuals</vt:lpwstr>
  </property>
</Properties>
</file>