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Release and Change Management — TASCO Growth Platform</w:t>
      </w:r>
    </w:p>
    <w:p>
      <w:pPr>
        <w:pStyle w:val="Subtitle"/>
      </w:pPr>
      <w:r>
        <w:t xml:space="preserve">TASCO Insurance × VETC Growth Platform — Operations</w:t>
      </w:r>
    </w:p>
    <w:p>
      <w:pPr>
        <w:pStyle w:val="Author"/>
      </w:pPr>
      <w:r>
        <w:t xml:space="preserve">iorta TechNXT</w:t>
      </w:r>
    </w:p>
    <w:p>
      <w:pPr>
        <w:pStyle w:val="Date"/>
      </w:pPr>
      <w:r>
        <w:t xml:space="preserve">Version 1.0 · 07 October 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  <w:tblHeader w:val="true"/>
        </w:trPr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7"/>
              </w:rPr>
              <w:t xml:space="preserve">Document</w:t>
            </w:r>
          </w:p>
        </w:tc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7"/>
              </w:rPr>
              <w:t xml:space="preserve">Version</w:t>
            </w:r>
          </w:p>
        </w:tc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7"/>
              </w:rPr>
              <w:t xml:space="preserve">Date</w:t>
            </w:r>
          </w:p>
        </w:tc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7"/>
              </w:rPr>
              <w:t xml:space="preserve">Owner</w:t>
            </w:r>
          </w:p>
        </w:tc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7"/>
              </w:rPr>
              <w:t xml:space="preserve">Status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Release and Change Management</w:t>
            </w:r>
          </w:p>
        </w:tc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1.0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07 October 2026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Release Manager (iorta TechNXT during build and hypercare, then TASCO IT)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Issued for submission</w:t>
            </w:r>
          </w:p>
        </w:tc>
      </w:tr>
    </w:tbl>
    <w:p/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  <w:tblHeader w:val="true"/>
        </w:trPr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8"/>
              </w:rPr>
              <w:t xml:space="preserve">Item</w:t>
            </w:r>
          </w:p>
        </w:tc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8"/>
              </w:rPr>
              <w:t xml:space="preserve">Value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Approvers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Change Advisory Board (CAB): TASCO IT Head (chair), TASCO PO, Compliance, Security, VETC IT (for changes affecting VETC interfaces), iorta Tech Lead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Related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hyperlink r:id="rId20">
              <w:r>
                <w:rPr>
                  <w:rStyle w:val="Hyperlink"/>
                </w:rPr>
                <w:t xml:space="preserve">Test Strategy</w:t>
              </w:r>
            </w:hyperlink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(CI gates) ·</w:t>
            </w:r>
            <w:r>
              <w:rPr>
                <w:sz w:val="18"/>
              </w:rPr>
              <w:t xml:space="preserve"> </w:t>
            </w:r>
            <w:hyperlink r:id="rId21">
              <w:r>
                <w:rPr>
                  <w:rStyle w:val="Hyperlink"/>
                </w:rPr>
                <w:t xml:space="preserve">Go-Live and Hypercare Plan</w:t>
              </w:r>
            </w:hyperlink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·</w:t>
            </w:r>
            <w:r>
              <w:rPr>
                <w:sz w:val="18"/>
              </w:rPr>
              <w:t xml:space="preserve"> </w:t>
            </w:r>
            <w:hyperlink r:id="rId22">
              <w:r>
                <w:rPr>
                  <w:rStyle w:val="Hyperlink"/>
                </w:rPr>
                <w:t xml:space="preserve">Runbook and Support Guide</w:t>
              </w:r>
            </w:hyperlink>
          </w:p>
        </w:tc>
      </w:tr>
    </w:tbl>
    <w:p>
      <w:r>
        <w:pict>
          <v:rect style="width:0;height:1.5pt" o:hralign="center" o:hrstd="t" o:hr="t"/>
        </w:pict>
      </w:r>
    </w:p>
    <w:bookmarkStart w:id="26" w:name="X20773e0f1913fdefa3c729512d86ae1cd824c12"/>
    <w:p>
      <w:pPr>
        <w:pStyle w:val="Heading2"/>
      </w:pPr>
      <w:r>
        <w:t xml:space="preserve">1. Two kinds of change</w:t>
      </w:r>
    </w:p>
    <w:p>
      <w:pPr>
        <w:pStyle w:val="FirstParagraph"/>
      </w:pPr>
      <w:r>
        <w:t xml:space="preserve">The platform separates</w:t>
      </w:r>
      <w:r>
        <w:t xml:space="preserve"> </w:t>
      </w:r>
      <w:r>
        <w:rPr>
          <w:bCs/>
          <w:b/>
        </w:rPr>
        <w:t xml:space="preserve">code</w:t>
      </w:r>
      <w:r>
        <w:t xml:space="preserve"> </w:t>
      </w:r>
      <w:r>
        <w:t xml:space="preserve">from</w:t>
      </w:r>
      <w:r>
        <w:t xml:space="preserve"> </w:t>
      </w:r>
      <w:r>
        <w:rPr>
          <w:bCs/>
          <w:b/>
        </w:rPr>
        <w:t xml:space="preserve">business rules</w:t>
      </w:r>
      <w:r>
        <w:t xml:space="preserve">. They have different risk profiles and different paths to production.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  <w:tblHeader w:val="true"/>
        </w:trPr>
        <w:tc>
          <w:tcPr>
            <w:shd w:val="clear" w:color="auto" w:fill="213368"/>
          </w:tcPr>
          <w:p>
            <w:pPr>
              <w:pStyle w:val="Compact"/>
              <w:spacing w:before="20" w:after="20"/>
            </w:pPr>
          </w:p>
        </w:tc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8"/>
              </w:rPr>
              <w:t xml:space="preserve">Code / configuration change</w:t>
            </w:r>
          </w:p>
        </w:tc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8"/>
              </w:rPr>
              <w:t xml:space="preserve">Business-rule change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What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8"/>
              </w:rPr>
              <w:t xml:space="preserve">src/**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db/migrations/*.sql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config/security/rbac.json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(security config is code),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Dockerfile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deploy/**</w:t>
            </w:r>
            <w:r>
              <w:rPr>
                <w:sz w:val="18"/>
              </w:rPr>
              <w:t xml:space="preserve">, environment variables and secrets, dependencies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Any of the 21 rule kinds stored in the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rulesets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table: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scoring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nba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journeys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triggers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benefits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contact_policy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copy_guard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content.messages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content.voicebot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products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tariff.*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rating.*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commission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enrichment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abac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retention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costs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referral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service_levels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(quote TTL, claim acknowledgement SLA, evidence confidences)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Path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Git PR → CI gates → release tag → CAB → deployment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Rules studio: draft → validate → simulate → submit →</w:t>
            </w:r>
            <w:r>
              <w:rPr>
                <w:sz w:val="18"/>
              </w:rPr>
              <w:t xml:space="preserve"> </w:t>
            </w:r>
            <w:r>
              <w:rPr>
                <w:bCs/>
                <w:b/>
                <w:sz w:val="18"/>
              </w:rPr>
              <w:t xml:space="preserve">approve by a different person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(maker-checker) → active within ~15 s on all replicas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Who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Developers; release manager deploys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8"/>
              </w:rPr>
              <w:t xml:space="preserve">rule_author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drafts;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rule_approver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or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compliance_officer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(MFA) approves. Restricted kinds (</w:t>
            </w:r>
            <w:r>
              <w:rPr>
                <w:rStyle w:val="VerbatimChar"/>
                <w:sz w:val="18"/>
              </w:rPr>
              <w:t xml:space="preserve">abac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copy_guard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contact_policy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commission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retention</w:t>
            </w:r>
            <w:r>
              <w:rPr>
                <w:sz w:val="18"/>
              </w:rPr>
              <w:t xml:space="preserve">) can only be approved by a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compliance_officer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Evidence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PR review, CI results, release notes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Audit trail (</w:t>
            </w:r>
            <w:r>
              <w:rPr>
                <w:rStyle w:val="VerbatimChar"/>
                <w:sz w:val="18"/>
              </w:rPr>
              <w:t xml:space="preserve">rules.draft_created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rules.submitted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rules.approved</w:t>
            </w:r>
            <w:r>
              <w:rPr>
                <w:sz w:val="18"/>
              </w:rPr>
              <w:t xml:space="preserve">/</w:t>
            </w:r>
            <w:r>
              <w:rPr>
                <w:rStyle w:val="VerbatimChar"/>
                <w:sz w:val="18"/>
              </w:rPr>
              <w:t xml:space="preserve">rejected</w:t>
            </w:r>
            <w:r>
              <w:rPr>
                <w:sz w:val="18"/>
              </w:rPr>
              <w:t xml:space="preserve">), checksum, simulation result, approval comment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Rollback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Redeploy the previous image tag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8"/>
              </w:rPr>
              <w:t xml:space="preserve">POST /api/rules/&lt;previous-id&gt;/rollback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→ new draft → approval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CAB?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Yes (standard, normal or emergency)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bCs/>
                <w:b/>
                <w:sz w:val="18"/>
              </w:rPr>
              <w:t xml:space="preserve">No CAB for routine rule changes.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Maker-checker is the control. CAB is notified weekly of activations.</w:t>
            </w:r>
            <w:r>
              <w:rPr>
                <w:sz w:val="18"/>
              </w:rPr>
              <w:t xml:space="preserve"> </w:t>
            </w:r>
            <w:r>
              <w:rPr>
                <w:bCs/>
                <w:b/>
                <w:sz w:val="18"/>
              </w:rPr>
              <w:t xml:space="preserve">Exceptions needing CAB/Compliance pre-approval: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contact_policy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copy_guard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abac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commission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tariff.*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retention</w:t>
            </w:r>
            <w:r>
              <w:rPr>
                <w:sz w:val="18"/>
              </w:rPr>
              <w:t xml:space="preserve">, and enabling anything with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legalStatus: pending_legal_review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config/rules/*.json</w:t>
      </w:r>
      <w:r>
        <w:t xml:space="preserve"> </w:t>
      </w:r>
      <w:r>
        <w:t xml:space="preserve">in git holds only the</w:t>
      </w:r>
      <w:r>
        <w:t xml:space="preserve"> </w:t>
      </w:r>
      <w:r>
        <w:rPr>
          <w:bCs/>
          <w:b/>
        </w:rPr>
        <w:t xml:space="preserve">defaults</w:t>
      </w:r>
      <w:r>
        <w:t xml:space="preserve"> </w:t>
      </w:r>
      <w:r>
        <w:t xml:space="preserve">used to seed an empty database (</w:t>
      </w:r>
      <w:r>
        <w:rPr>
          <w:rStyle w:val="VerbatimChar"/>
        </w:rPr>
        <w:t xml:space="preserve">npm run job -- rules</w:t>
      </w:r>
      <w:r>
        <w:t xml:space="preserve"> </w:t>
      </w:r>
      <w:r>
        <w:t xml:space="preserve">loads kinds that have no version yet). Editing those files</w:t>
      </w:r>
      <w:r>
        <w:t xml:space="preserve"> </w:t>
      </w:r>
      <w:r>
        <w:rPr>
          <w:bCs/>
          <w:b/>
        </w:rPr>
        <w:t xml:space="preserve">does not change production rules</w:t>
      </w:r>
      <w:r>
        <w:t xml:space="preserve"> </w:t>
      </w:r>
      <w:r>
        <w:t xml:space="preserve">once seeded. Production rules change only through the rules studio. When a production rule change should also become the default for new environments, mirror it into git with a PR that references the rule version and checksum.</w:t>
      </w:r>
    </w:p>
    <w:p>
      <w:pPr>
        <w:pStyle w:val="BodyText"/>
      </w:pPr>
      <w:r>
        <w:drawing>
          <wp:inline>
            <wp:extent cx="6119999" cy="725657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/tmp/claude-0/-home-user-TASCO/19e5534d-12b5-5956-9b60-3e77efde0f49/scratchpad/conv/img/operations__release-and-change-management-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9999" cy="7256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6"/>
    <w:bookmarkStart w:id="27" w:name="X995d3d9ee2fd59a41dc981f654452d3137861a3"/>
    <w:p>
      <w:pPr>
        <w:pStyle w:val="Heading2"/>
      </w:pPr>
      <w:r>
        <w:t xml:space="preserve">2. Versioning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Semantic versioning</w:t>
      </w:r>
      <w:r>
        <w:t xml:space="preserve"> </w:t>
      </w:r>
      <w:r>
        <w:t xml:space="preserve">of the application (</w:t>
      </w:r>
      <w:r>
        <w:rPr>
          <w:rStyle w:val="VerbatimChar"/>
        </w:rPr>
        <w:t xml:space="preserve">package.json</w:t>
      </w:r>
      <w:r>
        <w:t xml:space="preserve"> </w:t>
      </w:r>
      <w:r>
        <w:rPr>
          <w:rStyle w:val="VerbatimChar"/>
        </w:rPr>
        <w:t xml:space="preserve">version</w:t>
      </w:r>
      <w:r>
        <w:t xml:space="preserve">, exposed in</w:t>
      </w:r>
      <w:r>
        <w:t xml:space="preserve"> </w:t>
      </w:r>
      <w:r>
        <w:rPr>
          <w:rStyle w:val="VerbatimChar"/>
        </w:rPr>
        <w:t xml:space="preserve">GET /api/meta</w:t>
      </w:r>
      <w:r>
        <w:t xml:space="preserve"> </w:t>
      </w:r>
      <w:r>
        <w:t xml:space="preserve">and the OpenAPI</w:t>
      </w:r>
      <w:r>
        <w:t xml:space="preserve"> </w:t>
      </w:r>
      <w:r>
        <w:rPr>
          <w:rStyle w:val="VerbatimChar"/>
        </w:rPr>
        <w:t xml:space="preserve">info.version</w:t>
      </w:r>
      <w:r>
        <w:t xml:space="preserve">):</w:t>
      </w:r>
    </w:p>
    <w:p>
      <w:pPr>
        <w:numPr>
          <w:ilvl w:val="1"/>
          <w:numId w:val="1002"/>
        </w:numPr>
        <w:pStyle w:val="Compact"/>
      </w:pPr>
      <w:r>
        <w:rPr>
          <w:bCs/>
          <w:b/>
        </w:rPr>
        <w:t xml:space="preserve">MAJOR</w:t>
      </w:r>
      <w:r>
        <w:t xml:space="preserve">: breaking change to a public contract (partner API</w:t>
      </w:r>
      <w:r>
        <w:t xml:space="preserve"> </w:t>
      </w:r>
      <w:r>
        <w:rPr>
          <w:rStyle w:val="VerbatimChar"/>
        </w:rPr>
        <w:t xml:space="preserve">/api/partner/v1/*</w:t>
      </w:r>
      <w:r>
        <w:t xml:space="preserve">, customer API used by the VETC app, event payloads consumed outside the platform). The partner API is additionally versioned in the path (</w:t>
      </w:r>
      <w:r>
        <w:rPr>
          <w:rStyle w:val="VerbatimChar"/>
        </w:rPr>
        <w:t xml:space="preserve">/v1/</w:t>
      </w:r>
      <w:r>
        <w:t xml:space="preserve">), so a breaking partner change means</w:t>
      </w:r>
      <w:r>
        <w:t xml:space="preserve"> </w:t>
      </w:r>
      <w:r>
        <w:rPr>
          <w:rStyle w:val="VerbatimChar"/>
        </w:rPr>
        <w:t xml:space="preserve">/v2/</w:t>
      </w:r>
      <w:r>
        <w:t xml:space="preserve"> </w:t>
      </w:r>
      <w:r>
        <w:t xml:space="preserve">alongside</w:t>
      </w:r>
      <w:r>
        <w:t xml:space="preserve"> </w:t>
      </w:r>
      <w:r>
        <w:rPr>
          <w:rStyle w:val="VerbatimChar"/>
        </w:rPr>
        <w:t xml:space="preserve">/v1/</w:t>
      </w:r>
      <w:r>
        <w:t xml:space="preserve"> </w:t>
      </w:r>
      <w:r>
        <w:t xml:space="preserve">with a deprecation period of ≥ 6 months.</w:t>
      </w:r>
    </w:p>
    <w:p>
      <w:pPr>
        <w:numPr>
          <w:ilvl w:val="1"/>
          <w:numId w:val="1002"/>
        </w:numPr>
        <w:pStyle w:val="Compact"/>
      </w:pPr>
      <w:r>
        <w:rPr>
          <w:bCs/>
          <w:b/>
        </w:rPr>
        <w:t xml:space="preserve">MINOR</w:t>
      </w:r>
      <w:r>
        <w:t xml:space="preserve">: backward-compatible features, new endpoints, new optional fields, new migrations (additive).</w:t>
      </w:r>
    </w:p>
    <w:p>
      <w:pPr>
        <w:numPr>
          <w:ilvl w:val="1"/>
          <w:numId w:val="1002"/>
        </w:numPr>
        <w:pStyle w:val="Compact"/>
      </w:pPr>
      <w:r>
        <w:rPr>
          <w:bCs/>
          <w:b/>
        </w:rPr>
        <w:t xml:space="preserve">PATCH</w:t>
      </w:r>
      <w:r>
        <w:t xml:space="preserve">: bug fixes and security patches, with no contract change.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Images</w:t>
      </w:r>
      <w:r>
        <w:t xml:space="preserve"> </w:t>
      </w:r>
      <w:r>
        <w:t xml:space="preserve">are tagged</w:t>
      </w:r>
      <w:r>
        <w:t xml:space="preserve"> </w:t>
      </w:r>
      <w:r>
        <w:rPr>
          <w:rStyle w:val="VerbatimChar"/>
        </w:rPr>
        <w:t xml:space="preserve">vX.Y.Z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sha-&lt;gitsha&gt;</w:t>
      </w:r>
      <w:r>
        <w:t xml:space="preserve">. Deployments reference the immutable digest.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Rule sets</w:t>
      </w:r>
      <w:r>
        <w:t xml:space="preserve"> </w:t>
      </w:r>
      <w:r>
        <w:t xml:space="preserve">are versioned independently:</w:t>
      </w:r>
      <w:r>
        <w:t xml:space="preserve"> </w:t>
      </w:r>
      <w:r>
        <w:rPr>
          <w:rStyle w:val="VerbatimChar"/>
        </w:rPr>
        <w:t xml:space="preserve">&lt;kind&gt;@&lt;n&gt;</w:t>
      </w:r>
      <w:r>
        <w:t xml:space="preserve"> </w:t>
      </w:r>
      <w:r>
        <w:t xml:space="preserve">with a SHA-256 checksum (first 16 hex).</w:t>
      </w:r>
      <w:r>
        <w:t xml:space="preserve"> </w:t>
      </w:r>
      <w:r>
        <w:rPr>
          <w:rStyle w:val="VerbatimChar"/>
        </w:rPr>
        <w:t xml:space="preserve">GET /api/ops/status</w:t>
      </w:r>
      <w:r>
        <w:t xml:space="preserve"> </w:t>
      </w:r>
      <w:r>
        <w:t xml:space="preserve">lists the active version and checksum of each kind. The release notes record the rule versions validated with that release.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Database schema</w:t>
      </w:r>
      <w:r>
        <w:t xml:space="preserve">: numbered migrations</w:t>
      </w:r>
      <w:r>
        <w:t xml:space="preserve"> </w:t>
      </w:r>
      <w:r>
        <w:rPr>
          <w:rStyle w:val="VerbatimChar"/>
        </w:rPr>
        <w:t xml:space="preserve">NNN_description.sql</w:t>
      </w:r>
      <w:r>
        <w:t xml:space="preserve">, recorded in</w:t>
      </w:r>
      <w:r>
        <w:t xml:space="preserve"> </w:t>
      </w:r>
      <w:r>
        <w:rPr>
          <w:rStyle w:val="VerbatimChar"/>
        </w:rPr>
        <w:t xml:space="preserve">schema_migrations</w:t>
      </w:r>
      <w:r>
        <w:t xml:space="preserve">.</w:t>
      </w:r>
    </w:p>
    <w:bookmarkEnd w:id="27"/>
    <w:bookmarkStart w:id="28" w:name="X7fdfa47f28f6ca28dee2a9957bd71dfa3c17229"/>
    <w:p>
      <w:pPr>
        <w:pStyle w:val="Heading2"/>
      </w:pPr>
      <w:r>
        <w:t xml:space="preserve">3. Branching</w:t>
      </w:r>
    </w:p>
    <w:p>
      <w:pPr>
        <w:pStyle w:val="FirstParagraph"/>
      </w:pPr>
      <w:r>
        <w:t xml:space="preserve">Trunk-based development with short-lived branches.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  <w:tblHeader w:val="true"/>
        </w:trPr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8"/>
              </w:rPr>
              <w:t xml:space="preserve">Branch</w:t>
            </w:r>
          </w:p>
        </w:tc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8"/>
              </w:rPr>
              <w:t xml:space="preserve">Purpose</w:t>
            </w:r>
          </w:p>
        </w:tc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8"/>
              </w:rPr>
              <w:t xml:space="preserve">Rules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8"/>
              </w:rPr>
              <w:t xml:space="preserve">main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Always releasable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Protected; PR with ≥ 1 approving review (2 for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src/application/identityService.js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accessPolicy.js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shared/crypto.js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config/security/*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db/migrations/*</w:t>
            </w:r>
            <w:r>
              <w:rPr>
                <w:sz w:val="18"/>
              </w:rPr>
              <w:t xml:space="preserve">); all CI gates green; linear history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8"/>
              </w:rPr>
              <w:t xml:space="preserve">feature/&lt;ticket&gt;-&lt;slug&gt;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Work in progress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Rebased on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main</w:t>
            </w:r>
            <w:r>
              <w:rPr>
                <w:sz w:val="18"/>
              </w:rPr>
              <w:t xml:space="preserve">; lives ≤ 3 days; incomplete features hidden behind rule-based flags (§7)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8"/>
              </w:rPr>
              <w:t xml:space="preserve">release/X.Y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Stabilisation when a release needs a freeze (e.g. go-live, Tết)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Cut from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main</w:t>
            </w:r>
            <w:r>
              <w:rPr>
                <w:sz w:val="18"/>
              </w:rPr>
              <w:t xml:space="preserve">; fixes cherry-picked from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main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8"/>
              </w:rPr>
              <w:t xml:space="preserve">hotfix/X.Y.Z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Emergency fix on a released version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From the release tag; merged back to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main</w:t>
            </w:r>
          </w:p>
        </w:tc>
      </w:tr>
    </w:tbl>
    <w:p>
      <w:pPr>
        <w:pStyle w:val="BodyText"/>
      </w:pPr>
      <w:r>
        <w:t xml:space="preserve">Commits reference the ticket ID. PR descriptions include the test evidence and, for migrations, the rollback/compatibility note.</w:t>
      </w:r>
    </w:p>
    <w:bookmarkEnd w:id="28"/>
    <w:bookmarkStart w:id="33" w:name="X38db17b07383949bf22bbfaa6f2b2b9ae55f23f"/>
    <w:p>
      <w:pPr>
        <w:pStyle w:val="Heading2"/>
      </w:pPr>
      <w:r>
        <w:t xml:space="preserve">4. CI/CD pipeline and gates</w:t>
      </w:r>
    </w:p>
    <w:p>
      <w:pPr>
        <w:pStyle w:val="FirstParagraph"/>
      </w:pPr>
      <w:r>
        <w:rPr>
          <w:rStyle w:val="VerbatimChar"/>
        </w:rPr>
        <w:t xml:space="preserve">.github/workflows/ci.yml</w:t>
      </w:r>
      <w:r>
        <w:t xml:space="preserve"> </w:t>
      </w:r>
      <w:r>
        <w:t xml:space="preserve">runs on every pull request and on pushes to</w:t>
      </w:r>
      <w:r>
        <w:t xml:space="preserve"> </w:t>
      </w:r>
      <w:r>
        <w:rPr>
          <w:rStyle w:val="VerbatimChar"/>
        </w:rPr>
        <w:t xml:space="preserve">main</w:t>
      </w:r>
      <w:r>
        <w:t xml:space="preserve">,</w:t>
      </w:r>
      <w:r>
        <w:t xml:space="preserve"> </w:t>
      </w:r>
      <w:r>
        <w:rPr>
          <w:rStyle w:val="VerbatimChar"/>
        </w:rPr>
        <w:t xml:space="preserve">release/**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claude/**</w:t>
      </w:r>
      <w:r>
        <w:t xml:space="preserve">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  <w:tblHeader w:val="true"/>
        </w:trPr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8"/>
              </w:rPr>
              <w:t xml:space="preserve">Stage</w:t>
            </w:r>
          </w:p>
        </w:tc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8"/>
              </w:rPr>
              <w:t xml:space="preserve">Command / tool</w:t>
            </w:r>
          </w:p>
        </w:tc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8"/>
              </w:rPr>
              <w:t xml:space="preserve">Gate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Install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8"/>
              </w:rPr>
              <w:t xml:space="preserve">npm ci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(lockfile enforced)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—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Lint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8"/>
              </w:rPr>
              <w:t xml:space="preserve">npm run lint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0 errors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Tests + coverage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8"/>
              </w:rPr>
              <w:t xml:space="preserve">npm run test:coverage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(unit, integration, API, security and functional suites)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All pass; lines ≥ 80 %, functions ≥ 80 %, branches ≥ 70 %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PostgreSQL tests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8"/>
              </w:rPr>
              <w:t xml:space="preserve">npm run test:pg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with a PostgreSQL 16 service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All pass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SAST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CodeQL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No new high/critical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Dependencies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8"/>
              </w:rPr>
              <w:t xml:space="preserve">npm run audit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No high/critical in production dependencies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Secrets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gitleaks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0 findings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Container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Docker build → Trivy image scan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No high or critical findings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SBOM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CycloneDX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Attached to the build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DAST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ZAP baseline against the built image started in demo mode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Report only in CI; no high-risk alert accepted for a release tag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Contract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8"/>
              </w:rPr>
              <w:t xml:space="preserve">node src/jobs/cli.js openapi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→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git diff --exit-code docs/api/openapi.json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Fails if the committed spec is stale. A change on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/api/partner/v1/*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needs the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partner-contract-change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label and a partner notice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Migration immutability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DBA review: an applied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db/migrations/*.sql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file is never edited (an automated CI check is recommended)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Hard rule (§6)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Perf smoke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8"/>
              </w:rPr>
              <w:t xml:space="preserve">npm run test:perf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(in-process, 15 s, 25 concurrent)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p95 ≤ 300 ms and errors ≤ 1 %; full PERF regression for release candidates (p95 within 120 % of the previous baseline)</w:t>
            </w:r>
          </w:p>
        </w:tc>
      </w:tr>
    </w:tbl>
    <w:p>
      <w:pPr>
        <w:pStyle w:val="BodyText"/>
      </w:pPr>
      <w:r>
        <w:t xml:space="preserve">Deployment (CD), per environment, promoted with the</w:t>
      </w:r>
      <w:r>
        <w:t xml:space="preserve"> </w:t>
      </w:r>
      <w:r>
        <w:rPr>
          <w:bCs/>
          <w:b/>
        </w:rPr>
        <w:t xml:space="preserve">same image digest</w:t>
      </w:r>
      <w:r>
        <w:t xml:space="preserve">:</w:t>
      </w:r>
    </w:p>
    <w:p>
      <w:pPr>
        <w:pStyle w:val="BodyText"/>
      </w:pPr>
      <w:r>
        <w:drawing>
          <wp:inline>
            <wp:extent cx="6119999" cy="901032"/>
            <wp:effectExtent b="0" l="0" r="0" t="0"/>
            <wp:docPr descr="" title="" id="30" name="Picture"/>
            <a:graphic>
              <a:graphicData uri="http://schemas.openxmlformats.org/drawingml/2006/picture">
                <pic:pic>
                  <pic:nvPicPr>
                    <pic:cNvPr descr="/tmp/claude-0/-home-user-TASCO/19e5534d-12b5-5956-9b60-3e77efde0f49/scratchpad/conv/img/operations__release-and-change-management-2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9999" cy="9010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PROD deployment sequence:</w:t>
      </w:r>
    </w:p>
    <w:p>
      <w:pPr>
        <w:numPr>
          <w:ilvl w:val="0"/>
          <w:numId w:val="1003"/>
        </w:numPr>
        <w:pStyle w:val="Compact"/>
      </w:pPr>
      <w:r>
        <w:t xml:space="preserve">CAB approval recorded.</w:t>
      </w:r>
    </w:p>
    <w:p>
      <w:pPr>
        <w:numPr>
          <w:ilvl w:val="0"/>
          <w:numId w:val="1003"/>
        </w:numPr>
        <w:pStyle w:val="Compact"/>
      </w:pPr>
      <w:r>
        <w:t xml:space="preserve">Migration Job (</w:t>
      </w:r>
      <w:r>
        <w:rPr>
          <w:rStyle w:val="VerbatimChar"/>
        </w:rPr>
        <w:t xml:space="preserve">npm run migrate</w:t>
      </w:r>
      <w:r>
        <w:t xml:space="preserve">, separate DB role with DDL rights) completes.</w:t>
      </w:r>
    </w:p>
    <w:p>
      <w:pPr>
        <w:numPr>
          <w:ilvl w:val="0"/>
          <w:numId w:val="1003"/>
        </w:numPr>
        <w:pStyle w:val="Compact"/>
      </w:pPr>
      <w:r>
        <w:t xml:space="preserve">Rolling update (</w:t>
      </w:r>
      <w:r>
        <w:rPr>
          <w:rStyle w:val="VerbatimChar"/>
        </w:rPr>
        <w:t xml:space="preserve">maxUnavailable: 0</w:t>
      </w:r>
      <w:r>
        <w:t xml:space="preserve">,</w:t>
      </w:r>
      <w:r>
        <w:t xml:space="preserve"> </w:t>
      </w:r>
      <w:r>
        <w:rPr>
          <w:rStyle w:val="VerbatimChar"/>
        </w:rPr>
        <w:t xml:space="preserve">maxSurge: 1</w:t>
      </w:r>
      <w:r>
        <w:t xml:space="preserve">). Readiness gates traffic;</w:t>
      </w:r>
      <w:r>
        <w:t xml:space="preserve"> </w:t>
      </w:r>
      <w:r>
        <w:rPr>
          <w:rStyle w:val="VerbatimChar"/>
        </w:rPr>
        <w:t xml:space="preserve">SIGTERM</w:t>
      </w:r>
      <w:r>
        <w:t xml:space="preserve"> </w:t>
      </w:r>
      <w:r>
        <w:t xml:space="preserve">drains old pods (≤ 25 s).</w:t>
      </w:r>
    </w:p>
    <w:p>
      <w:pPr>
        <w:numPr>
          <w:ilvl w:val="0"/>
          <w:numId w:val="1003"/>
        </w:numPr>
        <w:pStyle w:val="Compact"/>
      </w:pPr>
      <w:r>
        <w:t xml:space="preserve">Smoke tests (</w:t>
      </w:r>
      <w:hyperlink r:id="rId21">
        <w:r>
          <w:rPr>
            <w:rStyle w:val="Hyperlink"/>
          </w:rPr>
          <w:t xml:space="preserve">Go-Live and Hypercare Plan</w:t>
        </w:r>
      </w:hyperlink>
      <w:r>
        <w:t xml:space="preserve"> </w:t>
      </w:r>
      <w:r>
        <w:t xml:space="preserve">§3.1).</w:t>
      </w:r>
    </w:p>
    <w:p>
      <w:pPr>
        <w:numPr>
          <w:ilvl w:val="0"/>
          <w:numId w:val="1003"/>
        </w:numPr>
        <w:pStyle w:val="Compact"/>
      </w:pPr>
      <w:r>
        <w:t xml:space="preserve">Watch dashboards D1–D3 for 30 min, then close the change.</w:t>
      </w:r>
    </w:p>
    <w:p>
      <w:pPr>
        <w:pStyle w:val="FirstParagraph"/>
      </w:pPr>
      <w:r>
        <w:t xml:space="preserve">Deployment windows:</w:t>
      </w:r>
      <w:r>
        <w:t xml:space="preserve"> </w:t>
      </w:r>
      <w:r>
        <w:rPr>
          <w:bCs/>
          <w:b/>
        </w:rPr>
        <w:t xml:space="preserve">Tuesday to Thursday, 21:00–23:00 ICT</w:t>
      </w:r>
      <w:r>
        <w:t xml:space="preserve"> </w:t>
      </w:r>
      <w:r>
        <w:t xml:space="preserve">(outside the 08:00–20:00 contact window and well before the 08:15 journey run). No deployments on the day before public holidays, during Tết (01–14 February 2027) or during month-end renewal peaks unless emergency. The hosted UAT on Railway (</w:t>
      </w:r>
      <w:hyperlink r:id="rId32">
        <w:r>
          <w:rPr>
            <w:rStyle w:val="Hyperlink"/>
          </w:rPr>
          <w:t xml:space="preserve">https://tasco-growth-api-uat.up.railway.app</w:t>
        </w:r>
      </w:hyperlink>
      <w:r>
        <w:t xml:space="preserve">) deploys from the same Dockerfile;</w:t>
      </w:r>
      <w:r>
        <w:t xml:space="preserve"> </w:t>
      </w:r>
      <w:r>
        <w:rPr>
          <w:rStyle w:val="VerbatimChar"/>
        </w:rPr>
        <w:t xml:space="preserve">railway.json</w:t>
      </w:r>
      <w:r>
        <w:t xml:space="preserve"> </w:t>
      </w:r>
      <w:r>
        <w:t xml:space="preserve">runs</w:t>
      </w:r>
      <w:r>
        <w:t xml:space="preserve"> </w:t>
      </w:r>
      <w:r>
        <w:rPr>
          <w:rStyle w:val="VerbatimChar"/>
        </w:rPr>
        <w:t xml:space="preserve">node src/jobs/cli.js migrate</w:t>
      </w:r>
      <w:r>
        <w:t xml:space="preserve"> </w:t>
      </w:r>
      <w:r>
        <w:t xml:space="preserve">as the pre-deploy command and gates traffic on</w:t>
      </w:r>
      <w:r>
        <w:t xml:space="preserve"> </w:t>
      </w:r>
      <w:r>
        <w:rPr>
          <w:rStyle w:val="VerbatimChar"/>
        </w:rPr>
        <w:t xml:space="preserve">/health/ready</w:t>
      </w:r>
      <w:r>
        <w:t xml:space="preserve">.</w:t>
      </w:r>
    </w:p>
    <w:bookmarkEnd w:id="33"/>
    <w:bookmarkStart w:id="34" w:name="X4e3de129d8d1beaed48742a34566b778db44d49"/>
    <w:p>
      <w:pPr>
        <w:pStyle w:val="Heading2"/>
      </w:pPr>
      <w:r>
        <w:t xml:space="preserve">5. CAB process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  <w:tblHeader w:val="true"/>
        </w:trPr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8"/>
              </w:rPr>
              <w:t xml:space="preserve">Change type</w:t>
            </w:r>
          </w:p>
        </w:tc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8"/>
              </w:rPr>
              <w:t xml:space="preserve">Examples</w:t>
            </w:r>
          </w:p>
        </w:tc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8"/>
              </w:rPr>
              <w:t xml:space="preserve">Approval</w:t>
            </w:r>
          </w:p>
        </w:tc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8"/>
              </w:rPr>
              <w:t xml:space="preserve">Lead time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bCs/>
                <w:b/>
                <w:sz w:val="18"/>
              </w:rPr>
              <w:t xml:space="preserve">Standard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(pre-approved, low risk, repeatable)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PATCH release passing all gates with no migration; scaling within HPA bounds; certificate renewal; SOP-04 partner key issue/revoke; SOP-03 offboarding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Release manager; logged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Same day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bCs/>
                <w:b/>
                <w:sz w:val="18"/>
              </w:rPr>
              <w:t xml:space="preserve">Normal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MINOR/MAJOR release; any migration; config/secret change (SOP-01, SOP-02); RBAC changes; infrastructure changes; new partner integration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Weekly CAB (Wednesday 14:00 ICT)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≥ 3 business days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bCs/>
                <w:b/>
                <w:sz w:val="18"/>
              </w:rPr>
              <w:t xml:space="preserve">Emergency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Sev 1/2 fix; security patch for an actively exploited vulnerability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E-CAB: TASCO IT Head + PO (+ Compliance if customer-facing contact is affected), by phone/chat; ratified at the next CAB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Immediate</w:t>
            </w:r>
          </w:p>
        </w:tc>
      </w:tr>
    </w:tbl>
    <w:p>
      <w:pPr>
        <w:pStyle w:val="BodyText"/>
      </w:pPr>
      <w:r>
        <w:t xml:space="preserve">The change record contains: description, risk and impact, linked tickets, release notes, test evidence (CI run, SIT/UAT where applicable), migration plan and compatibility, deployment and rollback steps, verification steps, communication plan, and the window.</w:t>
      </w:r>
    </w:p>
    <w:bookmarkEnd w:id="34"/>
    <w:bookmarkStart w:id="35" w:name="Xc77c2fdd6e378304eb370ad414902ecc6c0d006"/>
    <w:p>
      <w:pPr>
        <w:pStyle w:val="Heading2"/>
      </w:pPr>
      <w:r>
        <w:t xml:space="preserve">6. Database migration policy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Never edit a migration that has been applied</w:t>
      </w:r>
      <w:r>
        <w:t xml:space="preserve"> </w:t>
      </w:r>
      <w:r>
        <w:t xml:space="preserve">to any shared environment, even if it is "only whitespace". The file name is the identity in</w:t>
      </w:r>
      <w:r>
        <w:t xml:space="preserve"> </w:t>
      </w:r>
      <w:r>
        <w:rPr>
          <w:rStyle w:val="VerbatimChar"/>
        </w:rPr>
        <w:t xml:space="preserve">schema_migrations</w:t>
      </w:r>
      <w:r>
        <w:t xml:space="preserve">, so an edit is silently skipped where already applied and diverges elsewhere. Add a new numbered file instead (for example</w:t>
      </w:r>
      <w:r>
        <w:t xml:space="preserve"> </w:t>
      </w:r>
      <w:r>
        <w:rPr>
          <w:rStyle w:val="VerbatimChar"/>
        </w:rPr>
        <w:t xml:space="preserve">003_…sql</w:t>
      </w:r>
      <w:r>
        <w:t xml:space="preserve">;</w:t>
      </w:r>
      <w:r>
        <w:t xml:space="preserve"> </w:t>
      </w:r>
      <w:r>
        <w:rPr>
          <w:rStyle w:val="VerbatimChar"/>
        </w:rPr>
        <w:t xml:space="preserve">002_integrity_hardening.sql</w:t>
      </w:r>
      <w:r>
        <w:t xml:space="preserve"> </w:t>
      </w:r>
      <w:r>
        <w:t xml:space="preserve">already exists). DBA review enforces this (§4). The header of</w:t>
      </w:r>
      <w:r>
        <w:t xml:space="preserve"> </w:t>
      </w:r>
      <w:r>
        <w:rPr>
          <w:rStyle w:val="VerbatimChar"/>
        </w:rPr>
        <w:t xml:space="preserve">db/migrations/001_init.sql</w:t>
      </w:r>
      <w:r>
        <w:t xml:space="preserve"> </w:t>
      </w:r>
      <w:r>
        <w:t xml:space="preserve">states the same rule.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Concurrency.</w:t>
      </w:r>
      <w:r>
        <w:t xml:space="preserve"> </w:t>
      </w:r>
      <w:r>
        <w:rPr>
          <w:rStyle w:val="VerbatimChar"/>
        </w:rPr>
        <w:t xml:space="preserve">migrate()</w:t>
      </w:r>
      <w:r>
        <w:t xml:space="preserve"> </w:t>
      </w:r>
      <w:r>
        <w:t xml:space="preserve">takes a PostgreSQL advisory lock, so two migrators started together are serialised (KI-30 fixed), and rule activation is transactional.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Forward-only, expand/contract.</w:t>
      </w:r>
      <w:r>
        <w:t xml:space="preserve"> </w:t>
      </w:r>
      <w:r>
        <w:t xml:space="preserve">Every migration must be compatible with the</w:t>
      </w:r>
      <w:r>
        <w:t xml:space="preserve"> </w:t>
      </w:r>
      <w:r>
        <w:rPr>
          <w:bCs/>
          <w:b/>
        </w:rPr>
        <w:t xml:space="preserve">previous</w:t>
      </w:r>
      <w:r>
        <w:t xml:space="preserve"> </w:t>
      </w:r>
      <w:r>
        <w:t xml:space="preserve">application version, so an application rollback (R3) never needs a schema rollback:</w:t>
      </w:r>
    </w:p>
    <w:p>
      <w:pPr>
        <w:numPr>
          <w:ilvl w:val="1"/>
          <w:numId w:val="1005"/>
        </w:numPr>
        <w:pStyle w:val="Compact"/>
      </w:pPr>
      <w:r>
        <w:rPr>
          <w:iCs/>
          <w:i/>
        </w:rPr>
        <w:t xml:space="preserve">Expand</w:t>
      </w:r>
      <w:r>
        <w:t xml:space="preserve">: add tables, nullable columns and indexes (</w:t>
      </w:r>
      <w:r>
        <w:rPr>
          <w:rStyle w:val="VerbatimChar"/>
        </w:rPr>
        <w:t xml:space="preserve">CREATE INDEX CONCURRENTLY</w:t>
      </w:r>
      <w:r>
        <w:t xml:space="preserve"> </w:t>
      </w:r>
      <w:r>
        <w:t xml:space="preserve">in a dedicated migration for large tables. Note that</w:t>
      </w:r>
      <w:r>
        <w:t xml:space="preserve"> </w:t>
      </w:r>
      <w:r>
        <w:rPr>
          <w:rStyle w:val="VerbatimChar"/>
        </w:rPr>
        <w:t xml:space="preserve">migrate()</w:t>
      </w:r>
      <w:r>
        <w:t xml:space="preserve"> </w:t>
      </w:r>
      <w:r>
        <w:t xml:space="preserve">wraps each file in a transaction, so</w:t>
      </w:r>
      <w:r>
        <w:t xml:space="preserve"> </w:t>
      </w:r>
      <w:r>
        <w:rPr>
          <w:rStyle w:val="VerbatimChar"/>
        </w:rPr>
        <w:t xml:space="preserve">CONCURRENTLY</w:t>
      </w:r>
      <w:r>
        <w:t xml:space="preserve"> </w:t>
      </w:r>
      <w:r>
        <w:t xml:space="preserve">must instead go in a manual DBA step referenced by the change).</w:t>
      </w:r>
    </w:p>
    <w:p>
      <w:pPr>
        <w:numPr>
          <w:ilvl w:val="1"/>
          <w:numId w:val="1005"/>
        </w:numPr>
        <w:pStyle w:val="Compact"/>
      </w:pPr>
      <w:r>
        <w:rPr>
          <w:iCs/>
          <w:i/>
        </w:rPr>
        <w:t xml:space="preserve">Migrate data</w:t>
      </w:r>
      <w:r>
        <w:t xml:space="preserve">: in batches via a job, not inside the DDL migration.</w:t>
      </w:r>
    </w:p>
    <w:p>
      <w:pPr>
        <w:numPr>
          <w:ilvl w:val="1"/>
          <w:numId w:val="1005"/>
        </w:numPr>
        <w:pStyle w:val="Compact"/>
      </w:pPr>
      <w:r>
        <w:rPr>
          <w:iCs/>
          <w:i/>
        </w:rPr>
        <w:t xml:space="preserve">Contract</w:t>
      </w:r>
      <w:r>
        <w:t xml:space="preserve"> </w:t>
      </w:r>
      <w:r>
        <w:t xml:space="preserve">(drop or rename): only in a later release, once no running version uses the old structure.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Schema registry parity:</w:t>
      </w:r>
      <w:r>
        <w:t xml:space="preserve"> </w:t>
      </w:r>
      <w:r>
        <w:rPr>
          <w:rStyle w:val="VerbatimChar"/>
        </w:rPr>
        <w:t xml:space="preserve">src/adapters/persistence/schema.js</w:t>
      </w:r>
      <w:r>
        <w:t xml:space="preserve"> </w:t>
      </w:r>
      <w:r>
        <w:t xml:space="preserve">(collections, index columns, blind indexes) must match the SQL. A unit test checks parity (</w:t>
      </w:r>
      <w:r>
        <w:rPr>
          <w:rStyle w:val="VerbatimChar"/>
        </w:rPr>
        <w:t xml:space="preserve">test/unit/platform.test.js</w:t>
      </w:r>
      <w:r>
        <w:t xml:space="preserve">, "schema drift guard").</w:t>
      </w:r>
    </w:p>
    <w:p>
      <w:pPr>
        <w:numPr>
          <w:ilvl w:val="0"/>
          <w:numId w:val="1004"/>
        </w:numPr>
        <w:pStyle w:val="Compact"/>
      </w:pPr>
      <w:r>
        <w:t xml:space="preserve">Migrations are idempotent where possible (</w:t>
      </w:r>
      <w:r>
        <w:rPr>
          <w:rStyle w:val="VerbatimChar"/>
        </w:rPr>
        <w:t xml:space="preserve">IF NOT EXISTS</w:t>
      </w:r>
      <w:r>
        <w:t xml:space="preserve">), reviewed by the DBA, timed on PERF data (6 M rows), and run by the</w:t>
      </w:r>
      <w:r>
        <w:t xml:space="preserve"> </w:t>
      </w:r>
      <w:r>
        <w:rPr>
          <w:bCs/>
          <w:b/>
        </w:rPr>
        <w:t xml:space="preserve">migration Job</w:t>
      </w:r>
      <w:r>
        <w:t xml:space="preserve"> </w:t>
      </w:r>
      <w:r>
        <w:t xml:space="preserve">before the rollout (</w:t>
      </w:r>
      <w:r>
        <w:rPr>
          <w:rStyle w:val="VerbatimChar"/>
        </w:rPr>
        <w:t xml:space="preserve">MIGRATE_ON_START=false</w:t>
      </w:r>
      <w:r>
        <w:t xml:space="preserve"> </w:t>
      </w:r>
      <w:r>
        <w:t xml:space="preserve">in Kubernetes).</w:t>
      </w:r>
    </w:p>
    <w:p>
      <w:pPr>
        <w:numPr>
          <w:ilvl w:val="0"/>
          <w:numId w:val="1004"/>
        </w:numPr>
        <w:pStyle w:val="Compact"/>
      </w:pPr>
      <w:r>
        <w:t xml:space="preserve">Destructive data changes (deletes, PII-touching updates) need a fresh PITR restore point noted in the change record and DPO consultation where personal data is affected.</w:t>
      </w:r>
    </w:p>
    <w:bookmarkEnd w:id="35"/>
    <w:bookmarkStart w:id="36" w:name="X8895d19c20e0e3b3f004ad165056da220a274db"/>
    <w:p>
      <w:pPr>
        <w:pStyle w:val="Heading2"/>
      </w:pPr>
      <w:r>
        <w:t xml:space="preserve">7. Feature flags via rules</w:t>
      </w:r>
    </w:p>
    <w:p>
      <w:pPr>
        <w:pStyle w:val="FirstParagraph"/>
      </w:pPr>
      <w:r>
        <w:t xml:space="preserve">The platform has no separate feature-flag service. Exposure is controlled through rule sets, which are versioned, simulated, maker-checker approved and audited: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  <w:tblHeader w:val="true"/>
        </w:trPr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8"/>
              </w:rPr>
              <w:t xml:space="preserve">Need</w:t>
            </w:r>
          </w:p>
        </w:tc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8"/>
              </w:rPr>
              <w:t xml:space="preserve">Rule kind and field</w:t>
            </w:r>
          </w:p>
        </w:tc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8"/>
              </w:rPr>
              <w:t xml:space="preserve">Example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Turn a product on/off, or per channel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8"/>
              </w:rPr>
              <w:t xml:space="preserve">products.products[].status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.channels[]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Hide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MOTOR_PD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from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partner_api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until the inspection flow is live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Bundles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8"/>
              </w:rPr>
              <w:t xml:space="preserve">products.bundles[].status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Activate a TNDS + PA bundle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Benefits to customers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8"/>
              </w:rPr>
              <w:t xml:space="preserve">benefits.items[].legalStatus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(only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approved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reaches customers) and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available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(</w:t>
            </w:r>
            <w:r>
              <w:rPr>
                <w:rStyle w:val="VerbatimChar"/>
                <w:sz w:val="18"/>
              </w:rPr>
              <w:t xml:space="preserve">false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hides an approved item that is not yet operational, e.g.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auto_renew</w:t>
            </w:r>
            <w:r>
              <w:rPr>
                <w:sz w:val="18"/>
              </w:rPr>
              <w:t xml:space="preserve">)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8"/>
              </w:rPr>
              <w:t xml:space="preserve">loyalty_points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stays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pending_legal_review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until Legal approves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Referral programme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8"/>
              </w:rPr>
              <w:t xml:space="preserve">referral.enabled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Disabled until legal approval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Journey targeting / regional rollout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8"/>
              </w:rPr>
              <w:t xml:space="preserve">journeys.journeys[].audience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.steps[]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onlyTiers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Pilot: restrict the audience to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region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∈ {Hà Nội, TP. Hồ Chí Minh}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Event triggers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8"/>
              </w:rPr>
              <w:t xml:space="preserve">triggers.triggers[]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Enable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long_trip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at W2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Contact intensity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8"/>
              </w:rPr>
              <w:t xml:space="preserve">contact_policy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caps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Emergency marketing stop: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maxMarketingContactsPerDay: 0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Voice script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8"/>
              </w:rPr>
              <w:t xml:space="preserve">content.voicebot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Prompt wording and intents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Access attributes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8"/>
              </w:rPr>
              <w:t xml:space="preserve">abac.policies[]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Regional restriction (CAB-reviewed)</w:t>
            </w:r>
          </w:p>
        </w:tc>
      </w:tr>
    </w:tbl>
    <w:p>
      <w:pPr>
        <w:pStyle w:val="BodyText"/>
      </w:pPr>
      <w:r>
        <w:t xml:space="preserve">Code-level features that are not ready are</w:t>
      </w:r>
      <w:r>
        <w:t xml:space="preserve"> </w:t>
      </w:r>
      <w:r>
        <w:rPr>
          <w:bCs/>
          <w:b/>
        </w:rPr>
        <w:t xml:space="preserve">not merged into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main</w:t>
      </w:r>
      <w:r>
        <w:rPr>
          <w:bCs/>
          <w:b/>
        </w:rPr>
        <w:t xml:space="preserve"> </w:t>
      </w:r>
      <w:r>
        <w:rPr>
          <w:bCs/>
          <w:b/>
        </w:rPr>
        <w:t xml:space="preserve">enabled</w:t>
      </w:r>
      <w:r>
        <w:t xml:space="preserve">. They are either behind one of the rule switches above or not routed.</w:t>
      </w:r>
      <w:r>
        <w:t xml:space="preserve"> </w:t>
      </w:r>
      <w:r>
        <w:rPr>
          <w:rStyle w:val="VerbatimChar"/>
        </w:rPr>
        <w:t xml:space="preserve">demoOnly</w:t>
      </w:r>
      <w:r>
        <w:t xml:space="preserve"> </w:t>
      </w:r>
      <w:r>
        <w:t xml:space="preserve">routes are disabled whenever</w:t>
      </w:r>
      <w:r>
        <w:t xml:space="preserve"> </w:t>
      </w:r>
      <w:r>
        <w:rPr>
          <w:rStyle w:val="VerbatimChar"/>
        </w:rPr>
        <w:t xml:space="preserve">DEMO_MODE=false</w:t>
      </w:r>
      <w:r>
        <w:t xml:space="preserve">.</w:t>
      </w:r>
    </w:p>
    <w:bookmarkEnd w:id="36"/>
    <w:bookmarkStart w:id="37" w:name="X8ea1c1bbf994f88429723b6d90fd5080cbdcb11"/>
    <w:p>
      <w:pPr>
        <w:pStyle w:val="Heading2"/>
      </w:pPr>
      <w:r>
        <w:t xml:space="preserve">8. Rule change procedure (maker-checker)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  <w:tblHeader w:val="true"/>
        </w:trPr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8"/>
              </w:rPr>
              <w:t xml:space="preserve">Step</w:t>
            </w:r>
          </w:p>
        </w:tc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8"/>
              </w:rPr>
              <w:t xml:space="preserve">Who</w:t>
            </w:r>
          </w:p>
        </w:tc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8"/>
              </w:rPr>
              <w:t xml:space="preserve">How</w:t>
            </w:r>
          </w:p>
        </w:tc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8"/>
              </w:rPr>
              <w:t xml:space="preserve">Control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1. Draft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8"/>
              </w:rPr>
              <w:t xml:space="preserve">rule_author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8"/>
              </w:rPr>
              <w:t xml:space="preserve">POST /api/rules {kind, payload, description}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Payload validated (</w:t>
            </w:r>
            <w:r>
              <w:rPr>
                <w:rStyle w:val="VerbatimChar"/>
                <w:sz w:val="18"/>
              </w:rPr>
              <w:t xml:space="preserve">validatePayload</w:t>
            </w:r>
            <w:r>
              <w:rPr>
                <w:sz w:val="18"/>
              </w:rPr>
              <w:t xml:space="preserve">: JSON Logic operators allow-listed, decision tables, kind-specific checks such as weights summing to 100 and commission ≤ statutory cap, plus the</w:t>
            </w:r>
            <w:r>
              <w:rPr>
                <w:sz w:val="18"/>
              </w:rPr>
              <w:t xml:space="preserve"> </w:t>
            </w:r>
            <w:r>
              <w:rPr>
                <w:bCs/>
                <w:b/>
                <w:sz w:val="18"/>
              </w:rPr>
              <w:t xml:space="preserve">copy guard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on content and benefits). Invalid → 400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2. Validate / simulate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Author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8"/>
              </w:rPr>
              <w:t xml:space="preserve">POST /api/rules/validate</w:t>
            </w:r>
            <w:r>
              <w:rPr>
                <w:sz w:val="18"/>
              </w:rPr>
              <w:t xml:space="preserve">;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POST /api/rules/simulate {profileId, kind, payload}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for scoring, nba, journeys and benefits on the reference profiles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Evidence attached to the change note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3. Submit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Author only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8"/>
              </w:rPr>
              <w:t xml:space="preserve">POST /api/rules/:id/submit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Only drafts, only by the author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4. Review and approve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8"/>
              </w:rPr>
              <w:t xml:space="preserve">rule_approver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/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compliance_officer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bCs/>
                <w:b/>
                <w:sz w:val="18"/>
              </w:rPr>
              <w:t xml:space="preserve">not the author</w:t>
            </w:r>
            <w:r>
              <w:rPr>
                <w:sz w:val="18"/>
              </w:rPr>
              <w:t xml:space="preserve">, with MFA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8"/>
              </w:rPr>
              <w:t xml:space="preserve">POST /api/rules/:id/approve {comment}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or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/reject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Self-approval → 403 (maker-checker)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5. Activate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System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The previous active version is retired;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rules.activated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event; caches invalidated; all replicas converge ≤ 15 s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Audit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rules.approved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with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supersedes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6. Verify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Author + approver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8"/>
              </w:rPr>
              <w:t xml:space="preserve">GET /api/ops/status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shows the new version/checksum; monitor D4/D5 for 24 h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7. Record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Author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Weekly rule-change log to CAB: kind, version, checksum, purpose, approver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—</w:t>
            </w:r>
          </w:p>
        </w:tc>
      </w:tr>
    </w:tbl>
    <w:p>
      <w:pPr>
        <w:pStyle w:val="BodyText"/>
      </w:pPr>
      <w:r>
        <w:t xml:space="preserve">Rule changes affecting customers are made</w:t>
      </w:r>
      <w:r>
        <w:t xml:space="preserve"> </w:t>
      </w:r>
      <w:r>
        <w:rPr>
          <w:bCs/>
          <w:b/>
        </w:rPr>
        <w:t xml:space="preserve">outside the contact window or before the 08:15 journey run</w:t>
      </w:r>
      <w:r>
        <w:t xml:space="preserve">, unless urgent, so a full journey run uses one consistent version.</w:t>
      </w:r>
    </w:p>
    <w:bookmarkEnd w:id="37"/>
    <w:bookmarkStart w:id="38" w:name="X3995f6e725d26f328d74eec623891ba68ffc464"/>
    <w:p>
      <w:pPr>
        <w:pStyle w:val="Heading2"/>
      </w:pPr>
      <w:r>
        <w:t xml:space="preserve">9. Release notes template</w:t>
      </w:r>
    </w:p>
    <w:p>
      <w:pPr>
        <w:pStyle w:val="SourceCode"/>
      </w:pPr>
      <w:r>
        <w:rPr>
          <w:rStyle w:val="FunctionTok"/>
        </w:rPr>
        <w:t xml:space="preserve"># Release vX.Y.Z — &lt;date&gt;</w:t>
      </w:r>
      <w:r>
        <w:br/>
      </w:r>
      <w:r>
        <w:br/>
      </w:r>
      <w:r>
        <w:rPr>
          <w:rStyle w:val="FunctionTok"/>
        </w:rPr>
        <w:t xml:space="preserve">## Summary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one-paragraph</w:t>
      </w:r>
      <w:r>
        <w:rPr>
          <w:rStyle w:val="NormalTok"/>
        </w:rPr>
        <w:t xml:space="preserve"> </w:t>
      </w:r>
      <w:r>
        <w:rPr>
          <w:rStyle w:val="ErrorTok"/>
        </w:rPr>
        <w:t xml:space="preserve">business</w:t>
      </w:r>
      <w:r>
        <w:rPr>
          <w:rStyle w:val="NormalTok"/>
        </w:rPr>
        <w:t xml:space="preserve"> </w:t>
      </w:r>
      <w:r>
        <w:rPr>
          <w:rStyle w:val="ErrorTok"/>
        </w:rPr>
        <w:t xml:space="preserve">summary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FunctionTok"/>
        </w:rPr>
        <w:t xml:space="preserve">## Changes</w:t>
      </w:r>
      <w:r>
        <w:br/>
      </w:r>
      <w:r>
        <w:rPr>
          <w:rStyle w:val="NormalTok"/>
        </w:rPr>
        <w:t xml:space="preserve">| Ticket | Type (feature/fix/security/ops) | Description | Customer/partner impact |</w:t>
      </w:r>
      <w:r>
        <w:br/>
      </w:r>
      <w:r>
        <w:rPr>
          <w:rStyle w:val="NormalTok"/>
        </w:rPr>
        <w:t xml:space="preserve">|---|---|---|---|</w:t>
      </w:r>
      <w:r>
        <w:br/>
      </w:r>
      <w:r>
        <w:br/>
      </w:r>
      <w:r>
        <w:rPr>
          <w:rStyle w:val="FunctionTok"/>
        </w:rPr>
        <w:t xml:space="preserve">## API and contract changes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OpenAPI diff: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none</w:t>
      </w:r>
      <w:r>
        <w:rPr>
          <w:rStyle w:val="NormalTok"/>
        </w:rPr>
        <w:t xml:space="preserve"> </w:t>
      </w:r>
      <w:r>
        <w:rPr>
          <w:rStyle w:val="ErrorTok"/>
        </w:rPr>
        <w:t xml:space="preserve">|</w:t>
      </w:r>
      <w:r>
        <w:rPr>
          <w:rStyle w:val="NormalTok"/>
        </w:rPr>
        <w:t xml:space="preserve"> </w:t>
      </w:r>
      <w:r>
        <w:rPr>
          <w:rStyle w:val="ErrorTok"/>
        </w:rPr>
        <w:t xml:space="preserve">link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; partner API (/api/partner/v1) impact: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none</w:t>
      </w:r>
      <w:r>
        <w:rPr>
          <w:rStyle w:val="NormalTok"/>
        </w:rPr>
        <w:t xml:space="preserve"> </w:t>
      </w:r>
      <w:r>
        <w:rPr>
          <w:rStyle w:val="ErrorTok"/>
        </w:rPr>
        <w:t xml:space="preserve">|</w:t>
      </w:r>
      <w:r>
        <w:rPr>
          <w:rStyle w:val="NormalTok"/>
        </w:rPr>
        <w:t xml:space="preserve"> </w:t>
      </w:r>
      <w:r>
        <w:rPr>
          <w:rStyle w:val="ErrorTok"/>
        </w:rPr>
        <w:t xml:space="preserve">details</w:t>
      </w:r>
      <w:r>
        <w:rPr>
          <w:rStyle w:val="NormalTok"/>
        </w:rPr>
        <w:t xml:space="preserve"> </w:t>
      </w:r>
      <w:r>
        <w:rPr>
          <w:rStyle w:val="ErrorTok"/>
        </w:rPr>
        <w:t xml:space="preserve">+</w:t>
      </w:r>
      <w:r>
        <w:rPr>
          <w:rStyle w:val="NormalTok"/>
        </w:rPr>
        <w:t xml:space="preserve"> </w:t>
      </w:r>
      <w:r>
        <w:rPr>
          <w:rStyle w:val="ErrorTok"/>
        </w:rPr>
        <w:t xml:space="preserve">notice</w:t>
      </w:r>
      <w:r>
        <w:rPr>
          <w:rStyle w:val="NormalTok"/>
        </w:rPr>
        <w:t xml:space="preserve"> </w:t>
      </w:r>
      <w:r>
        <w:rPr>
          <w:rStyle w:val="ErrorTok"/>
        </w:rPr>
        <w:t xml:space="preserve">date</w:t>
      </w:r>
      <w:r>
        <w:rPr>
          <w:rStyle w:val="DataTypeTok"/>
        </w:rPr>
        <w:t xml:space="preserve">&gt;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Event payload changes: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none</w:t>
      </w:r>
      <w:r>
        <w:rPr>
          <w:rStyle w:val="NormalTok"/>
        </w:rPr>
        <w:t xml:space="preserve"> </w:t>
      </w:r>
      <w:r>
        <w:rPr>
          <w:rStyle w:val="ErrorTok"/>
        </w:rPr>
        <w:t xml:space="preserve">|</w:t>
      </w:r>
      <w:r>
        <w:rPr>
          <w:rStyle w:val="NormalTok"/>
        </w:rPr>
        <w:t xml:space="preserve"> </w:t>
      </w:r>
      <w:r>
        <w:rPr>
          <w:rStyle w:val="ErrorTok"/>
        </w:rPr>
        <w:t xml:space="preserve">details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FunctionTok"/>
        </w:rPr>
        <w:t xml:space="preserve">## Database migrations</w:t>
      </w:r>
      <w:r>
        <w:br/>
      </w:r>
      <w:r>
        <w:rPr>
          <w:rStyle w:val="NormalTok"/>
        </w:rPr>
        <w:t xml:space="preserve">| File | Purpose | Backward compatible with vX.Y.(Z-1)? | Est. duration on PROD volume |</w:t>
      </w:r>
      <w:r>
        <w:br/>
      </w:r>
      <w:r>
        <w:rPr>
          <w:rStyle w:val="NormalTok"/>
        </w:rPr>
        <w:t xml:space="preserve">|---|---|---|---|</w:t>
      </w:r>
      <w:r>
        <w:br/>
      </w:r>
      <w:r>
        <w:br/>
      </w:r>
      <w:r>
        <w:rPr>
          <w:rStyle w:val="FunctionTok"/>
        </w:rPr>
        <w:t xml:space="preserve">## Configuration and secrets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New/changed env vars: &lt;…&gt; (defaults, required in production?)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Secret rotations: &lt;…&gt;</w:t>
      </w:r>
      <w:r>
        <w:br/>
      </w:r>
      <w:r>
        <w:br/>
      </w:r>
      <w:r>
        <w:rPr>
          <w:rStyle w:val="FunctionTok"/>
        </w:rPr>
        <w:t xml:space="preserve">## Rule sets validated with this release</w:t>
      </w:r>
      <w:r>
        <w:br/>
      </w:r>
      <w:r>
        <w:rPr>
          <w:rStyle w:val="NormalTok"/>
        </w:rPr>
        <w:t xml:space="preserve">| Kind | Version | Checksum |</w:t>
      </w:r>
      <w:r>
        <w:br/>
      </w:r>
      <w:r>
        <w:rPr>
          <w:rStyle w:val="NormalTok"/>
        </w:rPr>
        <w:t xml:space="preserve">|---|---|---|</w:t>
      </w:r>
      <w:r>
        <w:br/>
      </w:r>
      <w:r>
        <w:br/>
      </w:r>
      <w:r>
        <w:rPr>
          <w:rStyle w:val="FunctionTok"/>
        </w:rPr>
        <w:t xml:space="preserve">## Known issues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KI-xx: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status</w:t>
      </w:r>
      <w:r>
        <w:rPr>
          <w:rStyle w:val="NormalTok"/>
        </w:rPr>
        <w:t xml:space="preserve"> </w:t>
      </w:r>
      <w:r>
        <w:rPr>
          <w:rStyle w:val="ErrorTok"/>
        </w:rPr>
        <w:t xml:space="preserve">/</w:t>
      </w:r>
      <w:r>
        <w:rPr>
          <w:rStyle w:val="NormalTok"/>
        </w:rPr>
        <w:t xml:space="preserve"> </w:t>
      </w:r>
      <w:r>
        <w:rPr>
          <w:rStyle w:val="ErrorTok"/>
        </w:rPr>
        <w:t xml:space="preserve">workaround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FunctionTok"/>
        </w:rPr>
        <w:t xml:space="preserve">## Test evidence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CI run: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link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 (lint, coverage %, security, pg, CodeQL, audit, gitleaks, Trivy, ZAP, SBOM)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SIT/UAT: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link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; perf smoke: p95 vs baseline &lt;…&gt;</w:t>
      </w:r>
      <w:r>
        <w:br/>
      </w:r>
      <w:r>
        <w:br/>
      </w:r>
      <w:r>
        <w:rPr>
          <w:rStyle w:val="FunctionTok"/>
        </w:rPr>
        <w:t xml:space="preserve">## Deployment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Window: &lt;date/time ICT&gt;; steps: migration Job → rollout → smoke tests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Rollback: previous image &lt;tag/digest&gt;; rule rollback: &lt;n/a | ids&gt;</w:t>
      </w:r>
      <w:r>
        <w:br/>
      </w:r>
      <w:r>
        <w:br/>
      </w:r>
      <w:r>
        <w:rPr>
          <w:rStyle w:val="FunctionTok"/>
        </w:rPr>
        <w:t xml:space="preserve">## Approvals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CAB: &lt;id/date&gt;; Compliance (if customer-facing): &lt;name/date&gt;</w:t>
      </w:r>
    </w:p>
    <w:bookmarkEnd w:id="38"/>
    <w:bookmarkStart w:id="39" w:name="X8def078900564d63e55468689b5ab01a3446b67"/>
    <w:p>
      <w:pPr>
        <w:pStyle w:val="Heading2"/>
      </w:pPr>
      <w:r>
        <w:t xml:space="preserve">10. Freeze calendar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  <w:tblHeader w:val="true"/>
        </w:trPr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8"/>
              </w:rPr>
              <w:t xml:space="preserve">Period</w:t>
            </w:r>
          </w:p>
        </w:tc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8"/>
              </w:rPr>
              <w:t xml:space="preserve">Rule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Go-live release candidate (11–22 January 2027)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Fixes only on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release/1.0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bCs/>
                <w:b/>
                <w:sz w:val="18"/>
              </w:rPr>
              <w:t xml:space="preserve">Tết Nguyên Đán (01–14 February 2027)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No code deployments, no rule changes except emergency rollback (RB-10) or kill switch (SOP-07)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Each wave's first week (W1 from 29 March, W2 from 26 April)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Emergency changes only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Month-end (last 2 business days)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No normal changes affecting sales or journeys</w:t>
            </w:r>
          </w:p>
        </w:tc>
      </w:tr>
    </w:tbl>
    <w:bookmarkEnd w:id="39"/>
    <w:sectPr>
      <w:headerReference r:id="rId9" w:type="default"/>
      <w:footerReference r:id="rId10" w:type="default"/>
      <w:pgSz w:h="16838" w:w="11906"/>
      <w:pgMar w:bottom="1020" w:left="1020" w:right="1020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sz w:val="16"/>
      </w:rPr>
      <w:t xml:space="preserve">Prepared by iorta TechNXT · Confidential · Page </w:t>
    </w:r>
    <w:r>
      <w:rPr>
        <w:sz w:val="16"/>
      </w:rPr>
      <w:fldChar w:fldCharType="begin"/>
      <w:instrText>PAGE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213368"/>
        <w:sz w:val="16"/>
      </w:rPr>
      <w:t>TASCO Insurance × VETC — Growth Platform</w:t>
    </w:r>
  </w:p>
</w:hdr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Calibri" w:cs="Calibri" w:eastAsia="Calibri" w:hAnsi="Calibri"/>
      <w:color w:val="121A33"/>
      <w:sz w:val="22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Calibri" w:cs="Calibri" w:eastAsia="Calibri" w:hAnsi="Calibri"/>
      <w:color w:val="121A33"/>
      <w:sz w:val="22"/>
    </w:rPr>
  </w:style>
  <w:style w:customStyle="1" w:styleId="FirstParagraph" w:type="paragraph">
    <w:name w:val="First Paragraph"/>
    <w:basedOn w:val="BodyText"/>
    <w:next w:val="BodyText"/>
    <w:qFormat/>
    <w:rPr>
      <w:rFonts w:ascii="Calibri" w:cs="Calibri" w:eastAsia="Calibri" w:hAnsi="Calibri"/>
      <w:color w:val="121A33"/>
      <w:sz w:val="22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Calibri" w:cs="Calibri" w:eastAsia="Calibri" w:hAnsi="Calibri"/>
      <w:color w:val="121A33"/>
      <w:sz w:val="22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Calibri" w:asciiTheme="majorHAnsi" w:cs="Calibri" w:cstheme="majorBidi" w:eastAsia="Calibri" w:eastAsiaTheme="majorEastAsia" w:hAnsi="Calibri" w:hAnsiTheme="majorHAnsi"/>
      <w:b/>
      <w:bCs/>
      <w:color w:val="213368"/>
      <w:sz w:val="52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rFonts w:ascii="Calibri" w:cs="Calibri" w:eastAsia="Calibri" w:hAnsi="Calibri"/>
      <w:b w:val="0"/>
      <w:color w:val="0B6B66"/>
      <w:sz w:val="26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Calibri" w:cs="Calibri" w:eastAsia="Calibri" w:hAnsi="Calibri"/>
      <w:color w:val="121A33"/>
      <w:sz w:val="22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rPr>
      <w:rFonts w:ascii="Calibri" w:cs="Calibri" w:eastAsia="Calibri" w:hAnsi="Calibri"/>
      <w:sz w:val="18"/>
    </w:rPr>
    <w:tblPr>
      <w:tblInd w:type="dxa" w:w="0"/>
      <w:tblCellMar>
        <w:top w:type="dxa" w:w="0"/>
        <w:left w:type="dxa" w:w="108"/>
        <w:bottom w:type="dxa" w:w="0"/>
        <w:right w:type="dxa" w:w="108"/>
      </w:tblCellMar>
      <w:tblBorders>
        <w:top w:color="C9D1E0" w:sz="4" w:val="single"/>
        <w:left w:color="C9D1E0" w:sz="4" w:val="single"/>
        <w:bottom w:color="C9D1E0" w:sz="4" w:val="single"/>
        <w:right w:color="C9D1E0" w:sz="4" w:val="single"/>
        <w:insideH w:color="C9D1E0" w:sz="4" w:val="single"/>
        <w:insideV w:color="C9D1E0" w:sz="4" w:val="single"/>
      </w:tblBorders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cs="Consolas" w:eastAsia="Consolas" w:hAnsi="Consolas"/>
      <w:color w:val="2A3A6E"/>
      <w:sz w:val="18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val="0B6B66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23" Type="http://schemas.openxmlformats.org/officeDocument/2006/relationships/image" Target="media/rId23.png"/><Relationship Id="rId29" Type="http://schemas.openxmlformats.org/officeDocument/2006/relationships/image" Target="media/rId29.png"/><Relationship Id="rId20" Type="http://schemas.openxmlformats.org/officeDocument/2006/relationships/hyperlink" Target="../quality/test-strategy.pdf" TargetMode="External"/><Relationship Id="rId21" Type="http://schemas.openxmlformats.org/officeDocument/2006/relationships/hyperlink" Target="go-live-and-hypercare-plan.pdf" TargetMode="External"/><Relationship Id="rId32" Type="http://schemas.openxmlformats.org/officeDocument/2006/relationships/hyperlink" Target="https://tasco-growth-api-uat.up.railway.app" TargetMode="External"/><Relationship Id="rId22" Type="http://schemas.openxmlformats.org/officeDocument/2006/relationships/hyperlink" Target="runbook-and-support-guide.pdf" TargetMode="External"/></Relationships>
</file>

<file path=word/_rels/footnotes.xml.rels><?xml version='1.0' encoding='UTF-8' standalone='yes'?>
<Relationships xmlns="http://schemas.openxmlformats.org/package/2006/relationships"><Relationship Id="rId20" Type="http://schemas.openxmlformats.org/officeDocument/2006/relationships/hyperlink" Target="../quality/test-strategy.pdf" TargetMode="External"/><Relationship Id="rId21" Type="http://schemas.openxmlformats.org/officeDocument/2006/relationships/hyperlink" Target="go-live-and-hypercare-plan.pdf" TargetMode="External"/><Relationship Id="rId32" Type="http://schemas.openxmlformats.org/officeDocument/2006/relationships/hyperlink" Target="https://tasco-growth-api-uat.up.railway.app" TargetMode="External"/><Relationship Id="rId22" Type="http://schemas.openxmlformats.org/officeDocument/2006/relationships/hyperlink" Target="runbook-and-support-guide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Release and Change Management — TASCO Growth Platform</dc:title>
  <dc:creator>iorta TechNXT</dc:creator>
  <cp:keywords/>
  <dcterms:created xsi:type="dcterms:W3CDTF">2026-10-07T22:36:21Z</dcterms:created>
  <dcterms:modified xsi:type="dcterms:W3CDTF">2026-10-07T22:36:21Z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Version 1.0 · 07 October 2026</vt:lpwstr>
  </property>
  <property fmtid="{D5CDD505-2E9C-101B-9397-08002B2CF9AE}" pid="3" name="subtitle">
    <vt:lpwstr>TASCO Insurance × VETC Growth Platform — Operations</vt:lpwstr>
  </property>
</Properties>
</file>