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07 October 2026</w:t>
      </w:r>
    </w:p>
    <w:p>
      <w:r>
        <w:t>The Board of Management</w:t>
      </w:r>
      <w:r>
        <w:br/>
      </w:r>
      <w:r>
        <w:t>TASCO Insurance</w:t>
      </w:r>
      <w:r>
        <w:br/>
      </w:r>
      <w:r>
        <w:t>Hà Nội, Việt Nam</w:t>
      </w:r>
    </w:p>
    <w:p>
      <w:pPr>
        <w:spacing w:before="120" w:after="200"/>
      </w:pPr>
      <w:r>
        <w:rPr>
          <w:b/>
          <w:color w:val="213368"/>
        </w:rPr>
        <w:t>Subject: Proposal for the TASCO Motor Insurance Growth Platform (reference ITN-TASCO-2026-001)</w:t>
      </w:r>
    </w:p>
    <w:p>
      <w:r>
        <w:t>Dear Members of the Board,</w:t>
      </w:r>
    </w:p>
    <w:p>
      <w:r>
        <w:t>Thank you for the opportunity to respond to TASCO Insurance's challenge on motor insurance growth through VETC. We are pleased to submit our proposal.</w:t>
      </w:r>
    </w:p>
    <w:p>
      <w:r>
        <w:t>The brief describes an unusual situation. TASCO and VETC reach around six million drivers, most of whom use the VETC app regularly, and every one of them needs compulsory motor insurance. Yet very few of these drivers buy or renew through TASCO's own channels. We have studied the reasons behind this closely. We believe they come down to four things that must be solved together: TASCO does not know when most drivers need to renew; drivers do not trust insurance sales calls; price cannot be the reason to choose TASCO, because premiums are regulated and discounts are not permitted; and the VETC app cannot yet complete a sale.</w:t>
      </w:r>
    </w:p>
    <w:p>
      <w:r>
        <w:t>Our proposal answers all four. The platform builds a reliable record for every vehicle and improves it with every interaction. It reaches drivers through the VETC app, Zalo and an AI voice assistant that identifies itself and asks the driver to confirm their licence plate before anything else. It lets the customer confirm and pay in the VETC app in a single step. Throughout, TASCO's core system remains the authority for products, rating and policy issuance. The offer is built on service rather than price: roadside assistance, an e-certificate that can be verified by QR code, timely reminders and a faster start to claims. The platform covers new business as well as renewals, and it works with TASCO's partners rather than competing with them.</w:t>
      </w:r>
    </w:p>
    <w:p>
      <w:r>
        <w:t xml:space="preserve">What sets this proposal apart is that the platform is not a concept. It is built and running today, and your team is welcome to use it before making any decision. This is why we can offer a </w:t>
      </w:r>
      <w:r>
        <w:rPr>
          <w:b/>
        </w:rPr>
        <w:t>fixed-price MVP of USD 94,800, within your budget of USD 100,000</w:t>
      </w:r>
      <w:r>
        <w:t>, with a pilot live in 13 weeks and before Tết. We recommend a pilot of 50,000 to 100,000 vehicles with a control group, so that the decision to scale rests on measured results.</w:t>
      </w:r>
    </w:p>
    <w:p>
      <w:r>
        <w:t>The enclosed proposal sets out our understanding, the solution, the integration with your core system, the architecture and security, our delivery plan, and the commercial terms. It is accompanied by the full specification and delivery document set and by access to the working platform.</w:t>
      </w:r>
    </w:p>
    <w:p>
      <w:r>
        <w:t>We would welcome the chance to walk your team through the platform and to answer any questions. Please contact me directly at the details below.</w:t>
      </w:r>
    </w:p>
    <w:p>
      <w:r>
        <w:t>Yours sincerely,</w:t>
      </w:r>
    </w:p>
    <w:p/>
    <w:p>
      <w:r>
        <w:rPr>
          <w:b/>
        </w:rPr>
        <w:t>[Name]</w:t>
      </w:r>
      <w:r>
        <w:br/>
      </w:r>
      <w:r>
        <w:t>[Title], iorta TechNXT</w:t>
      </w:r>
      <w:r>
        <w:br/>
      </w:r>
      <w:r>
        <w:t>[Email] · [Phone]</w:t>
      </w:r>
      <w:r>
        <w:br/>
      </w:r>
      <w:r>
        <w:t>www.iortatechnxt.com</w:t>
      </w:r>
    </w:p>
    <w:p>
      <w:pPr>
        <w:spacing w:before="280"/>
      </w:pPr>
      <w:r>
        <w:rPr>
          <w:b/>
          <w:sz w:val="19"/>
        </w:rPr>
        <w:t>Enclosures:</w:t>
      </w:r>
      <w:r>
        <w:rPr>
          <w:sz w:val="19"/>
        </w:rPr>
        <w:t xml:space="preserve"> (1) Proposal for the TASCO Motor Insurance Growth Platform; (2) Supporting document set (66 documents, Word and PDF); (3) Access details for the working platform (provided separately).</w:t>
      </w:r>
    </w:p>
    <w:sectPr w:rsidR="00FC693F" w:rsidRPr="0006063C" w:rsidSect="00034616">
      <w:headerReference w:type="default" r:id="rId9"/>
      <w:footerReference w:type="default" r:id="rId10"/>
      <w:pgSz w:w="11906" w:h="16838"/>
      <w:pgMar w:top="794" w:right="1304" w:bottom="1020" w:left="1304" w:header="51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590"/>
        <w:sz w:val="16"/>
      </w:rPr>
      <w:t>iorta TechNXT · Commercial in confidence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649"/>
      <w:gridCol w:w="4649"/>
    </w:tblGrid>
    <w:tr>
      <w:tc>
        <w:tcPr>
          <w:tcW w:type="dxa" w:w="4649"/>
        </w:tcPr>
        <w:p>
          <w:r>
            <w:drawing>
              <wp:inline xmlns:a="http://schemas.openxmlformats.org/drawingml/2006/main" xmlns:pic="http://schemas.openxmlformats.org/drawingml/2006/picture">
                <wp:extent cx="1569481" cy="468000"/>
                <wp:docPr id="1" name="Picture 1"/>
                <wp:cNvGraphicFramePr>
                  <a:graphicFrameLocks noChangeAspect="1"/>
                </wp:cNvGraphicFramePr>
                <a:graphic>
                  <a:graphicData uri="http://schemas.openxmlformats.org/drawingml/2006/picture">
                    <pic:pic>
                      <pic:nvPicPr>
                        <pic:cNvPr id="0" name="iorta-technxt-logo-tight.png"/>
                        <pic:cNvPicPr/>
                      </pic:nvPicPr>
                      <pic:blipFill>
                        <a:blip r:embed="rId1"/>
                        <a:stretch>
                          <a:fillRect/>
                        </a:stretch>
                      </pic:blipFill>
                      <pic:spPr>
                        <a:xfrm>
                          <a:off x="0" y="0"/>
                          <a:ext cx="1569481" cy="468000"/>
                        </a:xfrm>
                        <a:prstGeom prst="rect"/>
                      </pic:spPr>
                    </pic:pic>
                  </a:graphicData>
                </a:graphic>
              </wp:inline>
            </w:drawing>
          </w:r>
        </w:p>
      </w:tc>
      <w:tc>
        <w:tcPr>
          <w:tcW w:type="dxa" w:w="4649"/>
        </w:tcPr>
        <w:p>
          <w:pPr>
            <w:jc w:val="right"/>
          </w:pPr>
          <w:r>
            <w:rPr>
              <w:color w:val="6B7590"/>
              <w:sz w:val="17"/>
            </w:rPr>
            <w:t>iorta TechNXT</w:t>
            <w:br/>
            <w:t>www.iortatechnxt.com</w:t>
          </w:r>
        </w:p>
      </w:tc>
    </w:tr>
  </w:tbl>
  <w:p>
    <w:pPr>
      <w:pStyle w:val="Header"/>
      <w:pBdr>
        <w:bottom w:val="single" w:sz="12" w:space="1" w:color="70CAC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B23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