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Quality Engineering — TASCO Growth Platform</w:t>
      </w:r>
    </w:p>
    <w:p>
      <w:pPr>
        <w:pStyle w:val="Subtitle"/>
      </w:pPr>
      <w:r>
        <w:t xml:space="preserve">TASCO Insurance × VETC Growth Platform — Quality Engineering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Quality Engineering index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QA Lead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t xml:space="preserve">Quality engineering documentation for the TASCO Insurance × VETC motor insurance growth platform (built by iorta TechNXT).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Purpose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Primary audience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hyperlink r:id="rId20">
              <w:r>
                <w:rPr>
                  <w:rStyle w:val="Hyperlink"/>
                </w:rPr>
                <w:t xml:space="preserve">Test Strategy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Scope, test levels and types (unit, integration, API/contract, functional acceptance, SIT, UAT, NFT, security, resilience, DR, accessibility, localisation, compliance, data quality, migration), automation and CI gates, environments, test data, entry/exit criteria, defect severity, metrics, roles and current execution results.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Appendix A is the known issues register (KI-01 – KI-33)</w:t>
            </w:r>
            <w:r>
              <w:rPr>
                <w:sz w:val="18"/>
              </w:rPr>
              <w:t xml:space="preserve">: 17 fixed, 16 open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QA, engineering, TASCO IT, SteerCo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hyperlink r:id="rId21">
              <w:r>
                <w:rPr>
                  <w:rStyle w:val="Hyperlink"/>
                </w:rPr>
                <w:t xml:space="preserve">Test Case Catalogue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164 test cases (TC-001 – TC-164) by module, with objective, preconditions, steps, expected result, type, priority and automation file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QA, developers, testers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hyperlink r:id="rId22">
              <w:r>
                <w:rPr>
                  <w:rStyle w:val="Hyperlink"/>
                </w:rPr>
                <w:t xml:space="preserve">Performance and Capacity Test Plan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Workload model for a 6 M-vehicle base, scenarios PERF-S1 – S13, SLO targets, tooling (</w:t>
            </w:r>
            <w:r>
              <w:rPr>
                <w:rStyle w:val="VerbatimChar"/>
                <w:sz w:val="18"/>
              </w:rPr>
              <w:t xml:space="preserve">npm run test:perf</w:t>
            </w:r>
            <w:r>
              <w:rPr>
                <w:sz w:val="18"/>
              </w:rPr>
              <w:t xml:space="preserve">), environment sizing, pass/fail criteria, capacity model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Performance engineer, SRE, TASCO infrastructure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hyperlink r:id="rId23">
              <w:r>
                <w:rPr>
                  <w:rStyle w:val="Hyperlink"/>
                </w:rPr>
                <w:t xml:space="preserve">UAT Plan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UAT approach, 48 business scenarios by persona, reference data, entry/exit criteria, triage, sign-off sheet, schedule (11–22 January 2027)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TASCO business, VETC CX, Compliance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TASCO-Test-Cases-and-Results.xlsx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Record of execution: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Functional Test Cases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(124 user-story scenarios),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Test Cases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(TC-001 – TC-164 with actual results),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Automated Run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(one row per automated test) and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Summary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QA, PMO, TASCO IT</w:t>
            </w:r>
          </w:p>
        </w:tc>
      </w:tr>
    </w:tbl>
    <w:bookmarkStart w:id="24" w:name="current-results-07-october-2026"/>
    <w:p>
      <w:pPr>
        <w:pStyle w:val="Heading2"/>
      </w:pPr>
      <w:r>
        <w:t xml:space="preserve">Current results (07 October 2026)</w:t>
      </w:r>
    </w:p>
    <w:p>
      <w:pPr>
        <w:pStyle w:val="FirstParagraph"/>
      </w:pPr>
      <w:r>
        <w:t xml:space="preserve">238 automated tests: 235 passed, 0 failed, 3 todo (manual or roadmap scenarios). Coverage 99.5 % lines, 91.6 % branches, 97.2 % functions. ESLint 0 errors. Load smoke (1 process, 25 concurrent): ≈ 337 req/s, p95 ≈ 103 ms, 0 % errors. Details are in the Test Strategy §10 and the results workbook.</w:t>
      </w:r>
    </w:p>
    <w:bookmarkEnd w:id="24"/>
    <w:bookmarkStart w:id="25" w:name="quick-reference--test-commands"/>
    <w:p>
      <w:pPr>
        <w:pStyle w:val="Heading2"/>
      </w:pPr>
      <w:r>
        <w:t xml:space="preserve">Quick reference — test commands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Command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What it runs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lint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ESLint over the repository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test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Unit, integration, API, security and functional suites (</w:t>
            </w:r>
            <w:r>
              <w:rPr>
                <w:rStyle w:val="VerbatimChar"/>
                <w:sz w:val="18"/>
              </w:rPr>
              <w:t xml:space="preserve">test/unit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test/integration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test/api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test/security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test/functional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test:unit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test:api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test:functional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One layer only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test:coverage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Same suites with the coverage gate: lines ≥ 80 %, functions ≥ 80 %, branches ≥ 70 %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test:security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Abuse-case suite (</w:t>
            </w:r>
            <w:r>
              <w:rPr>
                <w:rStyle w:val="VerbatimChar"/>
                <w:sz w:val="18"/>
              </w:rPr>
              <w:t xml:space="preserve">test/security</w:t>
            </w:r>
            <w:r>
              <w:rPr>
                <w:sz w:val="18"/>
              </w:rPr>
              <w:t xml:space="preserve">) and the functional suite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test:pg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PostgreSQL adapter, migrations, encryption at rest, SQL injection resistance, audit immutability, outbox claims (</w:t>
            </w:r>
            <w:r>
              <w:rPr>
                <w:rStyle w:val="VerbatimChar"/>
                <w:sz w:val="18"/>
              </w:rPr>
              <w:t xml:space="preserve">test/pg/postgres.test.js</w:t>
            </w:r>
            <w:r>
              <w:rPr>
                <w:sz w:val="18"/>
              </w:rPr>
              <w:t xml:space="preserve">; needs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TEST_DATABASE_URL</w:t>
            </w:r>
            <w:r>
              <w:rPr>
                <w:sz w:val="18"/>
              </w:rPr>
              <w:t xml:space="preserve">, default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postgres://postgres:postgres@localhost:5432/tasco_test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test:perf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HTTP load generator (</w:t>
            </w:r>
            <w:r>
              <w:rPr>
                <w:rStyle w:val="VerbatimChar"/>
                <w:sz w:val="18"/>
              </w:rPr>
              <w:t xml:space="preserve">test/perf/load.js</w:t>
            </w:r>
            <w:r>
              <w:rPr>
                <w:sz w:val="18"/>
              </w:rPr>
              <w:t xml:space="preserve">) reporting p50/p95/p99 and RPS; fails above the p95 budget (300 ms) or 1 % errors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run audit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npm audit --omit=dev --audit-level=high</w:t>
            </w:r>
          </w:p>
        </w:tc>
      </w:tr>
    </w:tbl>
    <w:bookmarkEnd w:id="25"/>
    <w:bookmarkStart w:id="30" w:name="X52b9c5bb3d81d213e7fbbf76a7aced22d4dd34f"/>
    <w:p>
      <w:pPr>
        <w:pStyle w:val="Heading2"/>
      </w:pPr>
      <w:r>
        <w:t xml:space="preserve">ID conventions used across quality and operations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Prefix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Meaning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Defined in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TC-nnn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 case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 Case Catalogue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US-nnn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User-story scenario (functional suite)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User Stories and Acceptance Criteria; results workbook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KI-nn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Known issue from code review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 Strategy, Appendix A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PERF-Sn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Performance scenario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Performance and Capacity Test Plan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UAT-XX-nn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UAT business scenario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UAT Plan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Runbook incident procedure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6">
              <w:r>
                <w:rPr>
                  <w:rStyle w:val="Hyperlink"/>
                </w:rPr>
                <w:t xml:space="preserve">Runbook and Support Guide</w:t>
              </w:r>
            </w:hyperlink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SOP-nn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Standard operating procedure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Runbook and Support Guide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ALR-nn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Alert rule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7">
              <w:r>
                <w:rPr>
                  <w:rStyle w:val="Hyperlink"/>
                </w:rPr>
                <w:t xml:space="preserve">Monitoring and Alerting</w:t>
              </w:r>
            </w:hyperlink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PRC-xxx-nn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Production readiness check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8">
              <w:r>
                <w:rPr>
                  <w:rStyle w:val="Hyperlink"/>
                </w:rPr>
                <w:t xml:space="preserve">Production Readiness Checklist</w:t>
              </w:r>
            </w:hyperlink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DR-Tn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DR test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9">
              <w:r>
                <w:rPr>
                  <w:rStyle w:val="Hyperlink"/>
                </w:rPr>
                <w:t xml:space="preserve">DR and BCP</w:t>
              </w:r>
            </w:hyperlink>
          </w:p>
        </w:tc>
      </w:tr>
    </w:tbl>
    <w:bookmarkEnd w:id="30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9" Type="http://schemas.openxmlformats.org/officeDocument/2006/relationships/hyperlink" Target="../operations/dr-bcp.pdf" TargetMode="External"/><Relationship Id="rId27" Type="http://schemas.openxmlformats.org/officeDocument/2006/relationships/hyperlink" Target="../operations/monitoring-and-alerting.pdf" TargetMode="External"/><Relationship Id="rId28" Type="http://schemas.openxmlformats.org/officeDocument/2006/relationships/hyperlink" Target="../operations/production-readiness-checklist.pdf" TargetMode="External"/><Relationship Id="rId26" Type="http://schemas.openxmlformats.org/officeDocument/2006/relationships/hyperlink" Target="../operations/runbook-and-support-guide.pdf" TargetMode="External"/><Relationship Id="rId22" Type="http://schemas.openxmlformats.org/officeDocument/2006/relationships/hyperlink" Target="performance-and-capacity-test-plan.pdf" TargetMode="External"/><Relationship Id="rId21" Type="http://schemas.openxmlformats.org/officeDocument/2006/relationships/hyperlink" Target="test-case-catalogue.pdf" TargetMode="External"/><Relationship Id="rId20" Type="http://schemas.openxmlformats.org/officeDocument/2006/relationships/hyperlink" Target="test-strategy.pdf" TargetMode="External"/><Relationship Id="rId23" Type="http://schemas.openxmlformats.org/officeDocument/2006/relationships/hyperlink" Target="uat-plan.pdf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../operations/dr-bcp.pdf" TargetMode="External"/><Relationship Id="rId27" Type="http://schemas.openxmlformats.org/officeDocument/2006/relationships/hyperlink" Target="../operations/monitoring-and-alerting.pdf" TargetMode="External"/><Relationship Id="rId28" Type="http://schemas.openxmlformats.org/officeDocument/2006/relationships/hyperlink" Target="../operations/production-readiness-checklist.pdf" TargetMode="External"/><Relationship Id="rId26" Type="http://schemas.openxmlformats.org/officeDocument/2006/relationships/hyperlink" Target="../operations/runbook-and-support-guide.pdf" TargetMode="External"/><Relationship Id="rId22" Type="http://schemas.openxmlformats.org/officeDocument/2006/relationships/hyperlink" Target="performance-and-capacity-test-plan.pdf" TargetMode="External"/><Relationship Id="rId21" Type="http://schemas.openxmlformats.org/officeDocument/2006/relationships/hyperlink" Target="test-case-catalogue.pdf" TargetMode="External"/><Relationship Id="rId20" Type="http://schemas.openxmlformats.org/officeDocument/2006/relationships/hyperlink" Target="test-strategy.pdf" TargetMode="External"/><Relationship Id="rId23" Type="http://schemas.openxmlformats.org/officeDocument/2006/relationships/hyperlink" Target="uat-pla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Engineering — TASCO Growth Platform</dc:title>
  <dc:creator>iorta TechNXT</dc:creator>
  <cp:keywords/>
  <dcterms:created xsi:type="dcterms:W3CDTF">2026-10-07T22:36:24Z</dcterms:created>
  <dcterms:modified xsi:type="dcterms:W3CDTF">2026-10-07T22:36:24Z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Quality Engineering</vt:lpwstr>
  </property>
</Properties>
</file>