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Usability Testing Plan</w:t>
      </w:r>
    </w:p>
    <w:p>
      <w:pPr>
        <w:pStyle w:val="Subtitle"/>
      </w:pPr>
      <w:r>
        <w:t xml:space="preserve">TASCO Insurance × VETC Growth Platform — User Experience</w:t>
      </w:r>
    </w:p>
    <w:p>
      <w:pPr>
        <w:pStyle w:val="Author"/>
      </w:pPr>
      <w:r>
        <w:t xml:space="preserve">iorta TechNXT</w:t>
      </w:r>
    </w:p>
    <w:p>
      <w:pPr>
        <w:pStyle w:val="Date"/>
      </w:pPr>
      <w:r>
        <w:t xml:space="preserve">Version 1.0 · 07 October 2026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  <w:tblHeader w:val="true"/>
        </w:trPr>
        <w:tc>
          <w:tcPr>
            <w:shd w:val="clear" w:color="auto" w:fill="213368"/>
          </w:tcPr>
          <w:p>
            <w:pPr>
              <w:pStyle w:val="Compact"/>
              <w:spacing w:before="20" w:after="20"/>
              <w:jc w:val="left"/>
            </w:pPr>
            <w:r>
              <w:rPr>
                <w:b/>
                <w:color w:val="FFFFFF"/>
                <w:sz w:val="17"/>
              </w:rPr>
              <w:t xml:space="preserve">Document</w:t>
            </w:r>
          </w:p>
        </w:tc>
        <w:tc>
          <w:tcPr>
            <w:shd w:val="clear" w:color="auto" w:fill="213368"/>
          </w:tcPr>
          <w:p>
            <w:pPr>
              <w:pStyle w:val="Compact"/>
              <w:spacing w:before="20" w:after="20"/>
              <w:jc w:val="left"/>
            </w:pPr>
            <w:r>
              <w:rPr>
                <w:b/>
                <w:color w:val="FFFFFF"/>
                <w:sz w:val="17"/>
              </w:rPr>
              <w:t xml:space="preserve">Version</w:t>
            </w:r>
          </w:p>
        </w:tc>
        <w:tc>
          <w:tcPr>
            <w:shd w:val="clear" w:color="auto" w:fill="213368"/>
          </w:tcPr>
          <w:p>
            <w:pPr>
              <w:pStyle w:val="Compact"/>
              <w:spacing w:before="20" w:after="20"/>
              <w:jc w:val="left"/>
            </w:pPr>
            <w:r>
              <w:rPr>
                <w:b/>
                <w:color w:val="FFFFFF"/>
                <w:sz w:val="17"/>
              </w:rPr>
              <w:t xml:space="preserve">Date</w:t>
            </w:r>
          </w:p>
        </w:tc>
        <w:tc>
          <w:tcPr>
            <w:shd w:val="clear" w:color="auto" w:fill="213368"/>
          </w:tcPr>
          <w:p>
            <w:pPr>
              <w:pStyle w:val="Compact"/>
              <w:spacing w:before="20" w:after="20"/>
              <w:jc w:val="left"/>
            </w:pPr>
            <w:r>
              <w:rPr>
                <w:b/>
                <w:color w:val="FFFFFF"/>
                <w:sz w:val="17"/>
              </w:rPr>
              <w:t xml:space="preserve">Owner</w:t>
            </w:r>
          </w:p>
        </w:tc>
        <w:tc>
          <w:tcPr>
            <w:shd w:val="clear" w:color="auto" w:fill="213368"/>
          </w:tcPr>
          <w:p>
            <w:pPr>
              <w:pStyle w:val="Compact"/>
              <w:spacing w:before="20" w:after="20"/>
              <w:jc w:val="left"/>
            </w:pPr>
            <w:r>
              <w:rPr>
                <w:b/>
                <w:color w:val="FFFFFF"/>
                <w:sz w:val="17"/>
              </w:rPr>
              <w:t xml:space="preserve">Status</w:t>
            </w:r>
          </w:p>
        </w:tc>
      </w:tr>
      <w:tr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7"/>
              </w:rPr>
              <w:t xml:space="preserve">Usability Testing Plan</w:t>
            </w:r>
          </w:p>
        </w:tc>
        <w:tc>
          <w:tcPr>
            <w:noWrap/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7"/>
              </w:rPr>
              <w:t xml:space="preserve">1.0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7"/>
              </w:rPr>
              <w:t xml:space="preserve">07 October 2026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7"/>
              </w:rPr>
              <w:t xml:space="preserve">iorta TechNXT — UX Lead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7"/>
              </w:rPr>
              <w:t xml:space="preserve">Issued for submission</w:t>
            </w:r>
          </w:p>
        </w:tc>
      </w:tr>
    </w:tbl>
    <w:p>
      <w:pPr>
        <w:pStyle w:val="BodyText"/>
      </w:pPr>
      <w:r>
        <w:rPr>
          <w:bCs/>
          <w:b/>
        </w:rPr>
        <w:t xml:space="preserve">Purpose:</w:t>
      </w:r>
      <w:r>
        <w:t xml:space="preserve"> </w:t>
      </w:r>
      <w:r>
        <w:t xml:space="preserve">prove, with real users, that the v1 UI meets its usability goals before the pilot, and keep improving it during the pilot. The goals are renewal in ≤ 3 taps, agents moving from claim to outcome in ≤ 6 clicks, rule changes without IT help, and a trustworthy experience for customers who are wary of insurance calls.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  <w:tblHeader w:val="true"/>
        </w:trPr>
        <w:tc>
          <w:tcPr>
            <w:shd w:val="clear" w:color="auto" w:fill="213368"/>
          </w:tcPr>
          <w:p>
            <w:pPr>
              <w:pStyle w:val="Compact"/>
              <w:spacing w:before="20" w:after="20"/>
              <w:jc w:val="left"/>
            </w:pPr>
            <w:r>
              <w:rPr>
                <w:b/>
                <w:color w:val="FFFFFF"/>
                <w:sz w:val="18"/>
              </w:rPr>
              <w:t xml:space="preserve">Item</w:t>
            </w:r>
          </w:p>
        </w:tc>
        <w:tc>
          <w:tcPr>
            <w:shd w:val="clear" w:color="auto" w:fill="213368"/>
          </w:tcPr>
          <w:p>
            <w:pPr>
              <w:pStyle w:val="Compact"/>
              <w:spacing w:before="20" w:after="20"/>
              <w:jc w:val="left"/>
            </w:pPr>
            <w:r>
              <w:rPr>
                <w:b/>
                <w:color w:val="FFFFFF"/>
                <w:sz w:val="18"/>
              </w:rPr>
              <w:t xml:space="preserve">Value</w:t>
            </w:r>
          </w:p>
        </w:tc>
      </w:tr>
      <w:tr>
        <w:tc>
          <w:tcPr>
            <w:noWrap/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Owner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iorta TechNXT UX Lead</w:t>
            </w:r>
          </w:p>
        </w:tc>
      </w:tr>
      <w:tr>
        <w:tc>
          <w:tcPr>
            <w:noWrap/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Co-owners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TASCO Product Owner, VETC Product (customer app), VETC call-centre manager (agents)</w:t>
            </w:r>
          </w:p>
        </w:tc>
      </w:tr>
      <w:tr>
        <w:tc>
          <w:tcPr>
            <w:noWrap/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Rounds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R0 prototype (Discovery wk 2) · R1 MVP (Sprint 3) · R2 release candidate (UAT wk T2) · R3 pilot in-field (pilot wk 2–3)</w:t>
            </w:r>
          </w:p>
        </w:tc>
      </w:tr>
      <w:tr>
        <w:tc>
          <w:tcPr>
            <w:noWrap/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Locations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Hà Nội and TP. Hồ Chí Minh (VETC/TASCO offices, call-centre floors, and customer intercepts at VETC service points and inspection centres), plus remote sessions</w:t>
            </w:r>
          </w:p>
        </w:tc>
      </w:tr>
      <w:tr>
        <w:tc>
          <w:tcPr>
            <w:noWrap/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Environment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SANDBOX or hosted UAT with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DEMO_MODE=true</w:t>
            </w:r>
            <w:r>
              <w:rPr>
                <w:sz w:val="18"/>
              </w:rPr>
              <w:t xml:space="preserve">, synthetic data and seeded demo users (credentials from the access workbook); customer app via the demo picker or signed links on test phones</w:t>
            </w:r>
          </w:p>
        </w:tc>
      </w:tr>
    </w:tbl>
    <w:p>
      <w:r>
        <w:pict>
          <v:rect style="width:0;height:1.5pt" o:hralign="center" o:hrstd="t" o:hr="t"/>
        </w:pict>
      </w:r>
    </w:p>
    <w:bookmarkStart w:id="20" w:name="X1145c84fd3e018c7221371f6b140765e548bfce"/>
    <w:p>
      <w:pPr>
        <w:pStyle w:val="Heading2"/>
      </w:pPr>
      <w:r>
        <w:t xml:space="preserve">1. Research questions</w:t>
      </w:r>
    </w:p>
    <w:p>
      <w:pPr>
        <w:numPr>
          <w:ilvl w:val="0"/>
          <w:numId w:val="1001"/>
        </w:numPr>
        <w:pStyle w:val="Compact"/>
      </w:pPr>
      <w:r>
        <w:t xml:space="preserve">Can customers renew from a reminder in ≤ 3 taps without help, and do they trust it?</w:t>
      </w:r>
    </w:p>
    <w:p>
      <w:pPr>
        <w:numPr>
          <w:ilvl w:val="0"/>
          <w:numId w:val="1001"/>
        </w:numPr>
        <w:pStyle w:val="Compact"/>
      </w:pPr>
      <w:r>
        <w:t xml:space="preserve">Do customers understand the cover status card (expiry, "estimated" vs "verified") and are they willing to confirm or correct their expiry?</w:t>
      </w:r>
    </w:p>
    <w:p>
      <w:pPr>
        <w:numPr>
          <w:ilvl w:val="0"/>
          <w:numId w:val="1001"/>
        </w:numPr>
        <w:pStyle w:val="Compact"/>
      </w:pPr>
      <w:r>
        <w:t xml:space="preserve">Do customers understand benefits without any discount framing, and do the benefits influence their choice?</w:t>
      </w:r>
    </w:p>
    <w:p>
      <w:pPr>
        <w:numPr>
          <w:ilvl w:val="0"/>
          <w:numId w:val="1001"/>
        </w:numPr>
        <w:pStyle w:val="Compact"/>
      </w:pPr>
      <w:r>
        <w:t xml:space="preserve">Can telesales agents claim, call, quote, send the quote to the customer's app and record outcomes quickly? Do they use the talking points?</w:t>
      </w:r>
    </w:p>
    <w:p>
      <w:pPr>
        <w:numPr>
          <w:ilvl w:val="0"/>
          <w:numId w:val="1001"/>
        </w:numPr>
        <w:pStyle w:val="Compact"/>
      </w:pPr>
      <w:r>
        <w:t xml:space="preserve">Do agents and supervisors understand the explainable score and the next best action, and do they trust them?</w:t>
      </w:r>
    </w:p>
    <w:p>
      <w:pPr>
        <w:numPr>
          <w:ilvl w:val="0"/>
          <w:numId w:val="1001"/>
        </w:numPr>
        <w:pStyle w:val="Compact"/>
      </w:pPr>
      <w:r>
        <w:t xml:space="preserve">Can rule authors draft, validate and simulate a change, and can approvers review it confidently?</w:t>
      </w:r>
    </w:p>
    <w:p>
      <w:pPr>
        <w:numPr>
          <w:ilvl w:val="0"/>
          <w:numId w:val="1001"/>
        </w:numPr>
        <w:pStyle w:val="Compact"/>
      </w:pPr>
      <w:r>
        <w:t xml:space="preserve">Can compliance find audit evidence and execute a DSAR without guidance?</w:t>
      </w:r>
    </w:p>
    <w:p>
      <w:pPr>
        <w:numPr>
          <w:ilvl w:val="0"/>
          <w:numId w:val="1001"/>
        </w:numPr>
        <w:pStyle w:val="Compact"/>
      </w:pPr>
      <w:r>
        <w:t xml:space="preserve">Are the staff console and customer app accessible to users with low vision or who rely on a keyboard or screen reader?</w:t>
      </w:r>
    </w:p>
    <w:p>
      <w:r>
        <w:pict>
          <v:rect style="width:0;height:1.5pt" o:hralign="center" o:hrstd="t" o:hr="t"/>
        </w:pict>
      </w:r>
    </w:p>
    <w:bookmarkEnd w:id="20"/>
    <w:bookmarkStart w:id="21" w:name="X13a0e8c10c405dd53d0e570bcbfcb0c8de7ee9e"/>
    <w:p>
      <w:pPr>
        <w:pStyle w:val="Heading2"/>
      </w:pPr>
      <w:r>
        <w:t xml:space="preserve">2. Methods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  <w:tblHeader w:val="true"/>
        </w:trPr>
        <w:tc>
          <w:tcPr>
            <w:shd w:val="clear" w:color="auto" w:fill="213368"/>
          </w:tcPr>
          <w:p>
            <w:pPr>
              <w:pStyle w:val="Compact"/>
              <w:spacing w:before="20" w:after="20"/>
              <w:jc w:val="left"/>
            </w:pPr>
            <w:r>
              <w:rPr>
                <w:b/>
                <w:color w:val="FFFFFF"/>
                <w:sz w:val="18"/>
              </w:rPr>
              <w:t xml:space="preserve">Method</w:t>
            </w:r>
          </w:p>
        </w:tc>
        <w:tc>
          <w:tcPr>
            <w:shd w:val="clear" w:color="auto" w:fill="213368"/>
          </w:tcPr>
          <w:p>
            <w:pPr>
              <w:pStyle w:val="Compact"/>
              <w:spacing w:before="20" w:after="20"/>
              <w:jc w:val="left"/>
            </w:pPr>
            <w:r>
              <w:rPr>
                <w:b/>
                <w:color w:val="FFFFFF"/>
                <w:sz w:val="18"/>
              </w:rPr>
              <w:t xml:space="preserve">Rounds</w:t>
            </w:r>
          </w:p>
        </w:tc>
        <w:tc>
          <w:tcPr>
            <w:shd w:val="clear" w:color="auto" w:fill="213368"/>
          </w:tcPr>
          <w:p>
            <w:pPr>
              <w:pStyle w:val="Compact"/>
              <w:spacing w:before="20" w:after="20"/>
              <w:jc w:val="left"/>
            </w:pPr>
            <w:r>
              <w:rPr>
                <w:b/>
                <w:color w:val="FFFFFF"/>
                <w:sz w:val="18"/>
              </w:rPr>
              <w:t xml:space="preserve">Participants</w:t>
            </w:r>
          </w:p>
        </w:tc>
        <w:tc>
          <w:tcPr>
            <w:shd w:val="clear" w:color="auto" w:fill="213368"/>
          </w:tcPr>
          <w:p>
            <w:pPr>
              <w:pStyle w:val="Compact"/>
              <w:spacing w:before="20" w:after="20"/>
              <w:jc w:val="left"/>
            </w:pPr>
            <w:r>
              <w:rPr>
                <w:b/>
                <w:color w:val="FFFFFF"/>
                <w:sz w:val="18"/>
              </w:rPr>
              <w:t xml:space="preserve">What we learn</w:t>
            </w:r>
          </w:p>
        </w:tc>
      </w:tr>
      <w:tr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bCs/>
                <w:b/>
                <w:sz w:val="18"/>
              </w:rPr>
              <w:t xml:space="preserve">Moderated task-based tests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(think-aloud, 45–60 min)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R0–R2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Customers, agents, supervisors, campaign, authors/approvers, compliance, stewards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Task success, errors, time on task, comprehension, trust</w:t>
            </w:r>
          </w:p>
        </w:tc>
      </w:tr>
      <w:tr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bCs/>
                <w:b/>
                <w:sz w:val="18"/>
              </w:rPr>
              <w:t xml:space="preserve">System Usability Scale (SUS)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R1–R3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All moderated participants + pilot users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Comparable usability score per role</w:t>
            </w:r>
          </w:p>
        </w:tc>
      </w:tr>
      <w:tr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bCs/>
                <w:b/>
                <w:sz w:val="18"/>
              </w:rPr>
              <w:t xml:space="preserve">Single Ease Question (SEQ)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after each task (1–7)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R1–R2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All moderated participants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Perceived difficulty per task</w:t>
            </w:r>
          </w:p>
        </w:tc>
      </w:tr>
      <w:tr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bCs/>
                <w:b/>
                <w:sz w:val="18"/>
              </w:rPr>
              <w:t xml:space="preserve">First-click testing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(remote, unmoderated)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R0–R1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40+ customers, 20+ staff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Navigation and label clarity</w:t>
            </w:r>
          </w:p>
        </w:tc>
      </w:tr>
      <w:tr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bCs/>
                <w:b/>
                <w:sz w:val="18"/>
              </w:rPr>
              <w:t xml:space="preserve">Tree testing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of the staff console IA</w:t>
            </w:r>
          </w:p>
        </w:tc>
        <w:tc>
          <w:tcPr>
            <w:noWrap/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R0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20 staff across roles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Findability of pages (labels VI/EN)</w:t>
            </w:r>
          </w:p>
        </w:tc>
      </w:tr>
      <w:tr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bCs/>
                <w:b/>
                <w:sz w:val="18"/>
              </w:rPr>
              <w:t xml:space="preserve">Field observation / contextual inquiry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R0, R3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6–8 agents per city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Real call-floor conditions, headsets, multitasking</w:t>
            </w:r>
          </w:p>
        </w:tc>
      </w:tr>
      <w:tr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bCs/>
                <w:b/>
                <w:sz w:val="18"/>
              </w:rPr>
              <w:t xml:space="preserve">Accessibility usability sessions</w:t>
            </w:r>
          </w:p>
        </w:tc>
        <w:tc>
          <w:tcPr>
            <w:noWrap/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R2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3–5 users: low vision, screen-reader user, older drivers (60+)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Real-world accessibility beyond automated checks</w:t>
            </w:r>
          </w:p>
        </w:tc>
      </w:tr>
      <w:tr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bCs/>
                <w:b/>
                <w:sz w:val="18"/>
              </w:rPr>
              <w:t xml:space="preserve">Analytics + in-app feedback</w:t>
            </w:r>
          </w:p>
        </w:tc>
        <w:tc>
          <w:tcPr>
            <w:noWrap/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R3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All pilot users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Taps-to-renew, drop-off per step, help-drawer usage</w:t>
            </w:r>
          </w:p>
        </w:tc>
      </w:tr>
      <w:tr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bCs/>
                <w:b/>
                <w:sz w:val="18"/>
              </w:rPr>
              <w:t xml:space="preserve">A/B test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(pilot)</w:t>
            </w:r>
          </w:p>
        </w:tc>
        <w:tc>
          <w:tcPr>
            <w:noWrap/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R3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Pilot cohort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Variant performance of cover card and benefit framing (copy-guard compliant)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1"/>
    <w:bookmarkStart w:id="22" w:name="Xa24bfe3b5ae914a0c3640f4a3a723cdc772c0ce"/>
    <w:p>
      <w:pPr>
        <w:pStyle w:val="Heading2"/>
      </w:pPr>
      <w:r>
        <w:t xml:space="preserve">3. Recruitment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  <w:tblHeader w:val="true"/>
        </w:trPr>
        <w:tc>
          <w:tcPr>
            <w:shd w:val="clear" w:color="auto" w:fill="213368"/>
          </w:tcPr>
          <w:p>
            <w:pPr>
              <w:pStyle w:val="Compact"/>
              <w:spacing w:before="20" w:after="20"/>
              <w:jc w:val="left"/>
            </w:pPr>
            <w:r>
              <w:rPr>
                <w:b/>
                <w:color w:val="FFFFFF"/>
                <w:sz w:val="17"/>
              </w:rPr>
              <w:t xml:space="preserve">Segment</w:t>
            </w:r>
          </w:p>
        </w:tc>
        <w:tc>
          <w:tcPr>
            <w:shd w:val="clear" w:color="auto" w:fill="213368"/>
          </w:tcPr>
          <w:p>
            <w:pPr>
              <w:pStyle w:val="Compact"/>
              <w:spacing w:before="20" w:after="20"/>
              <w:jc w:val="left"/>
            </w:pPr>
            <w:r>
              <w:rPr>
                <w:b/>
                <w:color w:val="FFFFFF"/>
                <w:sz w:val="17"/>
              </w:rPr>
              <w:t xml:space="preserve"># per city (HN / HCM)</w:t>
            </w:r>
          </w:p>
        </w:tc>
        <w:tc>
          <w:tcPr>
            <w:shd w:val="clear" w:color="auto" w:fill="213368"/>
          </w:tcPr>
          <w:p>
            <w:pPr>
              <w:pStyle w:val="Compact"/>
              <w:spacing w:before="20" w:after="20"/>
              <w:jc w:val="left"/>
            </w:pPr>
            <w:r>
              <w:rPr>
                <w:b/>
                <w:color w:val="FFFFFF"/>
                <w:sz w:val="17"/>
              </w:rPr>
              <w:t xml:space="preserve">Criteria</w:t>
            </w:r>
          </w:p>
        </w:tc>
        <w:tc>
          <w:tcPr>
            <w:shd w:val="clear" w:color="auto" w:fill="213368"/>
          </w:tcPr>
          <w:p>
            <w:pPr>
              <w:pStyle w:val="Compact"/>
              <w:spacing w:before="20" w:after="20"/>
              <w:jc w:val="left"/>
            </w:pPr>
            <w:r>
              <w:rPr>
                <w:b/>
                <w:color w:val="FFFFFF"/>
                <w:sz w:val="17"/>
              </w:rPr>
              <w:t xml:space="preserve">Recruitment channel</w:t>
            </w:r>
          </w:p>
        </w:tc>
        <w:tc>
          <w:tcPr>
            <w:shd w:val="clear" w:color="auto" w:fill="213368"/>
          </w:tcPr>
          <w:p>
            <w:pPr>
              <w:pStyle w:val="Compact"/>
              <w:spacing w:before="20" w:after="20"/>
              <w:jc w:val="left"/>
            </w:pPr>
            <w:r>
              <w:rPr>
                <w:b/>
                <w:color w:val="FFFFFF"/>
                <w:sz w:val="17"/>
              </w:rPr>
              <w:t xml:space="preserve">Incentive</w:t>
            </w:r>
          </w:p>
        </w:tc>
      </w:tr>
      <w:tr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7"/>
              </w:rPr>
              <w:t xml:space="preserve">Customers — VETC app users with car TNDS due in ≤ 90 days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7"/>
              </w:rPr>
              <w:t xml:space="preserve">6 / 6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7"/>
              </w:rPr>
              <w:t xml:space="preserve">Mix of ages (25–40, 40–55, 55+), genders, TASCO and non-TASCO insured, Android and iOS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7"/>
              </w:rPr>
              <w:t xml:space="preserve">VETC in-app invitation (with consent), service-point intercepts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7"/>
              </w:rPr>
              <w:t xml:space="preserve">VETC service voucher (non-cash, not tied to premium; approved by Compliance)</w:t>
            </w:r>
          </w:p>
        </w:tc>
      </w:tr>
      <w:tr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7"/>
              </w:rPr>
              <w:t xml:space="preserve">Customers — lapsed or unknown expiry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7"/>
              </w:rPr>
              <w:t xml:space="preserve">3 / 3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7"/>
              </w:rPr>
              <w:t xml:space="preserve">Expiry unknown or lapsed ≤ 60 days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7"/>
              </w:rPr>
              <w:t xml:space="preserve">VETC data (consented research panel)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7"/>
              </w:rPr>
              <w:t xml:space="preserve">Same</w:t>
            </w:r>
          </w:p>
        </w:tc>
      </w:tr>
      <w:tr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7"/>
              </w:rPr>
              <w:t xml:space="preserve">Customers — fleet / company vehicles (secondary)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7"/>
              </w:rPr>
              <w:t xml:space="preserve">1 / 1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7"/>
              </w:rPr>
              <w:t xml:space="preserve">Company-owned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7"/>
              </w:rPr>
              <w:t xml:space="preserve">B2B team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7"/>
              </w:rPr>
              <w:t xml:space="preserve">Same</w:t>
            </w:r>
          </w:p>
        </w:tc>
      </w:tr>
      <w:tr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7"/>
              </w:rPr>
              <w:t xml:space="preserve">Telesales agents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7"/>
              </w:rPr>
              <w:t xml:space="preserve">5 / 5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7"/>
              </w:rPr>
              <w:t xml:space="preserve">Mix of tenure (&lt; 6 months, &gt; 2 years)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7"/>
              </w:rPr>
              <w:t xml:space="preserve">Call-centre manager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7"/>
              </w:rPr>
              <w:t xml:space="preserve">Time in lieu</w:t>
            </w:r>
          </w:p>
        </w:tc>
      </w:tr>
      <w:tr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7"/>
              </w:rPr>
              <w:t xml:space="preserve">Telesales supervisors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7"/>
              </w:rPr>
              <w:t xml:space="preserve">1 / 1</w:t>
            </w:r>
          </w:p>
        </w:tc>
        <w:tc>
          <w:tcPr/>
          <w:p>
            <w:pPr>
              <w:pStyle w:val="Compact"/>
              <w:spacing w:before="20" w:after="20"/>
            </w:pP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7"/>
              </w:rPr>
              <w:t xml:space="preserve">Call-centre manager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7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7"/>
              </w:rPr>
              <w:t xml:space="preserve">Campaign managers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7"/>
              </w:rPr>
              <w:t xml:space="preserve">2 (either city)</w:t>
            </w:r>
          </w:p>
        </w:tc>
        <w:tc>
          <w:tcPr/>
          <w:p>
            <w:pPr>
              <w:pStyle w:val="Compact"/>
              <w:spacing w:before="20" w:after="20"/>
            </w:pP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7"/>
              </w:rPr>
              <w:t xml:space="preserve">TASCO/VETC marketing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7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7"/>
              </w:rPr>
              <w:t xml:space="preserve">Rule authors / approvers / compliance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7"/>
              </w:rPr>
              <w:t xml:space="preserve">2 / 2 / 2</w:t>
            </w:r>
          </w:p>
        </w:tc>
        <w:tc>
          <w:tcPr/>
          <w:p>
            <w:pPr>
              <w:pStyle w:val="Compact"/>
              <w:spacing w:before="20" w:after="20"/>
            </w:pP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7"/>
              </w:rPr>
              <w:t xml:space="preserve">TASCO product and compliance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7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7"/>
              </w:rPr>
              <w:t xml:space="preserve">Data stewards</w:t>
            </w:r>
          </w:p>
        </w:tc>
        <w:tc>
          <w:tcPr>
            <w:noWrap/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7"/>
              </w:rPr>
              <w:t xml:space="preserve">2</w:t>
            </w:r>
          </w:p>
        </w:tc>
        <w:tc>
          <w:tcPr/>
          <w:p>
            <w:pPr>
              <w:pStyle w:val="Compact"/>
              <w:spacing w:before="20" w:after="20"/>
            </w:pP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7"/>
              </w:rPr>
              <w:t xml:space="preserve">Data team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7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7"/>
              </w:rPr>
              <w:t xml:space="preserve">Claims handlers</w:t>
            </w:r>
          </w:p>
        </w:tc>
        <w:tc>
          <w:tcPr>
            <w:noWrap/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7"/>
              </w:rPr>
              <w:t xml:space="preserve">2</w:t>
            </w:r>
          </w:p>
        </w:tc>
        <w:tc>
          <w:tcPr/>
          <w:p>
            <w:pPr>
              <w:pStyle w:val="Compact"/>
              <w:spacing w:before="20" w:after="20"/>
            </w:pP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7"/>
              </w:rPr>
              <w:t xml:space="preserve">TASCO claims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7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7"/>
              </w:rPr>
              <w:t xml:space="preserve">Accessibility participants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7"/>
              </w:rPr>
              <w:t xml:space="preserve">3–5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7"/>
              </w:rPr>
              <w:t xml:space="preserve">Low vision, screen-reader user, 60+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7"/>
              </w:rPr>
              <w:t xml:space="preserve">Disability organisations, VETC customer panel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7"/>
              </w:rPr>
              <w:t xml:space="preserve">Honorarium</w:t>
            </w:r>
          </w:p>
        </w:tc>
      </w:tr>
    </w:tbl>
    <w:p>
      <w:pPr>
        <w:pStyle w:val="BodyText"/>
      </w:pPr>
      <w:r>
        <w:t xml:space="preserve">Five to six participants per segment per round find most usability problems. Quantitative benchmarks (SUS, time on task) are aggregated across rounds R2 and R3.</w:t>
      </w:r>
    </w:p>
    <w:p>
      <w:pPr>
        <w:pStyle w:val="BodyText"/>
      </w:pPr>
      <w:r>
        <w:rPr>
          <w:bCs/>
          <w:b/>
        </w:rPr>
        <w:t xml:space="preserve">Ethics and privacy:</w:t>
      </w:r>
      <w:r>
        <w:t xml:space="preserve"> </w:t>
      </w:r>
      <w:r>
        <w:t xml:space="preserve">informed consent (Vietnamese) covering recording and data use. Sessions use</w:t>
      </w:r>
      <w:r>
        <w:t xml:space="preserve"> </w:t>
      </w:r>
      <w:r>
        <w:rPr>
          <w:bCs/>
          <w:b/>
        </w:rPr>
        <w:t xml:space="preserve">synthetic data only</w:t>
      </w:r>
      <w:r>
        <w:t xml:space="preserve">. Real customer data is never shown in tests. Recordings are stored for 90 days and then deleted. Participants may stop at any time.</w:t>
      </w:r>
    </w:p>
    <w:p>
      <w:r>
        <w:pict>
          <v:rect style="width:0;height:1.5pt" o:hralign="center" o:hrstd="t" o:hr="t"/>
        </w:pict>
      </w:r>
    </w:p>
    <w:bookmarkEnd w:id="22"/>
    <w:bookmarkStart w:id="27" w:name="X6a8515b36fa135b428dd9a618646945f2824ef1"/>
    <w:p>
      <w:pPr>
        <w:pStyle w:val="Heading2"/>
      </w:pPr>
      <w:r>
        <w:t xml:space="preserve">4. Test scripts</w:t>
      </w:r>
    </w:p>
    <w:bookmarkStart w:id="23" w:name="X1c1d498cc53bf4dfc84758146e7d2bfbb4b400f"/>
    <w:p>
      <w:pPr>
        <w:pStyle w:val="Heading3"/>
      </w:pPr>
      <w:r>
        <w:t xml:space="preserve">4.1 Session structure (moderated, 60 min)</w:t>
      </w:r>
    </w:p>
    <w:p>
      <w:pPr>
        <w:numPr>
          <w:ilvl w:val="0"/>
          <w:numId w:val="1002"/>
        </w:numPr>
        <w:pStyle w:val="Compact"/>
      </w:pPr>
      <w:r>
        <w:t xml:space="preserve">Welcome and consent (5 min). "We are testing the product, not you."</w:t>
      </w:r>
    </w:p>
    <w:p>
      <w:pPr>
        <w:numPr>
          <w:ilvl w:val="0"/>
          <w:numId w:val="1002"/>
        </w:numPr>
        <w:pStyle w:val="Compact"/>
      </w:pPr>
      <w:r>
        <w:t xml:space="preserve">Background questions (5 min): current renewal habits, VETC app use, attitudes to insurance calls (customers); current tools and pain points (staff).</w:t>
      </w:r>
    </w:p>
    <w:p>
      <w:pPr>
        <w:numPr>
          <w:ilvl w:val="0"/>
          <w:numId w:val="1002"/>
        </w:numPr>
        <w:pStyle w:val="Compact"/>
      </w:pPr>
      <w:r>
        <w:t xml:space="preserve">Tasks (35–40 min), think-aloud, with SEQ after each task.</w:t>
      </w:r>
    </w:p>
    <w:p>
      <w:pPr>
        <w:numPr>
          <w:ilvl w:val="0"/>
          <w:numId w:val="1002"/>
        </w:numPr>
        <w:pStyle w:val="Compact"/>
      </w:pPr>
      <w:r>
        <w:t xml:space="preserve">SUS questionnaire (Vietnamese version) (3 min).</w:t>
      </w:r>
    </w:p>
    <w:p>
      <w:pPr>
        <w:numPr>
          <w:ilvl w:val="0"/>
          <w:numId w:val="1002"/>
        </w:numPr>
        <w:pStyle w:val="Compact"/>
      </w:pPr>
      <w:r>
        <w:t xml:space="preserve">Debrief (7 min): trust, what was confusing, what they'd tell a friend or colleague.</w:t>
      </w:r>
    </w:p>
    <w:bookmarkEnd w:id="23"/>
    <w:bookmarkStart w:id="24" w:name="Xcc879ba4d3c01fcb84cafd98050f33ce3b8140f"/>
    <w:p>
      <w:pPr>
        <w:pStyle w:val="Heading3"/>
      </w:pPr>
      <w:r>
        <w:t xml:space="preserve">4.2 Customer tasks (customer app, test phone)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  <w:tblHeader w:val="true"/>
        </w:trPr>
        <w:tc>
          <w:tcPr>
            <w:shd w:val="clear" w:color="auto" w:fill="213368"/>
          </w:tcPr>
          <w:p>
            <w:pPr>
              <w:pStyle w:val="Compact"/>
              <w:spacing w:before="20" w:after="20"/>
              <w:jc w:val="left"/>
            </w:pPr>
            <w:r>
              <w:rPr>
                <w:b/>
                <w:color w:val="FFFFFF"/>
                <w:sz w:val="18"/>
              </w:rPr>
              <w:t xml:space="preserve">#</w:t>
            </w:r>
          </w:p>
        </w:tc>
        <w:tc>
          <w:tcPr>
            <w:shd w:val="clear" w:color="auto" w:fill="213368"/>
          </w:tcPr>
          <w:p>
            <w:pPr>
              <w:pStyle w:val="Compact"/>
              <w:spacing w:before="20" w:after="20"/>
              <w:jc w:val="left"/>
            </w:pPr>
            <w:r>
              <w:rPr>
                <w:b/>
                <w:color w:val="FFFFFF"/>
                <w:sz w:val="18"/>
              </w:rPr>
              <w:t xml:space="preserve">Scenario (read aloud in Vietnamese)</w:t>
            </w:r>
          </w:p>
        </w:tc>
        <w:tc>
          <w:tcPr>
            <w:shd w:val="clear" w:color="auto" w:fill="213368"/>
          </w:tcPr>
          <w:p>
            <w:pPr>
              <w:pStyle w:val="Compact"/>
              <w:spacing w:before="20" w:after="20"/>
              <w:jc w:val="left"/>
            </w:pPr>
            <w:r>
              <w:rPr>
                <w:b/>
                <w:color w:val="FFFFFF"/>
                <w:sz w:val="18"/>
              </w:rPr>
              <w:t xml:space="preserve">Success criteria</w:t>
            </w:r>
          </w:p>
        </w:tc>
        <w:tc>
          <w:tcPr>
            <w:shd w:val="clear" w:color="auto" w:fill="213368"/>
          </w:tcPr>
          <w:p>
            <w:pPr>
              <w:pStyle w:val="Compact"/>
              <w:spacing w:before="20" w:after="20"/>
              <w:jc w:val="left"/>
            </w:pPr>
            <w:r>
              <w:rPr>
                <w:b/>
                <w:color w:val="FFFFFF"/>
                <w:sz w:val="18"/>
              </w:rPr>
              <w:t xml:space="preserve">Target</w:t>
            </w:r>
          </w:p>
        </w:tc>
      </w:tr>
      <w:tr>
        <w:tc>
          <w:tcPr>
            <w:noWrap/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C1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"Bạn vừa nhận tin nhắn từ VETC rằng bảo hiểm TNDS xe của bạn sắp hết hạn. Hãy gia hạn bảo hiểm." (You received a VETC message that your TNDS is expiring. Please renew.)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Reaches e-certificate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≥ 90 % success, ≤ 3 taps, ≤ 60 s</w:t>
            </w:r>
          </w:p>
        </w:tc>
      </w:tr>
      <w:tr>
        <w:tc>
          <w:tcPr>
            <w:noWrap/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C2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"Ứng dụng hỏi ngày hết hạn bảo hiểm hiện tại. Ngày đúng là 20/11/2026. Hãy cập nhật."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Correct date submitted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≥ 90 %, ≤ 45 s</w:t>
            </w:r>
          </w:p>
        </w:tc>
      </w:tr>
      <w:tr>
        <w:tc>
          <w:tcPr>
            <w:noWrap/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C2b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"Tư vấn viên vừa gửi báo giá cho bạn. Hãy xác nhận và thanh toán." (An advisor has just sent you a quote. Confirm and pay.)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Finds the quote on Home and pays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≥ 90 %, ≤ 30 s</w:t>
            </w:r>
          </w:p>
        </w:tc>
      </w:tr>
      <w:tr>
        <w:tc>
          <w:tcPr>
            <w:noWrap/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C3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"Bạn muốn thêm bảo hiểm cho người ngồi trên xe. Hãy xem phí và thêm vào."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Add-on included in the order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≥ 80 %</w:t>
            </w:r>
          </w:p>
        </w:tc>
      </w:tr>
      <w:tr>
        <w:tc>
          <w:tcPr>
            <w:noWrap/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C4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"Cảnh sát giao thông muốn kiểm tra bảo hiểm của bạn. Hãy cho họ xem."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Shows the e-certificate QR; the verification page shows "valid"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≥ 90 %</w:t>
            </w:r>
          </w:p>
        </w:tc>
      </w:tr>
      <w:tr>
        <w:tc>
          <w:tcPr>
            <w:noWrap/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C5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"Bạn không muốn nhận cuộc gọi tư vấn nữa. Hãy thay đổi."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Call consent off and saved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≥ 90 %</w:t>
            </w:r>
          </w:p>
        </w:tc>
      </w:tr>
      <w:tr>
        <w:tc>
          <w:tcPr>
            <w:noWrap/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C6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"Bạn vừa bị va chạm nhẹ. Hãy báo tai nạn."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FNOL submitted, and the participant understands the 4-hour callback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≥ 85 %</w:t>
            </w:r>
          </w:p>
        </w:tc>
      </w:tr>
      <w:tr>
        <w:tc>
          <w:tcPr>
            <w:noWrap/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C7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"Bạn muốn tải dữ liệu cá nhân của mình."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Data export downloaded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≥ 80 %</w:t>
            </w:r>
          </w:p>
        </w:tc>
      </w:tr>
      <w:tr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C8 (comprehension)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"Theo bạn, mua qua VETC có rẻ hơn không? Bạn được gì?" (Is it cheaper via VETC? What do you get?)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States that the price is the same and names ≥ 1 benefit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≥ 80 %</w:t>
            </w:r>
          </w:p>
        </w:tc>
      </w:tr>
      <w:tr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C9 (trust, voice)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Listen to a recorded voice bot call (synthetic). "Bạn có tin cuộc gọi này không? Vì sao?"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Mentions the disclosure, no-OTP promise or plate check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Qualitative</w:t>
            </w:r>
          </w:p>
        </w:tc>
      </w:tr>
    </w:tbl>
    <w:bookmarkEnd w:id="24"/>
    <w:bookmarkStart w:id="25" w:name="X37c8cef1f612fa13c8cf874fe0a325b09c0c805"/>
    <w:p>
      <w:pPr>
        <w:pStyle w:val="Heading3"/>
      </w:pPr>
      <w:r>
        <w:t xml:space="preserve">4.3 Telesales agent tasks (staff console, desktop + headset)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  <w:tblHeader w:val="true"/>
        </w:trPr>
        <w:tc>
          <w:tcPr>
            <w:shd w:val="clear" w:color="auto" w:fill="213368"/>
          </w:tcPr>
          <w:p>
            <w:pPr>
              <w:pStyle w:val="Compact"/>
              <w:spacing w:before="20" w:after="20"/>
              <w:jc w:val="left"/>
            </w:pPr>
            <w:r>
              <w:rPr>
                <w:b/>
                <w:color w:val="FFFFFF"/>
                <w:sz w:val="18"/>
              </w:rPr>
              <w:t xml:space="preserve">#</w:t>
            </w:r>
          </w:p>
        </w:tc>
        <w:tc>
          <w:tcPr>
            <w:shd w:val="clear" w:color="auto" w:fill="213368"/>
          </w:tcPr>
          <w:p>
            <w:pPr>
              <w:pStyle w:val="Compact"/>
              <w:spacing w:before="20" w:after="20"/>
              <w:jc w:val="left"/>
            </w:pPr>
            <w:r>
              <w:rPr>
                <w:b/>
                <w:color w:val="FFFFFF"/>
                <w:sz w:val="18"/>
              </w:rPr>
              <w:t xml:space="preserve">Scenario</w:t>
            </w:r>
          </w:p>
        </w:tc>
        <w:tc>
          <w:tcPr>
            <w:shd w:val="clear" w:color="auto" w:fill="213368"/>
          </w:tcPr>
          <w:p>
            <w:pPr>
              <w:pStyle w:val="Compact"/>
              <w:spacing w:before="20" w:after="20"/>
              <w:jc w:val="left"/>
            </w:pPr>
            <w:r>
              <w:rPr>
                <w:b/>
                <w:color w:val="FFFFFF"/>
                <w:sz w:val="18"/>
              </w:rPr>
              <w:t xml:space="preserve">Success</w:t>
            </w:r>
          </w:p>
        </w:tc>
        <w:tc>
          <w:tcPr>
            <w:shd w:val="clear" w:color="auto" w:fill="213368"/>
          </w:tcPr>
          <w:p>
            <w:pPr>
              <w:pStyle w:val="Compact"/>
              <w:spacing w:before="20" w:after="20"/>
              <w:jc w:val="left"/>
            </w:pPr>
            <w:r>
              <w:rPr>
                <w:b/>
                <w:color w:val="FFFFFF"/>
                <w:sz w:val="18"/>
              </w:rPr>
              <w:t xml:space="preserve">Target</w:t>
            </w:r>
          </w:p>
        </w:tc>
      </w:tr>
      <w:tr>
        <w:tc>
          <w:tcPr>
            <w:noWrap/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A1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Sign in as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agent.hn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and find the most urgent customer who wants a call back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Claims the right handoff (hot, oldest)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≥ 90 %, ≤ 30 s</w:t>
            </w:r>
          </w:p>
        </w:tc>
      </w:tr>
      <w:tr>
        <w:tc>
          <w:tcPr>
            <w:noWrap/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A2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Prepare for the call: what should you mention, and what concerns did the customer raise?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Names ≥ 2 talking points and the trust or price flag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≥ 90 %</w:t>
            </w:r>
          </w:p>
        </w:tc>
      </w:tr>
      <w:tr>
        <w:tc>
          <w:tcPr>
            <w:noWrap/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A3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The customer wants TNDS plus accident cover for 7 seats. Quote it.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Correct quote with PA_SEAT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≥ 85 %, ≤ 90 s</w:t>
            </w:r>
          </w:p>
        </w:tc>
      </w:tr>
      <w:tr>
        <w:tc>
          <w:tcPr>
            <w:noWrap/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A4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The customer wants to buy now. Complete the sale.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Selects</w:t>
            </w:r>
            <w:r>
              <w:rPr>
                <w:sz w:val="18"/>
              </w:rPr>
              <w:t xml:space="preserve"> </w:t>
            </w:r>
            <w:r>
              <w:rPr>
                <w:bCs/>
                <w:b/>
                <w:sz w:val="18"/>
              </w:rPr>
              <w:t xml:space="preserve">Send to customer's VETC app to confirm &amp; pay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and guides the customer to confirm in the app; takes no payment details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≥ 90 %</w:t>
            </w:r>
          </w:p>
        </w:tc>
      </w:tr>
      <w:tr>
        <w:tc>
          <w:tcPr>
            <w:noWrap/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A5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The customer asks "Can you give me a discount?" How does the screen help you answer?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Uses the regulated-price explanation and value benefits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≥ 90 %</w:t>
            </w:r>
          </w:p>
        </w:tc>
      </w:tr>
      <w:tr>
        <w:tc>
          <w:tcPr>
            <w:noWrap/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A6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Record that the customer will decide tomorrow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Status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callback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with note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≥ 95 %</w:t>
            </w:r>
          </w:p>
        </w:tc>
      </w:tr>
      <w:tr>
        <w:tc>
          <w:tcPr>
            <w:noWrap/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A7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Explain why this customer has a score of 82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Reads the factor reasons correctly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≥ 80 %</w:t>
            </w:r>
          </w:p>
        </w:tc>
      </w:tr>
    </w:tbl>
    <w:bookmarkEnd w:id="25"/>
    <w:bookmarkStart w:id="26" w:name="Xbc0bea872356f7568ab5867cf2c3044eab68873"/>
    <w:p>
      <w:pPr>
        <w:pStyle w:val="Heading3"/>
      </w:pPr>
      <w:r>
        <w:t xml:space="preserve">4.4 Supervisor, campaign, rules, compliance, data, claims tasks (abridged)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  <w:tblHeader w:val="true"/>
        </w:trPr>
        <w:tc>
          <w:tcPr>
            <w:shd w:val="clear" w:color="auto" w:fill="213368"/>
          </w:tcPr>
          <w:p>
            <w:pPr>
              <w:pStyle w:val="Compact"/>
              <w:spacing w:before="20" w:after="20"/>
              <w:jc w:val="left"/>
            </w:pPr>
            <w:r>
              <w:rPr>
                <w:b/>
                <w:color w:val="FFFFFF"/>
                <w:sz w:val="18"/>
              </w:rPr>
              <w:t xml:space="preserve">Role</w:t>
            </w:r>
          </w:p>
        </w:tc>
        <w:tc>
          <w:tcPr>
            <w:shd w:val="clear" w:color="auto" w:fill="213368"/>
          </w:tcPr>
          <w:p>
            <w:pPr>
              <w:pStyle w:val="Compact"/>
              <w:spacing w:before="20" w:after="20"/>
              <w:jc w:val="left"/>
            </w:pPr>
            <w:r>
              <w:rPr>
                <w:b/>
                <w:color w:val="FFFFFF"/>
                <w:sz w:val="18"/>
              </w:rPr>
              <w:t xml:space="preserve">Tasks</w:t>
            </w:r>
          </w:p>
        </w:tc>
      </w:tr>
      <w:tr>
        <w:tc>
          <w:tcPr>
            <w:noWrap/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Supervisor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Find the open handoffs of an absent agent and explain how to reassign them. Find how many handoffs are older than one day.</w:t>
            </w:r>
          </w:p>
        </w:tc>
      </w:tr>
      <w:tr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Campaign manager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Find hot leads expiring within 14 days in TP.HCM. Run due touchpoints and explain why 3 were skipped. Simulate a wallet top-up event for a customer.</w:t>
            </w:r>
          </w:p>
        </w:tc>
      </w:tr>
      <w:tr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Rule author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Raise the hot threshold from 70 to 75, validate, simulate on a given customer, and submit. Try to add "giảm giá" to a template and explain the rejection.</w:t>
            </w:r>
          </w:p>
        </w:tc>
      </w:tr>
      <w:tr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Rule approver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Review and approve the author's change. Try to approve your own draft (expect it to be refused).</w:t>
            </w:r>
          </w:p>
        </w:tc>
      </w:tr>
      <w:tr>
        <w:tc>
          <w:tcPr>
            <w:noWrap/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Compliance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Find who approved the last scoring change. Check the audit chain status. Approve a pending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contact_policy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change (restricted kind). Explain the outcome of an erasure request for a customer with an active policy.</w:t>
            </w:r>
          </w:p>
        </w:tc>
      </w:tr>
      <w:tr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Data steward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Resolve a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plate_mismatch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issue. Correct an expiry with evidence.</w:t>
            </w:r>
          </w:p>
        </w:tc>
      </w:tr>
      <w:tr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Claims handler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Acknowledge the claim closest to breaching its SLA. Move a claim to assessor assigned.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6"/>
    <w:bookmarkEnd w:id="27"/>
    <w:bookmarkStart w:id="28" w:name="X66f8504704b611fde1f245fb73ded789904c97a"/>
    <w:p>
      <w:pPr>
        <w:pStyle w:val="Heading2"/>
      </w:pPr>
      <w:r>
        <w:t xml:space="preserve">5. Metrics and targets (proposed)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  <w:tblHeader w:val="true"/>
        </w:trPr>
        <w:tc>
          <w:tcPr>
            <w:shd w:val="clear" w:color="auto" w:fill="213368"/>
          </w:tcPr>
          <w:p>
            <w:pPr>
              <w:pStyle w:val="Compact"/>
              <w:spacing w:before="20" w:after="20"/>
              <w:jc w:val="left"/>
            </w:pPr>
            <w:r>
              <w:rPr>
                <w:b/>
                <w:color w:val="FFFFFF"/>
                <w:sz w:val="18"/>
              </w:rPr>
              <w:t xml:space="preserve">Metric</w:t>
            </w:r>
          </w:p>
        </w:tc>
        <w:tc>
          <w:tcPr>
            <w:shd w:val="clear" w:color="auto" w:fill="213368"/>
          </w:tcPr>
          <w:p>
            <w:pPr>
              <w:pStyle w:val="Compact"/>
              <w:spacing w:before="20" w:after="20"/>
              <w:jc w:val="left"/>
            </w:pPr>
            <w:r>
              <w:rPr>
                <w:b/>
                <w:color w:val="FFFFFF"/>
                <w:sz w:val="18"/>
              </w:rPr>
              <w:t xml:space="preserve">Customer app</w:t>
            </w:r>
          </w:p>
        </w:tc>
        <w:tc>
          <w:tcPr>
            <w:shd w:val="clear" w:color="auto" w:fill="213368"/>
          </w:tcPr>
          <w:p>
            <w:pPr>
              <w:pStyle w:val="Compact"/>
              <w:spacing w:before="20" w:after="20"/>
              <w:jc w:val="left"/>
            </w:pPr>
            <w:r>
              <w:rPr>
                <w:b/>
                <w:color w:val="FFFFFF"/>
                <w:sz w:val="18"/>
              </w:rPr>
              <w:t xml:space="preserve">Staff console (agents)</w:t>
            </w:r>
          </w:p>
        </w:tc>
        <w:tc>
          <w:tcPr>
            <w:shd w:val="clear" w:color="auto" w:fill="213368"/>
          </w:tcPr>
          <w:p>
            <w:pPr>
              <w:pStyle w:val="Compact"/>
              <w:spacing w:before="20" w:after="20"/>
              <w:jc w:val="left"/>
            </w:pPr>
            <w:r>
              <w:rPr>
                <w:b/>
                <w:color w:val="FFFFFF"/>
                <w:sz w:val="18"/>
              </w:rPr>
              <w:t xml:space="preserve">Staff console (other roles)</w:t>
            </w:r>
          </w:p>
        </w:tc>
      </w:tr>
      <w:tr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Task success (unassisted)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≥ 90 % core tasks (C1, C2, C4, C5)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≥ 90 % core tasks (A1, A3, A4, A6)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≥ 85 %</w:t>
            </w:r>
          </w:p>
        </w:tc>
      </w:tr>
      <w:tr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Time on task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Renew (C1) median ≤ 60 s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Claim → outcome ≤ 4 min excluding call time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Rule change draft → submit ≤ 10 min</w:t>
            </w:r>
          </w:p>
        </w:tc>
      </w:tr>
      <w:tr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Taps / clicks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Renew ≤ 3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Claim → outcome ≤ 6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Error rate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≤ 1 non-critical error per task. 0 critical errors (wrong purchase, wrong customer).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Same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Same</w:t>
            </w:r>
          </w:p>
        </w:tc>
      </w:tr>
      <w:tr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SEQ (1–7)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≥ 5.5 average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≥ 5.5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≥ 5.0</w:t>
            </w:r>
          </w:p>
        </w:tc>
      </w:tr>
      <w:tr>
        <w:tc>
          <w:tcPr>
            <w:noWrap/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SUS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≥ 75 (R2), ≥ 80 (R3)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≥ 70 (R2), ≥ 75 (R3)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≥ 70</w:t>
            </w:r>
          </w:p>
        </w:tc>
      </w:tr>
      <w:tr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Comprehension: "same price everywhere"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≥ 80 %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≥ 95 % (agents)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Trust rating ("I trust this is really VETC/TASCO", 1–5)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≥ 4.2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—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Accessibility participants core task success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≥ 80 %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≥ 80 %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—</w:t>
            </w:r>
          </w:p>
        </w:tc>
      </w:tr>
    </w:tbl>
    <w:p>
      <w:pPr>
        <w:pStyle w:val="BodyText"/>
      </w:pPr>
      <w:r>
        <w:rPr>
          <w:bCs/>
          <w:b/>
        </w:rPr>
        <w:t xml:space="preserve">Severity scale for findings: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  <w:tblHeader w:val="true"/>
        </w:trPr>
        <w:tc>
          <w:tcPr>
            <w:shd w:val="clear" w:color="auto" w:fill="213368"/>
          </w:tcPr>
          <w:p>
            <w:pPr>
              <w:pStyle w:val="Compact"/>
              <w:spacing w:before="20" w:after="20"/>
              <w:jc w:val="left"/>
            </w:pPr>
            <w:r>
              <w:rPr>
                <w:b/>
                <w:color w:val="FFFFFF"/>
                <w:sz w:val="18"/>
              </w:rPr>
              <w:t xml:space="preserve">Severity</w:t>
            </w:r>
          </w:p>
        </w:tc>
        <w:tc>
          <w:tcPr>
            <w:shd w:val="clear" w:color="auto" w:fill="213368"/>
          </w:tcPr>
          <w:p>
            <w:pPr>
              <w:pStyle w:val="Compact"/>
              <w:spacing w:before="20" w:after="20"/>
              <w:jc w:val="left"/>
            </w:pPr>
            <w:r>
              <w:rPr>
                <w:b/>
                <w:color w:val="FFFFFF"/>
                <w:sz w:val="18"/>
              </w:rPr>
              <w:t xml:space="preserve">Definition</w:t>
            </w:r>
          </w:p>
        </w:tc>
        <w:tc>
          <w:tcPr>
            <w:shd w:val="clear" w:color="auto" w:fill="213368"/>
          </w:tcPr>
          <w:p>
            <w:pPr>
              <w:pStyle w:val="Compact"/>
              <w:spacing w:before="20" w:after="20"/>
              <w:jc w:val="left"/>
            </w:pPr>
            <w:r>
              <w:rPr>
                <w:b/>
                <w:color w:val="FFFFFF"/>
                <w:sz w:val="18"/>
              </w:rPr>
              <w:t xml:space="preserve">Action</w:t>
            </w:r>
          </w:p>
        </w:tc>
      </w:tr>
      <w:tr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S1 Critical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Prevents task completion or causes a wrong financial or privacy outcome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Fix before the next release. Blocks G3.</w:t>
            </w:r>
          </w:p>
        </w:tc>
      </w:tr>
      <w:tr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S2 Major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Significant delay or frustration; most users recover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Fix within the current or next sprint</w:t>
            </w:r>
          </w:p>
        </w:tc>
      </w:tr>
      <w:tr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S3 Minor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Small irritation or cosmetic issue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Backlog, prioritised by frequency</w:t>
            </w:r>
          </w:p>
        </w:tc>
      </w:tr>
      <w:tr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S4 Suggestion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Enhancement idea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Product backlog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8"/>
    <w:bookmarkStart w:id="32" w:name="X129b5ae2a8c0a702bf8ceda47f882d759c05cb9"/>
    <w:p>
      <w:pPr>
        <w:pStyle w:val="Heading2"/>
      </w:pPr>
      <w:r>
        <w:t xml:space="preserve">6. Iteration loop</w:t>
      </w:r>
    </w:p>
    <w:p>
      <w:pPr>
        <w:pStyle w:val="FirstParagraph"/>
      </w:pPr>
      <w:r>
        <w:drawing>
          <wp:inline>
            <wp:extent cx="6119999" cy="537685"/>
            <wp:effectExtent b="0" l="0" r="0" t="0"/>
            <wp:docPr descr="" title="" id="30" name="Picture"/>
            <a:graphic>
              <a:graphicData uri="http://schemas.openxmlformats.org/drawingml/2006/picture">
                <pic:pic>
                  <pic:nvPicPr>
                    <pic:cNvPr descr="/tmp/claude-0/-home-user-TASCO/19e5534d-12b5-5956-9b60-3e77efde0f49/scratchpad/conv/img/ux__usability-testing-plan-1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9999" cy="53768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Synthesis within 48 hours:</w:t>
      </w:r>
      <w:r>
        <w:t xml:space="preserve"> </w:t>
      </w:r>
      <w:r>
        <w:t xml:space="preserve">notes tagged by task and severity, with highlight clips (synthetic data only).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Findings report</w:t>
      </w:r>
      <w:r>
        <w:t xml:space="preserve"> </w:t>
      </w:r>
      <w:r>
        <w:t xml:space="preserve">with problem, evidence (quotes, metrics), severity, recommendation and owner, shared in the sprint review.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Decisions</w:t>
      </w:r>
      <w:r>
        <w:t xml:space="preserve"> </w:t>
      </w:r>
      <w:r>
        <w:t xml:space="preserve">in the weekly design review. S1/S2 items go into the next sprint. Content changes that are rule content (templates, voice lines, benefit wording) go through the Rules studio with Compliance approval.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Re-test</w:t>
      </w:r>
      <w:r>
        <w:t xml:space="preserve"> </w:t>
      </w:r>
      <w:r>
        <w:t xml:space="preserve">of every S1/S2 fix in the next round.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Track</w:t>
      </w:r>
      <w:r>
        <w:t xml:space="preserve"> </w:t>
      </w:r>
      <w:r>
        <w:t xml:space="preserve">the metrics trend per round in the SteerCo pack.</w:t>
      </w:r>
    </w:p>
    <w:p>
      <w:r>
        <w:pict>
          <v:rect style="width:0;height:1.5pt" o:hralign="center" o:hrstd="t" o:hr="t"/>
        </w:pict>
      </w:r>
    </w:p>
    <w:bookmarkEnd w:id="32"/>
    <w:bookmarkStart w:id="33" w:name="Xbdbacb4205bd96ccca509c4bd83f79b2a69ce97"/>
    <w:p>
      <w:pPr>
        <w:pStyle w:val="Heading2"/>
      </w:pPr>
      <w:r>
        <w:t xml:space="preserve">7. Schedule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  <w:tblHeader w:val="true"/>
        </w:trPr>
        <w:tc>
          <w:tcPr>
            <w:shd w:val="clear" w:color="auto" w:fill="213368"/>
          </w:tcPr>
          <w:p>
            <w:pPr>
              <w:pStyle w:val="Compact"/>
              <w:spacing w:before="20" w:after="20"/>
              <w:jc w:val="left"/>
            </w:pPr>
            <w:r>
              <w:rPr>
                <w:b/>
                <w:color w:val="FFFFFF"/>
                <w:sz w:val="18"/>
              </w:rPr>
              <w:t xml:space="preserve">Round</w:t>
            </w:r>
          </w:p>
        </w:tc>
        <w:tc>
          <w:tcPr>
            <w:shd w:val="clear" w:color="auto" w:fill="213368"/>
          </w:tcPr>
          <w:p>
            <w:pPr>
              <w:pStyle w:val="Compact"/>
              <w:spacing w:before="20" w:after="20"/>
              <w:jc w:val="left"/>
            </w:pPr>
            <w:r>
              <w:rPr>
                <w:b/>
                <w:color w:val="FFFFFF"/>
                <w:sz w:val="18"/>
              </w:rPr>
              <w:t xml:space="preserve">When</w:t>
            </w:r>
          </w:p>
        </w:tc>
        <w:tc>
          <w:tcPr>
            <w:shd w:val="clear" w:color="auto" w:fill="213368"/>
          </w:tcPr>
          <w:p>
            <w:pPr>
              <w:pStyle w:val="Compact"/>
              <w:spacing w:before="20" w:after="20"/>
              <w:jc w:val="left"/>
            </w:pPr>
            <w:r>
              <w:rPr>
                <w:b/>
                <w:color w:val="FFFFFF"/>
                <w:sz w:val="18"/>
              </w:rPr>
              <w:t xml:space="preserve">Sessions</w:t>
            </w:r>
          </w:p>
        </w:tc>
        <w:tc>
          <w:tcPr>
            <w:shd w:val="clear" w:color="auto" w:fill="213368"/>
          </w:tcPr>
          <w:p>
            <w:pPr>
              <w:pStyle w:val="Compact"/>
              <w:spacing w:before="20" w:after="20"/>
              <w:jc w:val="left"/>
            </w:pPr>
            <w:r>
              <w:rPr>
                <w:b/>
                <w:color w:val="FFFFFF"/>
                <w:sz w:val="18"/>
              </w:rPr>
              <w:t xml:space="preserve">Deliverable</w:t>
            </w:r>
          </w:p>
        </w:tc>
      </w:tr>
      <w:tr>
        <w:tc>
          <w:tcPr>
            <w:noWrap/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R0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Discovery wk 2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8 customers, 6 agents (clickable prototype), tree test 20 staff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Prototype findings, IA decisions (G1 input)</w:t>
            </w:r>
          </w:p>
        </w:tc>
      </w:tr>
      <w:tr>
        <w:tc>
          <w:tcPr>
            <w:noWrap/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R1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Sprint 3 (end)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12 customers, 8 agents, 6 other roles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MVP findings, first SUS</w:t>
            </w:r>
          </w:p>
        </w:tc>
      </w:tr>
      <w:tr>
        <w:tc>
          <w:tcPr>
            <w:noWrap/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R2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UAT wk T2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18 customers incl. accessibility, 10 agents, 10 other roles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Benchmark report (G3 input)</w:t>
            </w:r>
          </w:p>
        </w:tc>
      </w:tr>
      <w:tr>
        <w:tc>
          <w:tcPr>
            <w:noWrap/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R3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Pilot wk 2–3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Field observation + analytics + A/B + SUS survey of all pilot users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Pilot UX report (G4 input)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3"/>
    <w:bookmarkStart w:id="34" w:name="X9fa66f76064c58445c1d6faa8d0b84b4f33afbd"/>
    <w:p>
      <w:pPr>
        <w:pStyle w:val="Heading2"/>
      </w:pPr>
      <w:r>
        <w:t xml:space="preserve">8. Roles in a session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  <w:tblHeader w:val="true"/>
        </w:trPr>
        <w:tc>
          <w:tcPr>
            <w:shd w:val="clear" w:color="auto" w:fill="213368"/>
          </w:tcPr>
          <w:p>
            <w:pPr>
              <w:pStyle w:val="Compact"/>
              <w:spacing w:before="20" w:after="20"/>
              <w:jc w:val="left"/>
            </w:pPr>
            <w:r>
              <w:rPr>
                <w:b/>
                <w:color w:val="FFFFFF"/>
                <w:sz w:val="18"/>
              </w:rPr>
              <w:t xml:space="preserve">Role</w:t>
            </w:r>
          </w:p>
        </w:tc>
        <w:tc>
          <w:tcPr>
            <w:shd w:val="clear" w:color="auto" w:fill="213368"/>
          </w:tcPr>
          <w:p>
            <w:pPr>
              <w:pStyle w:val="Compact"/>
              <w:spacing w:before="20" w:after="20"/>
              <w:jc w:val="left"/>
            </w:pPr>
            <w:r>
              <w:rPr>
                <w:b/>
                <w:color w:val="FFFFFF"/>
                <w:sz w:val="18"/>
              </w:rPr>
              <w:t xml:space="preserve">Responsibility</w:t>
            </w:r>
          </w:p>
        </w:tc>
      </w:tr>
      <w:tr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Moderator (UX researcher, Vietnamese native speaker)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Runs the session, stays neutral</w:t>
            </w:r>
          </w:p>
        </w:tc>
      </w:tr>
      <w:tr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Note-taker (BA)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Records observations, timings and errors in the template</w:t>
            </w:r>
          </w:p>
        </w:tc>
      </w:tr>
      <w:tr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Observer (PO, engineers, VETC/TASCO stakeholders)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Watches remotely or in an observation room, does not interrupt, writes sticky notes</w:t>
            </w:r>
          </w:p>
        </w:tc>
      </w:tr>
      <w:tr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Technical support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Resets the sandbox, test phones and demo users between sessions</w:t>
            </w:r>
          </w:p>
        </w:tc>
      </w:tr>
    </w:tbl>
    <w:bookmarkEnd w:id="34"/>
    <w:sectPr>
      <w:headerReference r:id="rId9" w:type="default"/>
      <w:footerReference r:id="rId10" w:type="default"/>
      <w:pgSz w:h="16838" w:w="11906"/>
      <w:pgMar w:bottom="1020" w:left="1020" w:right="1020" w:top="113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sz w:val="16"/>
      </w:rPr>
      <w:t xml:space="preserve">Prepared by iorta TechNXT · Confidential · Page </w:t>
    </w:r>
    <w:r>
      <w:rPr>
        <w:sz w:val="16"/>
      </w:rPr>
      <w:fldChar w:fldCharType="begin"/>
      <w:instrText>PAGE</w:instrText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/>
        <w:color w:val="213368"/>
        <w:sz w:val="16"/>
      </w:rPr>
      <w:t>TASCO Insurance × VETC — Growth Platform</w:t>
    </w:r>
  </w:p>
</w:hdr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Calibri" w:cs="Calibri" w:eastAsia="Calibri" w:hAnsi="Calibri"/>
      <w:color w:val="121A33"/>
      <w:sz w:val="22"/>
    </w:rPr>
  </w:style>
  <w:style w:styleId="BodyText" w:type="paragraph">
    <w:name w:val="Body Text"/>
    <w:basedOn w:val="Normal"/>
    <w:link w:val="BodyTextChar"/>
    <w:pPr>
      <w:spacing w:after="180" w:before="180"/>
    </w:pPr>
    <w:qFormat/>
    <w:rPr>
      <w:rFonts w:ascii="Calibri" w:cs="Calibri" w:eastAsia="Calibri" w:hAnsi="Calibri"/>
      <w:color w:val="121A33"/>
      <w:sz w:val="22"/>
    </w:rPr>
  </w:style>
  <w:style w:customStyle="1" w:styleId="FirstParagraph" w:type="paragraph">
    <w:name w:val="First Paragraph"/>
    <w:basedOn w:val="BodyText"/>
    <w:next w:val="BodyText"/>
    <w:qFormat/>
    <w:rPr>
      <w:rFonts w:ascii="Calibri" w:cs="Calibri" w:eastAsia="Calibri" w:hAnsi="Calibri"/>
      <w:color w:val="121A33"/>
      <w:sz w:val="22"/>
    </w:rPr>
  </w:style>
  <w:style w:customStyle="1" w:styleId="Compact" w:type="paragraph">
    <w:name w:val="Compact"/>
    <w:basedOn w:val="BodyText"/>
    <w:qFormat/>
    <w:pPr>
      <w:spacing w:after="36" w:before="36"/>
    </w:pPr>
    <w:rPr>
      <w:rFonts w:ascii="Calibri" w:cs="Calibri" w:eastAsia="Calibri" w:hAnsi="Calibri"/>
      <w:color w:val="121A33"/>
      <w:sz w:val="22"/>
    </w:r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="Calibri" w:asciiTheme="majorHAnsi" w:cs="Calibri" w:cstheme="majorBidi" w:eastAsia="Calibri" w:eastAsiaTheme="majorEastAsia" w:hAnsi="Calibri" w:hAnsiTheme="majorHAnsi"/>
      <w:b/>
      <w:bCs/>
      <w:color w:val="213368"/>
      <w:sz w:val="52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rFonts w:ascii="Calibri" w:cs="Calibri" w:eastAsia="Calibri" w:hAnsi="Calibri"/>
      <w:b w:val="0"/>
      <w:color w:val="0B6B66"/>
      <w:sz w:val="26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  <w:rPr>
      <w:rFonts w:ascii="Calibri" w:cs="Calibri" w:eastAsia="Calibri" w:hAnsi="Calibri"/>
      <w:color w:val="121A33"/>
      <w:sz w:val="22"/>
    </w:r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rPr>
      <w:rFonts w:ascii="Calibri" w:cs="Calibri" w:eastAsia="Calibri" w:hAnsi="Calibri"/>
      <w:sz w:val="18"/>
    </w:rPr>
    <w:tblPr>
      <w:tblInd w:type="dxa" w:w="0"/>
      <w:tblCellMar>
        <w:top w:type="dxa" w:w="0"/>
        <w:left w:type="dxa" w:w="108"/>
        <w:bottom w:type="dxa" w:w="0"/>
        <w:right w:type="dxa" w:w="108"/>
      </w:tblCellMar>
      <w:tblBorders>
        <w:top w:color="C9D1E0" w:sz="4" w:val="single"/>
        <w:left w:color="C9D1E0" w:sz="4" w:val="single"/>
        <w:bottom w:color="C9D1E0" w:sz="4" w:val="single"/>
        <w:right w:color="C9D1E0" w:sz="4" w:val="single"/>
        <w:insideH w:color="C9D1E0" w:sz="4" w:val="single"/>
        <w:insideV w:color="C9D1E0" w:sz="4" w:val="single"/>
      </w:tblBorders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cs="Consolas" w:eastAsia="Consolas" w:hAnsi="Consolas"/>
      <w:color w:val="2A3A6E"/>
      <w:sz w:val="18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val="0B6B66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29" Type="http://schemas.openxmlformats.org/officeDocument/2006/relationships/image" Target="media/rId2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Usability Testing Plan</dc:title>
  <dc:creator>iorta TechNXT</dc:creator>
  <cp:keywords/>
  <dcterms:created xsi:type="dcterms:W3CDTF">2026-10-07T22:36:32Z</dcterms:created>
  <dcterms:modified xsi:type="dcterms:W3CDTF">2026-10-07T22:36:32Z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Version 1.0 · 07 October 2026</vt:lpwstr>
  </property>
  <property fmtid="{D5CDD505-2E9C-101B-9397-08002B2CF9AE}" pid="3" name="subtitle">
    <vt:lpwstr>TASCO Insurance × VETC Growth Platform — User Experience</vt:lpwstr>
  </property>
</Properties>
</file>