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TGP-ARC-01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Solution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1"/>
      </w:pPr>
      <w:hyperlink w:anchor="_Toc300000008" w:history="1">
        <w:r>
          <w:rPr>
            <w:noProof/>
          </w:rPr>
          <w:t>4.</w:t>
        </w:r>
        <w:r>
          <w:rPr>
            <w:noProof/>
          </w:rPr>
          <w:tab/>
        </w:r>
        <w:r>
          <w:rPr>
            <w:noProof/>
          </w:rPr>
          <w:t xml:space="preserve">Architecture principles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5</w:t>
        </w:r>
        <w:r>
          <w:rPr>
            <w:noProof/>
            <w:webHidden/>
          </w:rPr>
          <w:fldChar w:fldCharType="end"/>
        </w:r>
      </w:hyperlink>
    </w:p>
    <w:p>
      <w:pPr>
        <w:pStyle w:val="TOC1"/>
      </w:pPr>
      <w:hyperlink w:anchor="_Toc300000009" w:history="1">
        <w:r>
          <w:rPr>
            <w:noProof/>
          </w:rPr>
          <w:t>5.</w:t>
        </w:r>
        <w:r>
          <w:rPr>
            <w:noProof/>
          </w:rPr>
          <w:tab/>
        </w:r>
        <w:r>
          <w:rPr>
            <w:noProof/>
          </w:rPr>
          <w:t xml:space="preserve">Context</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6</w:t>
        </w:r>
        <w:r>
          <w:rPr>
            <w:noProof/>
            <w:webHidden/>
          </w:rPr>
          <w:fldChar w:fldCharType="end"/>
        </w:r>
      </w:hyperlink>
    </w:p>
    <w:p>
      <w:pPr>
        <w:pStyle w:val="TOC2"/>
      </w:pPr>
      <w:hyperlink w:anchor="_Toc300000010" w:history="1">
        <w:r>
          <w:rPr>
            <w:noProof/>
          </w:rPr>
          <w:t>5.1.</w:t>
        </w:r>
        <w:r>
          <w:rPr>
            <w:noProof/>
          </w:rPr>
          <w:tab/>
        </w:r>
        <w:r>
          <w:rPr>
            <w:noProof/>
          </w:rPr>
          <w:t xml:space="preserve">Business context</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6</w:t>
        </w:r>
        <w:r>
          <w:rPr>
            <w:noProof/>
            <w:webHidden/>
          </w:rPr>
          <w:fldChar w:fldCharType="end"/>
        </w:r>
      </w:hyperlink>
    </w:p>
    <w:p>
      <w:pPr>
        <w:pStyle w:val="TOC2"/>
      </w:pPr>
      <w:hyperlink w:anchor="_Toc300000011" w:history="1">
        <w:r>
          <w:rPr>
            <w:noProof/>
          </w:rPr>
          <w:t>5.2.</w:t>
        </w:r>
        <w:r>
          <w:rPr>
            <w:noProof/>
          </w:rPr>
          <w:tab/>
        </w:r>
        <w:r>
          <w:rPr>
            <w:noProof/>
          </w:rPr>
          <w:t xml:space="preserve">System context</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6</w:t>
        </w:r>
        <w:r>
          <w:rPr>
            <w:noProof/>
            <w:webHidden/>
          </w:rPr>
          <w:fldChar w:fldCharType="end"/>
        </w:r>
      </w:hyperlink>
    </w:p>
    <w:p>
      <w:pPr>
        <w:pStyle w:val="TOC1"/>
      </w:pPr>
      <w:hyperlink w:anchor="_Toc300000012" w:history="1">
        <w:r>
          <w:rPr>
            <w:noProof/>
          </w:rPr>
          <w:t>6.</w:t>
        </w:r>
        <w:r>
          <w:rPr>
            <w:noProof/>
          </w:rPr>
          <w:tab/>
        </w:r>
        <w:r>
          <w:rPr>
            <w:noProof/>
          </w:rPr>
          <w:t xml:space="preserve">Functional architecture</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8</w:t>
        </w:r>
        <w:r>
          <w:rPr>
            <w:noProof/>
            <w:webHidden/>
          </w:rPr>
          <w:fldChar w:fldCharType="end"/>
        </w:r>
      </w:hyperlink>
    </w:p>
    <w:p>
      <w:pPr>
        <w:pStyle w:val="TOC2"/>
      </w:pPr>
      <w:hyperlink w:anchor="_Toc300000013" w:history="1">
        <w:r>
          <w:rPr>
            <w:noProof/>
          </w:rPr>
          <w:t>6.1.</w:t>
        </w:r>
        <w:r>
          <w:rPr>
            <w:noProof/>
          </w:rPr>
          <w:tab/>
        </w:r>
        <w:r>
          <w:rPr>
            <w:noProof/>
          </w:rPr>
          <w:t xml:space="preserve">Layered view</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8</w:t>
        </w:r>
        <w:r>
          <w:rPr>
            <w:noProof/>
            <w:webHidden/>
          </w:rPr>
          <w:fldChar w:fldCharType="end"/>
        </w:r>
      </w:hyperlink>
    </w:p>
    <w:p>
      <w:pPr>
        <w:pStyle w:val="TOC2"/>
      </w:pPr>
      <w:hyperlink w:anchor="_Toc300000014" w:history="1">
        <w:r>
          <w:rPr>
            <w:noProof/>
          </w:rPr>
          <w:t>6.2.</w:t>
        </w:r>
        <w:r>
          <w:rPr>
            <w:noProof/>
          </w:rPr>
          <w:tab/>
        </w:r>
        <w:r>
          <w:rPr>
            <w:noProof/>
          </w:rPr>
          <w:t xml:space="preserve">Capabilities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8</w:t>
        </w:r>
        <w:r>
          <w:rPr>
            <w:noProof/>
            <w:webHidden/>
          </w:rPr>
          <w:fldChar w:fldCharType="end"/>
        </w:r>
      </w:hyperlink>
    </w:p>
    <w:p>
      <w:pPr>
        <w:pStyle w:val="TOC1"/>
      </w:pPr>
      <w:hyperlink w:anchor="_Toc300000015" w:history="1">
        <w:r>
          <w:rPr>
            <w:noProof/>
          </w:rPr>
          <w:t>7.</w:t>
        </w:r>
        <w:r>
          <w:rPr>
            <w:noProof/>
          </w:rPr>
          <w:tab/>
        </w:r>
        <w:r>
          <w:rPr>
            <w:noProof/>
          </w:rPr>
          <w:t xml:space="preserve">Technical architecture</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9</w:t>
        </w:r>
        <w:r>
          <w:rPr>
            <w:noProof/>
            <w:webHidden/>
          </w:rPr>
          <w:fldChar w:fldCharType="end"/>
        </w:r>
      </w:hyperlink>
    </w:p>
    <w:p>
      <w:pPr>
        <w:pStyle w:val="TOC2"/>
      </w:pPr>
      <w:hyperlink w:anchor="_Toc300000016" w:history="1">
        <w:r>
          <w:rPr>
            <w:noProof/>
          </w:rPr>
          <w:t>7.1.</w:t>
        </w:r>
        <w:r>
          <w:rPr>
            <w:noProof/>
          </w:rPr>
          <w:tab/>
        </w:r>
        <w:r>
          <w:rPr>
            <w:noProof/>
          </w:rPr>
          <w:t xml:space="preserve">Ports and adapters</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9</w:t>
        </w:r>
        <w:r>
          <w:rPr>
            <w:noProof/>
            <w:webHidden/>
          </w:rPr>
          <w:fldChar w:fldCharType="end"/>
        </w:r>
      </w:hyperlink>
    </w:p>
    <w:p>
      <w:pPr>
        <w:pStyle w:val="TOC2"/>
      </w:pPr>
      <w:hyperlink w:anchor="_Toc300000017" w:history="1">
        <w:r>
          <w:rPr>
            <w:noProof/>
          </w:rPr>
          <w:t>7.2.</w:t>
        </w:r>
        <w:r>
          <w:rPr>
            <w:noProof/>
          </w:rPr>
          <w:tab/>
        </w:r>
        <w:r>
          <w:rPr>
            <w:noProof/>
          </w:rPr>
          <w:t xml:space="preserve">Layers and technology</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10</w:t>
        </w:r>
        <w:r>
          <w:rPr>
            <w:noProof/>
            <w:webHidden/>
          </w:rPr>
          <w:fldChar w:fldCharType="end"/>
        </w:r>
      </w:hyperlink>
    </w:p>
    <w:p>
      <w:pPr>
        <w:pStyle w:val="TOC2"/>
      </w:pPr>
      <w:hyperlink w:anchor="_Toc300000018" w:history="1">
        <w:r>
          <w:rPr>
            <w:noProof/>
          </w:rPr>
          <w:t>7.3.</w:t>
        </w:r>
        <w:r>
          <w:rPr>
            <w:noProof/>
          </w:rPr>
          <w:tab/>
        </w:r>
        <w:r>
          <w:rPr>
            <w:noProof/>
          </w:rPr>
          <w:t xml:space="preserve">Ports and current adapters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11</w:t>
        </w:r>
        <w:r>
          <w:rPr>
            <w:noProof/>
            <w:webHidden/>
          </w:rPr>
          <w:fldChar w:fldCharType="end"/>
        </w:r>
      </w:hyperlink>
    </w:p>
    <w:p>
      <w:pPr>
        <w:pStyle w:val="TOC2"/>
      </w:pPr>
      <w:hyperlink w:anchor="_Toc300000019" w:history="1">
        <w:r>
          <w:rPr>
            <w:noProof/>
          </w:rPr>
          <w:t>7.4.</w:t>
        </w:r>
        <w:r>
          <w:rPr>
            <w:noProof/>
          </w:rPr>
          <w:tab/>
        </w:r>
        <w:r>
          <w:rPr>
            <w:noProof/>
          </w:rPr>
          <w:t xml:space="preserve">Runtime processes</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12</w:t>
        </w:r>
        <w:r>
          <w:rPr>
            <w:noProof/>
            <w:webHidden/>
          </w:rPr>
          <w:fldChar w:fldCharType="end"/>
        </w:r>
      </w:hyperlink>
    </w:p>
    <w:p>
      <w:pPr>
        <w:pStyle w:val="TOC2"/>
      </w:pPr>
      <w:hyperlink w:anchor="_Toc300000020" w:history="1">
        <w:r>
          <w:rPr>
            <w:noProof/>
          </w:rPr>
          <w:t>7.5.</w:t>
        </w:r>
        <w:r>
          <w:rPr>
            <w:noProof/>
          </w:rPr>
          <w:tab/>
        </w:r>
        <w:r>
          <w:rPr>
            <w:noProof/>
          </w:rPr>
          <w:t xml:space="preserve">Event-driven reactions</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12</w:t>
        </w:r>
        <w:r>
          <w:rPr>
            <w:noProof/>
            <w:webHidden/>
          </w:rPr>
          <w:fldChar w:fldCharType="end"/>
        </w:r>
      </w:hyperlink>
    </w:p>
    <w:p>
      <w:pPr>
        <w:pStyle w:val="TOC2"/>
      </w:pPr>
      <w:hyperlink w:anchor="_Toc300000021" w:history="1">
        <w:r>
          <w:rPr>
            <w:noProof/>
          </w:rPr>
          <w:t>7.6.</w:t>
        </w:r>
        <w:r>
          <w:rPr>
            <w:noProof/>
          </w:rPr>
          <w:tab/>
        </w:r>
        <w:r>
          <w:rPr>
            <w:noProof/>
          </w:rPr>
          <w:t xml:space="preserve">Configurability</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14</w:t>
        </w:r>
        <w:r>
          <w:rPr>
            <w:noProof/>
            <w:webHidden/>
          </w:rPr>
          <w:fldChar w:fldCharType="end"/>
        </w:r>
      </w:hyperlink>
    </w:p>
    <w:p>
      <w:pPr>
        <w:pStyle w:val="TOC1"/>
      </w:pPr>
      <w:hyperlink w:anchor="_Toc300000022" w:history="1">
        <w:r>
          <w:rPr>
            <w:noProof/>
          </w:rPr>
          <w:t>8.</w:t>
        </w:r>
        <w:r>
          <w:rPr>
            <w:noProof/>
          </w:rPr>
          <w:tab/>
        </w:r>
        <w:r>
          <w:rPr>
            <w:noProof/>
          </w:rPr>
          <w:t xml:space="preserve">Key flows</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15</w:t>
        </w:r>
        <w:r>
          <w:rPr>
            <w:noProof/>
            <w:webHidden/>
          </w:rPr>
          <w:fldChar w:fldCharType="end"/>
        </w:r>
      </w:hyperlink>
    </w:p>
    <w:p>
      <w:pPr>
        <w:pStyle w:val="TOC2"/>
      </w:pPr>
      <w:hyperlink w:anchor="_Toc300000023" w:history="1">
        <w:r>
          <w:rPr>
            <w:noProof/>
          </w:rPr>
          <w:t>8.1.</w:t>
        </w:r>
        <w:r>
          <w:rPr>
            <w:noProof/>
          </w:rPr>
          <w:tab/>
        </w:r>
        <w:r>
          <w:rPr>
            <w:noProof/>
          </w:rPr>
          <w:t xml:space="preserve">From data to next-best action</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15</w:t>
        </w:r>
        <w:r>
          <w:rPr>
            <w:noProof/>
            <w:webHidden/>
          </w:rPr>
          <w:fldChar w:fldCharType="end"/>
        </w:r>
      </w:hyperlink>
    </w:p>
    <w:p>
      <w:pPr>
        <w:pStyle w:val="TOC2"/>
      </w:pPr>
      <w:hyperlink w:anchor="_Toc300000024" w:history="1">
        <w:r>
          <w:rPr>
            <w:noProof/>
          </w:rPr>
          <w:t>8.2.</w:t>
        </w:r>
        <w:r>
          <w:rPr>
            <w:noProof/>
          </w:rPr>
          <w:tab/>
        </w:r>
        <w:r>
          <w:rPr>
            <w:noProof/>
          </w:rPr>
          <w:t xml:space="preserve">Renewal journey, end to end</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17</w:t>
        </w:r>
        <w:r>
          <w:rPr>
            <w:noProof/>
            <w:webHidden/>
          </w:rPr>
          <w:fldChar w:fldCharType="end"/>
        </w:r>
      </w:hyperlink>
    </w:p>
    <w:p>
      <w:pPr>
        <w:pStyle w:val="TOC2"/>
      </w:pPr>
      <w:hyperlink w:anchor="_Toc300000025" w:history="1">
        <w:r>
          <w:rPr>
            <w:noProof/>
          </w:rPr>
          <w:t>8.3.</w:t>
        </w:r>
        <w:r>
          <w:rPr>
            <w:noProof/>
          </w:rPr>
          <w:tab/>
        </w:r>
        <w:r>
          <w:rPr>
            <w:noProof/>
          </w:rPr>
          <w:t xml:space="preserve">Rule change with maker-checker</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18</w:t>
        </w:r>
        <w:r>
          <w:rPr>
            <w:noProof/>
            <w:webHidden/>
          </w:rPr>
          <w:fldChar w:fldCharType="end"/>
        </w:r>
      </w:hyperlink>
    </w:p>
    <w:p>
      <w:pPr>
        <w:pStyle w:val="TOC2"/>
      </w:pPr>
      <w:hyperlink w:anchor="_Toc300000026" w:history="1">
        <w:r>
          <w:rPr>
            <w:noProof/>
          </w:rPr>
          <w:t>8.4.</w:t>
        </w:r>
        <w:r>
          <w:rPr>
            <w:noProof/>
          </w:rPr>
          <w:tab/>
        </w:r>
        <w:r>
          <w:rPr>
            <w:noProof/>
          </w:rPr>
          <w:t xml:space="preserve">VETC ecosystem events</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19</w:t>
        </w:r>
        <w:r>
          <w:rPr>
            <w:noProof/>
            <w:webHidden/>
          </w:rPr>
          <w:fldChar w:fldCharType="end"/>
        </w:r>
      </w:hyperlink>
    </w:p>
    <w:p>
      <w:pPr>
        <w:pStyle w:val="TOC1"/>
      </w:pPr>
      <w:hyperlink w:anchor="_Toc300000027" w:history="1">
        <w:r>
          <w:rPr>
            <w:noProof/>
          </w:rPr>
          <w:t>9.</w:t>
        </w:r>
        <w:r>
          <w:rPr>
            <w:noProof/>
          </w:rPr>
          <w:tab/>
        </w:r>
        <w:r>
          <w:rPr>
            <w:noProof/>
          </w:rPr>
          <w:t xml:space="preserve">Quality attributes</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20</w:t>
        </w:r>
        <w:r>
          <w:rPr>
            <w:noProof/>
            <w:webHidden/>
          </w:rPr>
          <w:fldChar w:fldCharType="end"/>
        </w:r>
      </w:hyperlink>
    </w:p>
    <w:p>
      <w:pPr>
        <w:pStyle w:val="TOC2"/>
      </w:pPr>
      <w:hyperlink w:anchor="_Toc300000028" w:history="1">
        <w:r>
          <w:rPr>
            <w:noProof/>
          </w:rPr>
          <w:t>9.1.</w:t>
        </w:r>
        <w:r>
          <w:rPr>
            <w:noProof/>
          </w:rPr>
          <w:tab/>
        </w:r>
        <w:r>
          <w:rPr>
            <w:noProof/>
          </w:rPr>
          <w:t xml:space="preserve">Targets</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20</w:t>
        </w:r>
        <w:r>
          <w:rPr>
            <w:noProof/>
            <w:webHidden/>
          </w:rPr>
          <w:fldChar w:fldCharType="end"/>
        </w:r>
      </w:hyperlink>
    </w:p>
    <w:p>
      <w:pPr>
        <w:pStyle w:val="TOC2"/>
      </w:pPr>
      <w:hyperlink w:anchor="_Toc300000029" w:history="1">
        <w:r>
          <w:rPr>
            <w:noProof/>
          </w:rPr>
          <w:t>9.2.</w:t>
        </w:r>
        <w:r>
          <w:rPr>
            <w:noProof/>
          </w:rPr>
          <w:tab/>
        </w:r>
        <w:r>
          <w:rPr>
            <w:noProof/>
          </w:rPr>
          <w:t xml:space="preserve">Scalability</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20</w:t>
        </w:r>
        <w:r>
          <w:rPr>
            <w:noProof/>
            <w:webHidden/>
          </w:rPr>
          <w:fldChar w:fldCharType="end"/>
        </w:r>
      </w:hyperlink>
    </w:p>
    <w:p>
      <w:pPr>
        <w:pStyle w:val="TOC1"/>
      </w:pPr>
      <w:hyperlink w:anchor="_Toc300000030" w:history="1">
        <w:r>
          <w:rPr>
            <w:noProof/>
          </w:rPr>
          <w:t>10.</w:t>
        </w:r>
        <w:r>
          <w:rPr>
            <w:noProof/>
          </w:rPr>
          <w:tab/>
        </w:r>
        <w:r>
          <w:rPr>
            <w:noProof/>
          </w:rPr>
          <w:t xml:space="preserve">Constraints and assumptions</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21</w:t>
        </w:r>
        <w:r>
          <w:rPr>
            <w:noProof/>
            <w:webHidden/>
          </w:rPr>
          <w:fldChar w:fldCharType="end"/>
        </w:r>
      </w:hyperlink>
    </w:p>
    <w:p>
      <w:pPr>
        <w:pStyle w:val="TOC1"/>
      </w:pPr>
      <w:hyperlink w:anchor="_Toc300000031" w:history="1">
        <w:r>
          <w:rPr>
            <w:noProof/>
          </w:rPr>
          <w:t>11.</w:t>
        </w:r>
        <w:r>
          <w:rPr>
            <w:noProof/>
          </w:rPr>
          <w:tab/>
        </w:r>
        <w:r>
          <w:rPr>
            <w:noProof/>
          </w:rPr>
          <w:t xml:space="preserve">Evolution path</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22</w:t>
        </w:r>
        <w:r>
          <w:rPr>
            <w:noProof/>
            <w:webHidden/>
          </w:rPr>
          <w:fldChar w:fldCharType="end"/>
        </w:r>
      </w:hyperlink>
    </w:p>
    <w:p>
      <w:pPr>
        <w:pStyle w:val="TOC1"/>
      </w:pPr>
      <w:hyperlink w:anchor="_Toc300000032" w:history="1">
        <w:r>
          <w:rPr>
            <w:noProof/>
          </w:rPr>
          <w:t>12.</w:t>
        </w:r>
        <w:r>
          <w:rPr>
            <w:noProof/>
          </w:rPr>
          <w:tab/>
        </w:r>
        <w:r>
          <w:rPr>
            <w:noProof/>
          </w:rPr>
          <w:t xml:space="preserve">Appendix</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22</w:t>
        </w:r>
        <w:r>
          <w:rPr>
            <w:noProof/>
            <w:webHidden/>
          </w:rPr>
          <w:fldChar w:fldCharType="end"/>
        </w:r>
      </w:hyperlink>
    </w:p>
    <w:p>
      <w:pPr>
        <w:pStyle w:val="TOC2"/>
      </w:pPr>
      <w:hyperlink w:anchor="_Toc300000033" w:history="1">
        <w:r>
          <w:rPr>
            <w:noProof/>
          </w:rPr>
          <w:t>12.1.</w:t>
        </w:r>
        <w:r>
          <w:rPr>
            <w:noProof/>
          </w:rPr>
          <w:tab/>
        </w:r>
        <w:r>
          <w:rPr>
            <w:noProof/>
          </w:rPr>
          <w:t xml:space="preserve">Source map</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22</w:t>
        </w:r>
        <w:r>
          <w:rPr>
            <w:noProof/>
            <w:webHidden/>
          </w:rPr>
          <w:fldChar w:fldCharType="end"/>
        </w:r>
      </w:hyperlink>
    </w:p>
    <w:p>
      <w:pPr>
        <w:pStyle w:val="TOC1"/>
      </w:pPr>
      <w:hyperlink w:anchor="_Toc300000034" w:history="1">
        <w:r>
          <w:rPr>
            <w:noProof/>
          </w:rPr>
          <w:t>13.</w:t>
        </w:r>
        <w:r>
          <w:rPr>
            <w:noProof/>
          </w:rPr>
          <w:tab/>
        </w:r>
        <w:r>
          <w:rPr>
            <w:noProof/>
          </w:rPr>
          <w:t xml:space="preserve">Sign-Off</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24</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86"/>
        <w:gridCol w:w="991"/>
        <w:gridCol w:w="1821"/>
        <w:gridCol w:w="1500"/>
        <w:gridCol w:w="2142"/>
        <w:gridCol w:w="1287"/>
      </w:tblGrid>
      <w:tr w:rsidR="002B183A" w14:paraId="4E198CD6" w14:textId="77777777" w:rsidTr="002923F3">
        <w:trPr>
          <w:cantSplit/>
          <w:trHeight w:val="440"/>
          <w:tblHeader/>
        </w:trPr>
        <w:tc>
          <w:tcPr>
            <w:tcW w:w="1286"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91"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821"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500"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142"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87"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86"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991"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821"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Solution Architecture</w:t>
            </w:r>
          </w:p>
        </w:tc>
        <w:tc>
          <w:tcPr>
            <w:tcW w:w="1500"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Architecture</w:t>
            </w:r>
          </w:p>
        </w:tc>
        <w:tc>
          <w:tcPr>
            <w:tcW w:w="2142"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87"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61"/>
        <w:gridCol w:w="7466"/>
      </w:tblGrid>
      <w:tr w:rsidR="002B183A" w14:paraId="388F227F" w14:textId="77777777" w:rsidTr="002923F3">
        <w:trPr>
          <w:cantSplit/>
          <w:trHeight w:val="440"/>
          <w:tblHeader/>
        </w:trPr>
        <w:tc>
          <w:tcPr>
            <w:tcW w:w="1561"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66"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AI</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Artificial intelligence</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CDC</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Change data capture</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CI/CD</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 and continuous delivery</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CTI</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Computer telephony integration</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DPO</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protection officer</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HTML5</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Markup Language, version 5</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OIDC</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OpenID Connect</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PII</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Personally identifiable information</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REST</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Representational state transfer</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RPO</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Recovery point objective</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RTO</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Recovery time objective</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SQL</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Structured Query Language</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SSO</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Single sign-on</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TLS</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Transport Layer Security</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TOTP</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Time-based one-time password</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URL</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Uniform resource locator</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 added tax</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Vietnam Electronic Toll Collection</w:t>
            </w:r>
          </w:p>
        </w:tc>
      </w:tr>
      <w:tr w:rsidR="002B183A" w:rsidRPr="00BB346A" w14:paraId="73CFB63E" w14:textId="77777777" w:rsidTr="002923F3">
        <w:trPr>
          <w:cantSplit/>
          <w:trHeight w:val="449"/>
        </w:trPr>
        <w:tc>
          <w:tcPr>
            <w:tcW w:w="156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746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describes the architecture of the TASCO Growth Platform: the principles it follows, the context it operates in, its functional and technical structure, the main runtime flows and the quality targets it is built to meet. It is the entry point to the architecture set; the other architecture documents go deeper into one concern each.</w:t>
      </w:r>
    </w:p>
    <w:p>
      <w:pPr>
        <w:pStyle w:val="Heading2"/>
      </w:pPr>
      <w:bookmarkStart w:id="9" w:name="_Toc300000005"/>
      <w:r>
        <w:t xml:space="preserve">Scope</w:t>
      </w:r>
      <w:bookmarkEnd w:id="9"/>
    </w:p>
    <w:p>
      <w:pPr>
        <w:pStyle w:val="FirstParagraph"/>
      </w:pPr>
      <w:r>
        <w:t xml:space="preserve">The scope is the platform as built in the codebase delivered with this submission (the application under</w:t>
      </w:r>
      <w:r>
        <w:t xml:space="preserve"> </w:t>
      </w:r>
      <w:r>
        <w:rPr>
          <w:rStyle w:val="CodeChar"/>
        </w:rPr>
        <w:t xml:space="preserve">src/</w:t>
      </w:r>
      <w:r>
        <w:t xml:space="preserve">, business rules under</w:t>
      </w:r>
      <w:r>
        <w:t xml:space="preserve"> </w:t>
      </w:r>
      <w:r>
        <w:rPr>
          <w:rStyle w:val="CodeChar"/>
        </w:rPr>
        <w:t xml:space="preserve">config/</w:t>
      </w:r>
      <w:r>
        <w:t xml:space="preserve">, database migrations under</w:t>
      </w:r>
      <w:r>
        <w:t xml:space="preserve"> </w:t>
      </w:r>
      <w:r>
        <w:rPr>
          <w:rStyle w:val="CodeChar"/>
        </w:rPr>
        <w:t xml:space="preserve">db/</w:t>
      </w:r>
      <w:r>
        <w:t xml:space="preserve">), together with the production design for TASCO’s hosting in Vietnam. Where an external system is reached through a sandbox adapter today, this document says so. Business requirements and commercial terms are out of scope and are covered by the business documents.</w:t>
      </w:r>
    </w:p>
    <w:p>
      <w:pPr>
        <w:pStyle w:val="Heading2"/>
      </w:pPr>
      <w:bookmarkStart w:id="10" w:name="_Toc300000006"/>
      <w:r>
        <w:t xml:space="preserve">Audience</w:t>
      </w:r>
      <w:bookmarkEnd w:id="10"/>
    </w:p>
    <w:p>
      <w:pPr>
        <w:pStyle w:val="FirstParagraph"/>
      </w:pPr>
      <w:r>
        <w:t xml:space="preserve">TASCO Insurance IT architecture, information security and delivery leads; VETC technical leads; the iorta TechNXT delivery team.</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68"/>
        <w:gridCol w:w="3412"/>
        <w:gridCol w:w="4147"/>
      </w:tblGrid>
      <w:tr>
        <w:trPr>
          <w:cantSplit/>
          <w:tblHeader/>
        </w:trPr>
        <w:tc>
          <w:tcPr>
            <w:tcW w:w="1468" w:type="dxa"/>
            <w:shd w:val="clear" w:color="auto" w:fill="0F4761"/>
            <w:vAlign w:val="center"/>
          </w:tcPr>
          <w:p>
            <w:pPr>
              <w:pStyle w:val="TableHeading"/>
              <w:jc w:val="left"/>
            </w:pPr>
            <w:r>
              <w:rPr>
                <w:color w:val="FFFFFF"/>
              </w:rPr>
              <w:t xml:space="preserve">ID</w:t>
            </w:r>
          </w:p>
        </w:tc>
        <w:tc>
          <w:tcPr>
            <w:tcW w:w="3412" w:type="dxa"/>
            <w:shd w:val="clear" w:color="auto" w:fill="0F4761"/>
            <w:vAlign w:val="center"/>
          </w:tcPr>
          <w:p>
            <w:pPr>
              <w:pStyle w:val="TableHeading"/>
              <w:jc w:val="left"/>
            </w:pPr>
            <w:r>
              <w:rPr>
                <w:color w:val="FFFFFF"/>
              </w:rPr>
              <w:t xml:space="preserve">Title</w:t>
            </w:r>
          </w:p>
        </w:tc>
        <w:tc>
          <w:tcPr>
            <w:tcW w:w="4147" w:type="dxa"/>
            <w:shd w:val="clear" w:color="auto" w:fill="0F4761"/>
            <w:vAlign w:val="center"/>
          </w:tcPr>
          <w:p>
            <w:pPr>
              <w:pStyle w:val="TableHeading"/>
              <w:jc w:val="left"/>
            </w:pPr>
            <w:r>
              <w:rPr>
                <w:color w:val="FFFFFF"/>
              </w:rPr>
              <w:t xml:space="preserve">Relationship</w:t>
            </w:r>
          </w:p>
        </w:tc>
      </w:tr>
      <w:tr>
        <w:trPr>
          <w:cantSplit/>
        </w:trPr>
        <w:tc>
          <w:tcPr>
            <w:tcW w:w="1468" w:type="dxa"/>
            <w:noWrap/>
            <w:vAlign w:val="top"/>
          </w:tcPr>
          <w:p>
            <w:pPr>
              <w:pStyle w:val="TableText"/>
              <w:jc w:val="left"/>
            </w:pPr>
            <w:r>
              <w:t xml:space="preserve">TGP-BUS-02</w:t>
            </w:r>
          </w:p>
        </w:tc>
        <w:tc>
          <w:tcPr>
            <w:tcW w:w="3412" w:type="dxa"/>
            <w:vAlign w:val="top"/>
          </w:tcPr>
          <w:p>
            <w:pPr>
              <w:pStyle w:val="TableText"/>
              <w:jc w:val="left"/>
            </w:pPr>
            <w:r>
              <w:t xml:space="preserve">Functional Requirements Specification</w:t>
            </w:r>
          </w:p>
        </w:tc>
        <w:tc>
          <w:tcPr>
            <w:tcW w:w="4147" w:type="dxa"/>
            <w:vAlign w:val="top"/>
          </w:tcPr>
          <w:p>
            <w:pPr>
              <w:pStyle w:val="TableText"/>
              <w:jc w:val="left"/>
            </w:pPr>
            <w:r>
              <w:t xml:space="preserve">What the platform must do</w:t>
            </w:r>
          </w:p>
        </w:tc>
      </w:tr>
      <w:tr>
        <w:trPr>
          <w:cantSplit/>
        </w:trPr>
        <w:tc>
          <w:tcPr>
            <w:tcW w:w="1468" w:type="dxa"/>
            <w:shd w:val="clear" w:color="auto" w:fill="F4F7FB"/>
            <w:noWrap/>
            <w:vAlign w:val="top"/>
          </w:tcPr>
          <w:p>
            <w:pPr>
              <w:pStyle w:val="TableText"/>
              <w:jc w:val="left"/>
            </w:pPr>
            <w:r>
              <w:t xml:space="preserve">TGP-BUS-03</w:t>
            </w:r>
          </w:p>
        </w:tc>
        <w:tc>
          <w:tcPr>
            <w:tcW w:w="3412" w:type="dxa"/>
            <w:shd w:val="clear" w:color="auto" w:fill="F4F7FB"/>
            <w:vAlign w:val="top"/>
          </w:tcPr>
          <w:p>
            <w:pPr>
              <w:pStyle w:val="TableText"/>
              <w:jc w:val="left"/>
            </w:pPr>
            <w:r>
              <w:t xml:space="preserve">Non-Functional Requirements</w:t>
            </w:r>
          </w:p>
        </w:tc>
        <w:tc>
          <w:tcPr>
            <w:tcW w:w="4147" w:type="dxa"/>
            <w:shd w:val="clear" w:color="auto" w:fill="F4F7FB"/>
            <w:vAlign w:val="top"/>
          </w:tcPr>
          <w:p>
            <w:pPr>
              <w:pStyle w:val="TableText"/>
              <w:jc w:val="left"/>
            </w:pPr>
            <w:r>
              <w:t xml:space="preserve">Quality targets referenced in section 7</w:t>
            </w:r>
          </w:p>
        </w:tc>
      </w:tr>
      <w:tr>
        <w:trPr>
          <w:cantSplit/>
        </w:trPr>
        <w:tc>
          <w:tcPr>
            <w:tcW w:w="1468" w:type="dxa"/>
            <w:noWrap/>
            <w:vAlign w:val="top"/>
          </w:tcPr>
          <w:p>
            <w:pPr>
              <w:pStyle w:val="TableText"/>
              <w:jc w:val="left"/>
            </w:pPr>
            <w:r>
              <w:t xml:space="preserve">TGP-ARC-02</w:t>
            </w:r>
          </w:p>
        </w:tc>
        <w:tc>
          <w:tcPr>
            <w:tcW w:w="3412" w:type="dxa"/>
            <w:vAlign w:val="top"/>
          </w:tcPr>
          <w:p>
            <w:pPr>
              <w:pStyle w:val="TableText"/>
              <w:jc w:val="left"/>
            </w:pPr>
            <w:r>
              <w:t xml:space="preserve">Integration Architecture</w:t>
            </w:r>
          </w:p>
        </w:tc>
        <w:tc>
          <w:tcPr>
            <w:tcW w:w="4147" w:type="dxa"/>
            <w:vAlign w:val="top"/>
          </w:tcPr>
          <w:p>
            <w:pPr>
              <w:pStyle w:val="TableText"/>
              <w:jc w:val="left"/>
            </w:pPr>
            <w:r>
              <w:t xml:space="preserve">Contracts and sequences for every external system</w:t>
            </w:r>
          </w:p>
        </w:tc>
      </w:tr>
      <w:tr>
        <w:trPr>
          <w:cantSplit/>
        </w:trPr>
        <w:tc>
          <w:tcPr>
            <w:tcW w:w="1468" w:type="dxa"/>
            <w:shd w:val="clear" w:color="auto" w:fill="F4F7FB"/>
            <w:noWrap/>
            <w:vAlign w:val="top"/>
          </w:tcPr>
          <w:p>
            <w:pPr>
              <w:pStyle w:val="TableText"/>
              <w:jc w:val="left"/>
            </w:pPr>
            <w:r>
              <w:t xml:space="preserve">TGP-ARC-03</w:t>
            </w:r>
          </w:p>
        </w:tc>
        <w:tc>
          <w:tcPr>
            <w:tcW w:w="3412" w:type="dxa"/>
            <w:shd w:val="clear" w:color="auto" w:fill="F4F7FB"/>
            <w:vAlign w:val="top"/>
          </w:tcPr>
          <w:p>
            <w:pPr>
              <w:pStyle w:val="TableText"/>
              <w:jc w:val="left"/>
            </w:pPr>
            <w:r>
              <w:t xml:space="preserve">Data Architecture</w:t>
            </w:r>
          </w:p>
        </w:tc>
        <w:tc>
          <w:tcPr>
            <w:tcW w:w="4147" w:type="dxa"/>
            <w:shd w:val="clear" w:color="auto" w:fill="F4F7FB"/>
            <w:vAlign w:val="top"/>
          </w:tcPr>
          <w:p>
            <w:pPr>
              <w:pStyle w:val="TableText"/>
              <w:jc w:val="left"/>
            </w:pPr>
            <w:r>
              <w:t xml:space="preserve">Data model, golden record, retention</w:t>
            </w:r>
          </w:p>
        </w:tc>
      </w:tr>
      <w:tr>
        <w:trPr>
          <w:cantSplit/>
        </w:trPr>
        <w:tc>
          <w:tcPr>
            <w:tcW w:w="1468" w:type="dxa"/>
            <w:noWrap/>
            <w:vAlign w:val="top"/>
          </w:tcPr>
          <w:p>
            <w:pPr>
              <w:pStyle w:val="TableText"/>
              <w:jc w:val="left"/>
            </w:pPr>
            <w:r>
              <w:t xml:space="preserve">TGP-ARC-04</w:t>
            </w:r>
          </w:p>
        </w:tc>
        <w:tc>
          <w:tcPr>
            <w:tcW w:w="3412" w:type="dxa"/>
            <w:vAlign w:val="top"/>
          </w:tcPr>
          <w:p>
            <w:pPr>
              <w:pStyle w:val="TableText"/>
              <w:jc w:val="left"/>
            </w:pPr>
            <w:r>
              <w:t xml:space="preserve">Security Architecture</w:t>
            </w:r>
          </w:p>
        </w:tc>
        <w:tc>
          <w:tcPr>
            <w:tcW w:w="4147" w:type="dxa"/>
            <w:vAlign w:val="top"/>
          </w:tcPr>
          <w:p>
            <w:pPr>
              <w:pStyle w:val="TableText"/>
              <w:jc w:val="left"/>
            </w:pPr>
            <w:r>
              <w:t xml:space="preserve">Threat model, access control, cryptography</w:t>
            </w:r>
          </w:p>
        </w:tc>
      </w:tr>
      <w:tr>
        <w:trPr>
          <w:cantSplit/>
        </w:trPr>
        <w:tc>
          <w:tcPr>
            <w:tcW w:w="1468" w:type="dxa"/>
            <w:shd w:val="clear" w:color="auto" w:fill="F4F7FB"/>
            <w:noWrap/>
            <w:vAlign w:val="top"/>
          </w:tcPr>
          <w:p>
            <w:pPr>
              <w:pStyle w:val="TableText"/>
              <w:jc w:val="left"/>
            </w:pPr>
            <w:r>
              <w:t xml:space="preserve">TGP-ARC-05</w:t>
            </w:r>
          </w:p>
        </w:tc>
        <w:tc>
          <w:tcPr>
            <w:tcW w:w="3412" w:type="dxa"/>
            <w:shd w:val="clear" w:color="auto" w:fill="F4F7FB"/>
            <w:vAlign w:val="top"/>
          </w:tcPr>
          <w:p>
            <w:pPr>
              <w:pStyle w:val="TableText"/>
              <w:jc w:val="left"/>
            </w:pPr>
            <w:r>
              <w:t xml:space="preserve">Deployment and Infrastructure Architecture</w:t>
            </w:r>
          </w:p>
        </w:tc>
        <w:tc>
          <w:tcPr>
            <w:tcW w:w="4147" w:type="dxa"/>
            <w:shd w:val="clear" w:color="auto" w:fill="F4F7FB"/>
            <w:vAlign w:val="top"/>
          </w:tcPr>
          <w:p>
            <w:pPr>
              <w:pStyle w:val="TableText"/>
              <w:jc w:val="left"/>
            </w:pPr>
            <w:r>
              <w:t xml:space="preserve">Environments, Kubernetes, PostgreSQL, CI/CD</w:t>
            </w:r>
          </w:p>
        </w:tc>
      </w:tr>
      <w:tr>
        <w:trPr>
          <w:cantSplit/>
        </w:trPr>
        <w:tc>
          <w:tcPr>
            <w:tcW w:w="1468" w:type="dxa"/>
            <w:noWrap/>
            <w:vAlign w:val="top"/>
          </w:tcPr>
          <w:p>
            <w:pPr>
              <w:pStyle w:val="TableText"/>
              <w:jc w:val="left"/>
            </w:pPr>
            <w:r>
              <w:t xml:space="preserve">TGP-ARC-06</w:t>
            </w:r>
          </w:p>
        </w:tc>
        <w:tc>
          <w:tcPr>
            <w:tcW w:w="3412" w:type="dxa"/>
            <w:vAlign w:val="top"/>
          </w:tcPr>
          <w:p>
            <w:pPr>
              <w:pStyle w:val="TableText"/>
              <w:jc w:val="left"/>
            </w:pPr>
            <w:r>
              <w:t xml:space="preserve">AI Governance</w:t>
            </w:r>
          </w:p>
        </w:tc>
        <w:tc>
          <w:tcPr>
            <w:tcW w:w="4147" w:type="dxa"/>
            <w:vAlign w:val="top"/>
          </w:tcPr>
          <w:p>
            <w:pPr>
              <w:pStyle w:val="TableText"/>
              <w:jc w:val="left"/>
            </w:pPr>
            <w:r>
              <w:t xml:space="preserve">Voice assistant and scoring governance</w:t>
            </w:r>
          </w:p>
        </w:tc>
      </w:tr>
      <w:tr>
        <w:trPr>
          <w:cantSplit/>
        </w:trPr>
        <w:tc>
          <w:tcPr>
            <w:tcW w:w="1468" w:type="dxa"/>
            <w:shd w:val="clear" w:color="auto" w:fill="F4F7FB"/>
            <w:noWrap/>
            <w:vAlign w:val="top"/>
          </w:tcPr>
          <w:p>
            <w:pPr>
              <w:pStyle w:val="TableText"/>
              <w:jc w:val="left"/>
            </w:pPr>
            <w:r>
              <w:t xml:space="preserve">TGP-ARC-07</w:t>
            </w:r>
          </w:p>
        </w:tc>
        <w:tc>
          <w:tcPr>
            <w:tcW w:w="3412" w:type="dxa"/>
            <w:shd w:val="clear" w:color="auto" w:fill="F4F7FB"/>
            <w:vAlign w:val="top"/>
          </w:tcPr>
          <w:p>
            <w:pPr>
              <w:pStyle w:val="TableText"/>
              <w:jc w:val="left"/>
            </w:pPr>
            <w:r>
              <w:t xml:space="preserve">Architecture Decision Records</w:t>
            </w:r>
          </w:p>
        </w:tc>
        <w:tc>
          <w:tcPr>
            <w:tcW w:w="4147" w:type="dxa"/>
            <w:shd w:val="clear" w:color="auto" w:fill="F4F7FB"/>
            <w:vAlign w:val="top"/>
          </w:tcPr>
          <w:p>
            <w:pPr>
              <w:pStyle w:val="TableText"/>
              <w:jc w:val="left"/>
            </w:pPr>
            <w:r>
              <w:t xml:space="preserve">The decisions behind this design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Architecture principles</w:t>
      </w:r>
      <w:bookmarkEnd w:id="12"/>
    </w:p>
    <w:p>
      <w:pPr>
        <w:pStyle w:val="FirstParagraph"/>
      </w:pPr>
      <w:r>
        <w:t xml:space="preserve">The platform follows eight principles. Each one is enforced by something concrete in the code or the delivery process, not only by intent.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14"/>
        <w:gridCol w:w="6813"/>
      </w:tblGrid>
      <w:tr>
        <w:trPr>
          <w:cantSplit/>
          <w:tblHeader/>
        </w:trPr>
        <w:tc>
          <w:tcPr>
            <w:tcW w:w="2214" w:type="dxa"/>
            <w:shd w:val="clear" w:color="auto" w:fill="0F4761"/>
            <w:vAlign w:val="center"/>
          </w:tcPr>
          <w:p>
            <w:pPr>
              <w:pStyle w:val="TableHeading"/>
              <w:jc w:val="left"/>
            </w:pPr>
            <w:r>
              <w:rPr>
                <w:color w:val="FFFFFF"/>
              </w:rPr>
              <w:t xml:space="preserve">Principle</w:t>
            </w:r>
          </w:p>
        </w:tc>
        <w:tc>
          <w:tcPr>
            <w:tcW w:w="6813" w:type="dxa"/>
            <w:shd w:val="clear" w:color="auto" w:fill="0F4761"/>
            <w:vAlign w:val="center"/>
          </w:tcPr>
          <w:p>
            <w:pPr>
              <w:pStyle w:val="TableHeading"/>
              <w:jc w:val="left"/>
            </w:pPr>
            <w:r>
              <w:rPr>
                <w:color w:val="FFFFFF"/>
              </w:rPr>
              <w:t xml:space="preserve">What it means in practice</w:t>
            </w:r>
          </w:p>
        </w:tc>
      </w:tr>
      <w:tr>
        <w:trPr>
          <w:cantSplit/>
        </w:trPr>
        <w:tc>
          <w:tcPr>
            <w:tcW w:w="2214" w:type="dxa"/>
            <w:vAlign w:val="top"/>
          </w:tcPr>
          <w:p>
            <w:pPr>
              <w:pStyle w:val="TableText"/>
              <w:jc w:val="left"/>
            </w:pPr>
            <w:r>
              <w:t xml:space="preserve">TASCO core is the system of record</w:t>
            </w:r>
          </w:p>
        </w:tc>
        <w:tc>
          <w:tcPr>
            <w:tcW w:w="6813" w:type="dxa"/>
            <w:vAlign w:val="top"/>
          </w:tcPr>
          <w:p>
            <w:pPr>
              <w:pStyle w:val="TableText"/>
              <w:jc w:val="left"/>
            </w:pPr>
            <w:r>
              <w:t xml:space="preserve">Products, rating and policies belong to TASCO core. The platform requests a price from core for every bindable quote and binds exactly that quote. It never sets a premium on its own authority in production.</w:t>
            </w:r>
          </w:p>
        </w:tc>
      </w:tr>
      <w:tr>
        <w:trPr>
          <w:cantSplit/>
        </w:trPr>
        <w:tc>
          <w:tcPr>
            <w:tcW w:w="2214" w:type="dxa"/>
            <w:shd w:val="clear" w:color="auto" w:fill="F4F7FB"/>
            <w:vAlign w:val="top"/>
          </w:tcPr>
          <w:p>
            <w:pPr>
              <w:pStyle w:val="TableText"/>
              <w:jc w:val="left"/>
            </w:pPr>
            <w:r>
              <w:t xml:space="preserve">Business rules are configuration</w:t>
            </w:r>
          </w:p>
        </w:tc>
        <w:tc>
          <w:tcPr>
            <w:tcW w:w="6813" w:type="dxa"/>
            <w:shd w:val="clear" w:color="auto" w:fill="F4F7FB"/>
            <w:vAlign w:val="top"/>
          </w:tcPr>
          <w:p>
            <w:pPr>
              <w:pStyle w:val="TableText"/>
              <w:jc w:val="left"/>
            </w:pPr>
            <w:r>
              <w:t xml:space="preserve">Tariffs, scoring, journeys, message templates, the voice script, consent policy and retention are versioned rule sets. A change is validated, approved by a second person and audited, without a software release.</w:t>
            </w:r>
          </w:p>
        </w:tc>
      </w:tr>
      <w:tr>
        <w:trPr>
          <w:cantSplit/>
        </w:trPr>
        <w:tc>
          <w:tcPr>
            <w:tcW w:w="2214" w:type="dxa"/>
            <w:vAlign w:val="top"/>
          </w:tcPr>
          <w:p>
            <w:pPr>
              <w:pStyle w:val="TableText"/>
              <w:jc w:val="left"/>
            </w:pPr>
            <w:r>
              <w:t xml:space="preserve">Integrations sit behind ports</w:t>
            </w:r>
          </w:p>
        </w:tc>
        <w:tc>
          <w:tcPr>
            <w:tcW w:w="6813" w:type="dxa"/>
            <w:vAlign w:val="top"/>
          </w:tcPr>
          <w:p>
            <w:pPr>
              <w:pStyle w:val="TableText"/>
              <w:jc w:val="left"/>
            </w:pPr>
            <w:r>
              <w:t xml:space="preserve">Each external system is reached through a defined interface with its own adapter. Replacing a voice vendor or an SMS provider means writing one adapter.</w:t>
            </w:r>
          </w:p>
        </w:tc>
      </w:tr>
      <w:tr>
        <w:trPr>
          <w:cantSplit/>
        </w:trPr>
        <w:tc>
          <w:tcPr>
            <w:tcW w:w="2214" w:type="dxa"/>
            <w:shd w:val="clear" w:color="auto" w:fill="F4F7FB"/>
            <w:vAlign w:val="top"/>
          </w:tcPr>
          <w:p>
            <w:pPr>
              <w:pStyle w:val="TableText"/>
              <w:jc w:val="left"/>
            </w:pPr>
            <w:r>
              <w:t xml:space="preserve">Every decision is explainable</w:t>
            </w:r>
          </w:p>
        </w:tc>
        <w:tc>
          <w:tcPr>
            <w:tcW w:w="6813" w:type="dxa"/>
            <w:shd w:val="clear" w:color="auto" w:fill="F4F7FB"/>
            <w:vAlign w:val="top"/>
          </w:tcPr>
          <w:p>
            <w:pPr>
              <w:pStyle w:val="TableText"/>
              <w:jc w:val="left"/>
            </w:pPr>
            <w:r>
              <w:t xml:space="preserve">Each lead score carries its factor reasons, each next-best action carries the rule that chose it, and each journey step records why a message was or was not sent.</w:t>
            </w:r>
          </w:p>
        </w:tc>
      </w:tr>
      <w:tr>
        <w:trPr>
          <w:cantSplit/>
        </w:trPr>
        <w:tc>
          <w:tcPr>
            <w:tcW w:w="2214" w:type="dxa"/>
            <w:vAlign w:val="top"/>
          </w:tcPr>
          <w:p>
            <w:pPr>
              <w:pStyle w:val="TableText"/>
              <w:jc w:val="left"/>
            </w:pPr>
            <w:r>
              <w:t xml:space="preserve">Reuse before build</w:t>
            </w:r>
          </w:p>
        </w:tc>
        <w:tc>
          <w:tcPr>
            <w:tcW w:w="6813" w:type="dxa"/>
            <w:vAlign w:val="top"/>
          </w:tcPr>
          <w:p>
            <w:pPr>
              <w:pStyle w:val="TableText"/>
              <w:jc w:val="left"/>
            </w:pPr>
            <w:r>
              <w:t xml:space="preserve">One set of customer services serves every front door: the VETC app, TASCO’s app and website, a Zalo Mini App and partners such as Tasco360. TASCO core, the VETC wallet, TASCO’s payment gateway, Zalo and the contact centre are reused through ports, not rebuilt.</w:t>
            </w:r>
          </w:p>
        </w:tc>
      </w:tr>
      <w:tr>
        <w:trPr>
          <w:cantSplit/>
        </w:trPr>
        <w:tc>
          <w:tcPr>
            <w:tcW w:w="2214" w:type="dxa"/>
            <w:shd w:val="clear" w:color="auto" w:fill="F4F7FB"/>
            <w:vAlign w:val="top"/>
          </w:tcPr>
          <w:p>
            <w:pPr>
              <w:pStyle w:val="TableText"/>
              <w:jc w:val="left"/>
            </w:pPr>
            <w:r>
              <w:t xml:space="preserve">Security and privacy by design</w:t>
            </w:r>
          </w:p>
        </w:tc>
        <w:tc>
          <w:tcPr>
            <w:tcW w:w="6813" w:type="dxa"/>
            <w:shd w:val="clear" w:color="auto" w:fill="F4F7FB"/>
            <w:vAlign w:val="top"/>
          </w:tcPr>
          <w:p>
            <w:pPr>
              <w:pStyle w:val="TableText"/>
              <w:jc w:val="left"/>
            </w:pPr>
            <w:r>
              <w:t xml:space="preserve">Deny by default, least privilege, field-level encryption of personal data, consent checks before every contact and a tamper-evident audit trail.</w:t>
            </w:r>
          </w:p>
        </w:tc>
      </w:tr>
      <w:tr>
        <w:trPr>
          <w:cantSplit/>
        </w:trPr>
        <w:tc>
          <w:tcPr>
            <w:tcW w:w="2214" w:type="dxa"/>
            <w:vAlign w:val="top"/>
          </w:tcPr>
          <w:p>
            <w:pPr>
              <w:pStyle w:val="TableText"/>
              <w:jc w:val="left"/>
            </w:pPr>
            <w:r>
              <w:t xml:space="preserve">Small supply chain</w:t>
            </w:r>
          </w:p>
        </w:tc>
        <w:tc>
          <w:tcPr>
            <w:tcW w:w="6813" w:type="dxa"/>
            <w:vAlign w:val="top"/>
          </w:tcPr>
          <w:p>
            <w:pPr>
              <w:pStyle w:val="TableText"/>
              <w:jc w:val="left"/>
            </w:pPr>
            <w:r>
              <w:t xml:space="preserve">One runtime dependency (the PostgreSQL driver). HTTP, cryptography, validation and metrics use the Node.js standard library.</w:t>
            </w:r>
          </w:p>
        </w:tc>
      </w:tr>
      <w:tr>
        <w:trPr>
          <w:cantSplit/>
        </w:trPr>
        <w:tc>
          <w:tcPr>
            <w:tcW w:w="2214" w:type="dxa"/>
            <w:shd w:val="clear" w:color="auto" w:fill="F4F7FB"/>
            <w:vAlign w:val="top"/>
          </w:tcPr>
          <w:p>
            <w:pPr>
              <w:pStyle w:val="TableText"/>
              <w:jc w:val="left"/>
            </w:pPr>
            <w:r>
              <w:t xml:space="preserve">Same behaviour everywhere</w:t>
            </w:r>
          </w:p>
        </w:tc>
        <w:tc>
          <w:tcPr>
            <w:tcW w:w="6813" w:type="dxa"/>
            <w:shd w:val="clear" w:color="auto" w:fill="F4F7FB"/>
            <w:vAlign w:val="top"/>
          </w:tcPr>
          <w:p>
            <w:pPr>
              <w:pStyle w:val="TableText"/>
              <w:jc w:val="left"/>
            </w:pPr>
            <w:r>
              <w:t xml:space="preserve">One container image for every environment. The in-memory store used in development shares encryption, filtering and audit-chain code with the PostgreSQL store.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Context</w:t>
      </w:r>
      <w:bookmarkEnd w:id="13"/>
    </w:p>
    <w:p>
      <w:pPr>
        <w:pStyle w:val="Heading2"/>
      </w:pPr>
      <w:bookmarkStart w:id="14" w:name="_Toc300000010"/>
      <w:r>
        <w:t xml:space="preserve">Business context</w:t>
      </w:r>
      <w:bookmarkEnd w:id="14"/>
    </w:p>
    <w:p>
      <w:pPr>
        <w:pStyle w:val="FirstParagraph"/>
      </w:pPr>
      <w:r>
        <w:t xml:space="preserve">VETC operates electronic toll collection for about 6 million vehicles and holds a plate, a phone number and engagement signals for each of them. Only about one record in ten carries a verified motor insurance certificate. TASCO Insurance wants to use this base to win new TNDS business, retain its own customers and work with the banks, showrooms, agents, fleets and inspection centres that close most TNDS sales today.</w:t>
      </w:r>
    </w:p>
    <w:p>
      <w:pPr>
        <w:pStyle w:val="BodyText"/>
      </w:pPr>
      <w:r>
        <w:t xml:space="preserve">The TNDS premium is set by regulation, so price cannot be the lever (to be confirmed by TASCO legal against Decree 67/2023/ND-CP). The platform competes on data quality, timing, channel and service value, and it keeps every customer contact within consent and contact-policy limits.</w:t>
      </w:r>
    </w:p>
    <w:p>
      <w:pPr>
        <w:pStyle w:val="Heading2"/>
      </w:pPr>
      <w:bookmarkStart w:id="15" w:name="_Toc300000011"/>
      <w:r>
        <w:t xml:space="preserve">System context</w:t>
      </w:r>
      <w:bookmarkEnd w:id="15"/>
    </w:p>
    <w:p>
      <w:pPr>
        <w:pStyle w:val="FirstParagraph"/>
      </w:pPr>
      <w:r>
        <w:t xml:space="preserve">The platform sits between the vehicle owner, TASCO and VETC staff, partners and the systems that hold products, policies, payments and channels. The diagram below shows who and what the platform talks to.</w:t>
      </w:r>
    </w:p>
    <w:p xmlns:a="http://schemas.openxmlformats.org/drawingml/2006/main" xmlns:pic="http://schemas.openxmlformats.org/drawingml/2006/picture">
      <w:pPr>
        <w:pStyle w:val="Figure"/>
      </w:pPr>
      <w:r>
        <w:drawing>
          <wp:inline>
            <wp:extent cx="5727700" cy="4228084"/>
            <wp:effectExtent b="0" l="0" r="0" t="0"/>
            <wp:docPr descr="System context: the people and systems the platform talks to" title="" id="5002" name="Picture"/>
            <a:graphic>
              <a:graphicData uri="http://schemas.openxmlformats.org/drawingml/2006/picture">
                <pic:pic>
                  <pic:nvPicPr>
                    <pic:cNvPr descr="/tmp/claude-0/-home-user-TASCO/19e5534d-12b5-5956-9b60-3e77efde0f49/scratchpad/gen/.cache/mermaid/49b657dc59591733.png" id="29" name="Picture"/>
                    <pic:cNvPicPr>
                      <a:picLocks noChangeArrowheads="1" noChangeAspect="1"/>
                    </pic:cNvPicPr>
                  </pic:nvPicPr>
                  <pic:blipFill>
                    <a:blip r:embed="rIdG1"/>
                    <a:stretch>
                      <a:fillRect/>
                    </a:stretch>
                  </pic:blipFill>
                  <pic:spPr bwMode="auto">
                    <a:xfrm>
                      <a:off x="0" y="0"/>
                      <a:ext cx="5727700" cy="4228084"/>
                    </a:xfrm>
                    <a:prstGeom prst="rect">
                      <a:avLst/>
                    </a:prstGeom>
                    <a:noFill/>
                    <a:ln w="9525">
                      <a:noFill/>
                      <a:headEnd/>
                      <a:tailEnd/>
                    </a:ln>
                  </pic:spPr>
                </pic:pic>
              </a:graphicData>
            </a:graphic>
          </wp:inline>
        </w:drawing>
      </w:r>
    </w:p>
    <w:p>
      <w:pPr>
        <w:pStyle w:val="Caption"/>
      </w:pPr>
      <w:r>
        <w:t xml:space="preserve">Figure 1 – System context: the people and systems the platform talks to</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93"/>
        <w:gridCol w:w="7434"/>
      </w:tblGrid>
      <w:tr>
        <w:trPr>
          <w:cantSplit/>
          <w:tblHeader/>
        </w:trPr>
        <w:tc>
          <w:tcPr>
            <w:tcW w:w="1593" w:type="dxa"/>
            <w:shd w:val="clear" w:color="auto" w:fill="0F4761"/>
            <w:vAlign w:val="center"/>
          </w:tcPr>
          <w:p>
            <w:pPr>
              <w:pStyle w:val="TableHeading"/>
              <w:jc w:val="left"/>
            </w:pPr>
            <w:r>
              <w:rPr>
                <w:color w:val="FFFFFF"/>
              </w:rPr>
              <w:t xml:space="preserve">Actor or system</w:t>
            </w:r>
          </w:p>
        </w:tc>
        <w:tc>
          <w:tcPr>
            <w:tcW w:w="7434" w:type="dxa"/>
            <w:shd w:val="clear" w:color="auto" w:fill="0F4761"/>
            <w:vAlign w:val="center"/>
          </w:tcPr>
          <w:p>
            <w:pPr>
              <w:pStyle w:val="TableHeading"/>
              <w:jc w:val="left"/>
            </w:pPr>
            <w:r>
              <w:rPr>
                <w:color w:val="FFFFFF"/>
              </w:rPr>
              <w:t xml:space="preserve">Interaction with the platform</w:t>
            </w:r>
          </w:p>
        </w:tc>
      </w:tr>
      <w:tr>
        <w:trPr>
          <w:cantSplit/>
        </w:trPr>
        <w:tc>
          <w:tcPr>
            <w:tcW w:w="1593" w:type="dxa"/>
            <w:vAlign w:val="top"/>
          </w:tcPr>
          <w:p>
            <w:pPr>
              <w:pStyle w:val="TableText"/>
              <w:jc w:val="left"/>
            </w:pPr>
            <w:r>
              <w:t xml:space="preserve">Vehicle owner</w:t>
            </w:r>
          </w:p>
        </w:tc>
        <w:tc>
          <w:tcPr>
            <w:tcW w:w="7434" w:type="dxa"/>
            <w:vAlign w:val="top"/>
          </w:tcPr>
          <w:p>
            <w:pPr>
              <w:pStyle w:val="TableText"/>
              <w:jc w:val="left"/>
            </w:pPr>
            <w:r>
              <w:t xml:space="preserve">Uses the customer app inside the VETC app (web view) or from a Zalo message: checks cover, declares an expiry date, reviews and pays quotes from the VETC wallet, manages consent, reports a claim.</w:t>
            </w:r>
          </w:p>
        </w:tc>
      </w:tr>
      <w:tr>
        <w:trPr>
          <w:cantSplit/>
        </w:trPr>
        <w:tc>
          <w:tcPr>
            <w:tcW w:w="1593" w:type="dxa"/>
            <w:shd w:val="clear" w:color="auto" w:fill="F4F7FB"/>
            <w:vAlign w:val="top"/>
          </w:tcPr>
          <w:p>
            <w:pPr>
              <w:pStyle w:val="TableText"/>
              <w:jc w:val="left"/>
            </w:pPr>
            <w:r>
              <w:t xml:space="preserve">TASCO and VETC staff</w:t>
            </w:r>
          </w:p>
        </w:tc>
        <w:tc>
          <w:tcPr>
            <w:tcW w:w="7434" w:type="dxa"/>
            <w:shd w:val="clear" w:color="auto" w:fill="F4F7FB"/>
            <w:vAlign w:val="top"/>
          </w:tcPr>
          <w:p>
            <w:pPr>
              <w:pStyle w:val="TableText"/>
              <w:jc w:val="left"/>
            </w:pPr>
            <w:r>
              <w:t xml:space="preserve">Use the staff console across 13 roles: telesales, campaign, rules, compliance, data stewardship, claims, partner management, audit, operations and administration. Staff quote and send quotes; they never take payment.</w:t>
            </w:r>
          </w:p>
        </w:tc>
      </w:tr>
      <w:tr>
        <w:trPr>
          <w:cantSplit/>
        </w:trPr>
        <w:tc>
          <w:tcPr>
            <w:tcW w:w="1593" w:type="dxa"/>
            <w:vAlign w:val="top"/>
          </w:tcPr>
          <w:p>
            <w:pPr>
              <w:pStyle w:val="TableText"/>
              <w:jc w:val="left"/>
            </w:pPr>
            <w:r>
              <w:t xml:space="preserve">Partners</w:t>
            </w:r>
          </w:p>
        </w:tc>
        <w:tc>
          <w:tcPr>
            <w:tcW w:w="7434" w:type="dxa"/>
            <w:vAlign w:val="top"/>
          </w:tcPr>
          <w:p>
            <w:pPr>
              <w:pStyle w:val="TableText"/>
              <w:jc w:val="left"/>
            </w:pPr>
            <w:r>
              <w:t xml:space="preserve">Call the Partner API to quote and bind for their own customers. The partner collects the premium.</w:t>
            </w:r>
          </w:p>
        </w:tc>
      </w:tr>
      <w:tr>
        <w:trPr>
          <w:cantSplit/>
        </w:trPr>
        <w:tc>
          <w:tcPr>
            <w:tcW w:w="1593" w:type="dxa"/>
            <w:shd w:val="clear" w:color="auto" w:fill="F4F7FB"/>
            <w:vAlign w:val="top"/>
          </w:tcPr>
          <w:p>
            <w:pPr>
              <w:pStyle w:val="TableText"/>
              <w:jc w:val="left"/>
            </w:pPr>
            <w:r>
              <w:t xml:space="preserve">TASCO core</w:t>
            </w:r>
          </w:p>
        </w:tc>
        <w:tc>
          <w:tcPr>
            <w:tcW w:w="7434" w:type="dxa"/>
            <w:shd w:val="clear" w:color="auto" w:fill="F4F7FB"/>
            <w:vAlign w:val="top"/>
          </w:tcPr>
          <w:p>
            <w:pPr>
              <w:pStyle w:val="TableText"/>
              <w:jc w:val="left"/>
            </w:pPr>
            <w:r>
              <w:t xml:space="preserve">Master for the product catalogue and rating; binds and issues policies; supplies the policy book; receives claim notifications.</w:t>
            </w:r>
          </w:p>
        </w:tc>
      </w:tr>
      <w:tr>
        <w:trPr>
          <w:cantSplit/>
        </w:trPr>
        <w:tc>
          <w:tcPr>
            <w:tcW w:w="1593" w:type="dxa"/>
            <w:vAlign w:val="top"/>
          </w:tcPr>
          <w:p>
            <w:pPr>
              <w:pStyle w:val="TableText"/>
              <w:jc w:val="left"/>
            </w:pPr>
            <w:r>
              <w:t xml:space="preserve">VETC platform</w:t>
            </w:r>
          </w:p>
        </w:tc>
        <w:tc>
          <w:tcPr>
            <w:tcW w:w="7434" w:type="dxa"/>
            <w:vAlign w:val="top"/>
          </w:tcPr>
          <w:p>
            <w:pPr>
              <w:pStyle w:val="TableText"/>
              <w:jc w:val="left"/>
            </w:pPr>
            <w:r>
              <w:t xml:space="preserve">Supplies account and vehicle data and tag events, hosts the customer app as a web view, delivers push notifications and debits the VETC wallet with the customer’s confirmation.</w:t>
            </w:r>
          </w:p>
        </w:tc>
      </w:tr>
      <w:tr>
        <w:trPr>
          <w:cantSplit/>
        </w:trPr>
        <w:tc>
          <w:tcPr>
            <w:tcW w:w="1593" w:type="dxa"/>
            <w:shd w:val="clear" w:color="auto" w:fill="F4F7FB"/>
            <w:vAlign w:val="top"/>
          </w:tcPr>
          <w:p>
            <w:pPr>
              <w:pStyle w:val="TableText"/>
              <w:jc w:val="left"/>
            </w:pPr>
            <w:r>
              <w:t xml:space="preserve">Zalo ZNS and SMS</w:t>
            </w:r>
          </w:p>
        </w:tc>
        <w:tc>
          <w:tcPr>
            <w:tcW w:w="7434" w:type="dxa"/>
            <w:shd w:val="clear" w:color="auto" w:fill="F4F7FB"/>
            <w:vAlign w:val="top"/>
          </w:tcPr>
          <w:p>
            <w:pPr>
              <w:pStyle w:val="TableText"/>
              <w:jc w:val="left"/>
            </w:pPr>
            <w:r>
              <w:t xml:space="preserve">Deliver pre-approved service and marketing templates.</w:t>
            </w:r>
          </w:p>
        </w:tc>
      </w:tr>
      <w:tr>
        <w:trPr>
          <w:cantSplit/>
        </w:trPr>
        <w:tc>
          <w:tcPr>
            <w:tcW w:w="1593" w:type="dxa"/>
            <w:vAlign w:val="top"/>
          </w:tcPr>
          <w:p>
            <w:pPr>
              <w:pStyle w:val="TableText"/>
              <w:jc w:val="left"/>
            </w:pPr>
            <w:r>
              <w:t xml:space="preserve">Voice AI vendor</w:t>
            </w:r>
          </w:p>
        </w:tc>
        <w:tc>
          <w:tcPr>
            <w:tcW w:w="7434" w:type="dxa"/>
            <w:vAlign w:val="top"/>
          </w:tcPr>
          <w:p>
            <w:pPr>
              <w:pStyle w:val="TableText"/>
              <w:jc w:val="left"/>
            </w:pPr>
            <w:r>
              <w:t xml:space="preserve">Places automated calls, provides Vietnamese speech recognition and text to speech, and speaks only approved script lines.</w:t>
            </w:r>
          </w:p>
        </w:tc>
      </w:tr>
      <w:tr>
        <w:trPr>
          <w:cantSplit/>
        </w:trPr>
        <w:tc>
          <w:tcPr>
            <w:tcW w:w="1593" w:type="dxa"/>
            <w:shd w:val="clear" w:color="auto" w:fill="F4F7FB"/>
            <w:vAlign w:val="top"/>
          </w:tcPr>
          <w:p>
            <w:pPr>
              <w:pStyle w:val="TableText"/>
              <w:jc w:val="left"/>
            </w:pPr>
            <w:r>
              <w:t xml:space="preserve">TASCO data warehouse</w:t>
            </w:r>
          </w:p>
        </w:tc>
        <w:tc>
          <w:tcPr>
            <w:tcW w:w="7434" w:type="dxa"/>
            <w:shd w:val="clear" w:color="auto" w:fill="F4F7FB"/>
            <w:vAlign w:val="top"/>
          </w:tcPr>
          <w:p>
            <w:pPr>
              <w:pStyle w:val="TableText"/>
              <w:jc w:val="left"/>
            </w:pPr>
            <w:r>
              <w:t xml:space="preserve">Receives a daily pseudonymised extract for reporting (scale phase).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6" w:name="_Toc300000012"/>
      <w:r>
        <w:rPr>
          <w:rStyle w:val="BookTitle"/>
          <w:bCs w:val="0"/>
          <w:i w:val="0"/>
          <w:iCs w:val="0"/>
          <w:spacing w:val="0"/>
        </w:rPr>
        <w:t xml:space="preserve">Functional architecture</w:t>
      </w:r>
      <w:bookmarkEnd w:id="16"/>
    </w:p>
    <w:p>
      <w:pPr>
        <w:pStyle w:val="Heading2"/>
      </w:pPr>
      <w:bookmarkStart w:id="17" w:name="_Toc300000013"/>
      <w:r>
        <w:t xml:space="preserve">Layered view</w:t>
      </w:r>
      <w:bookmarkEnd w:id="17"/>
    </w:p>
    <w:p>
      <w:pPr>
        <w:pStyle w:val="FirstParagraph"/>
      </w:pPr>
      <w:r>
        <w:t xml:space="preserve">The platform is organised in six layers, from the channels customers and staff use down to the systems of record. Each row in the diagram is one layer.</w:t>
      </w:r>
    </w:p>
    <w:p xmlns:a="http://schemas.openxmlformats.org/drawingml/2006/main" xmlns:pic="http://schemas.openxmlformats.org/drawingml/2006/picture">
      <w:pPr>
        <w:pStyle w:val="Figure"/>
      </w:pPr>
      <w:r>
        <w:drawing>
          <wp:inline>
            <wp:extent cx="5727700" cy="5727700"/>
            <wp:effectExtent b="0" l="0" r="0" t="0"/>
            <wp:docPr descr="Layered view, in which business services use the foundation and reach the systems of record through the integration adapters" title="" id="5003" name="Picture"/>
            <a:graphic>
              <a:graphicData uri="http://schemas.openxmlformats.org/drawingml/2006/picture">
                <pic:pic>
                  <pic:nvPicPr>
                    <pic:cNvPr descr="/tmp/claude-0/-home-user-TASCO/19e5534d-12b5-5956-9b60-3e77efde0f49/scratchpad/gen/.cache/mermaid/29ce0fde201da8c3.png" id="34" name="Picture"/>
                    <pic:cNvPicPr>
                      <a:picLocks noChangeArrowheads="1" noChangeAspect="1"/>
                    </pic:cNvPicPr>
                  </pic:nvPicPr>
                  <pic:blipFill>
                    <a:blip r:embed="rIdG2"/>
                    <a:stretch>
                      <a:fillRect/>
                    </a:stretch>
                  </pic:blipFill>
                  <pic:spPr bwMode="auto">
                    <a:xfrm>
                      <a:off x="0" y="0"/>
                      <a:ext cx="5727700" cy="5727700"/>
                    </a:xfrm>
                    <a:prstGeom prst="rect">
                      <a:avLst/>
                    </a:prstGeom>
                    <a:noFill/>
                    <a:ln w="9525">
                      <a:noFill/>
                      <a:headEnd/>
                      <a:tailEnd/>
                    </a:ln>
                  </pic:spPr>
                </pic:pic>
              </a:graphicData>
            </a:graphic>
          </wp:inline>
        </w:drawing>
      </w:r>
    </w:p>
    <w:p>
      <w:pPr>
        <w:pStyle w:val="Caption"/>
      </w:pPr>
      <w:r>
        <w:t xml:space="preserve">Figure 2 – Layered view, in which business services use the foundation and reach the systems of record through the integration adapters</w:t>
      </w:r>
    </w:p>
    <w:p>
      <w:pPr>
        <w:pStyle w:val="Heading2"/>
      </w:pPr>
      <w:bookmarkStart w:id="18" w:name="_Toc300000014"/>
      <w:r>
        <w:t xml:space="preserve">Capabilities</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68"/>
        <w:gridCol w:w="4931"/>
        <w:gridCol w:w="2128"/>
      </w:tblGrid>
      <w:tr>
        <w:trPr>
          <w:cantSplit/>
          <w:tblHeader/>
        </w:trPr>
        <w:tc>
          <w:tcPr>
            <w:tcW w:w="1968" w:type="dxa"/>
            <w:shd w:val="clear" w:color="auto" w:fill="0F4761"/>
            <w:vAlign w:val="center"/>
          </w:tcPr>
          <w:p>
            <w:pPr>
              <w:pStyle w:val="TableHeading"/>
              <w:jc w:val="left"/>
            </w:pPr>
            <w:r>
              <w:rPr>
                <w:color w:val="FFFFFF"/>
              </w:rPr>
              <w:t xml:space="preserve">Capability</w:t>
            </w:r>
          </w:p>
        </w:tc>
        <w:tc>
          <w:tcPr>
            <w:tcW w:w="4931" w:type="dxa"/>
            <w:shd w:val="clear" w:color="auto" w:fill="0F4761"/>
            <w:vAlign w:val="center"/>
          </w:tcPr>
          <w:p>
            <w:pPr>
              <w:pStyle w:val="TableHeading"/>
              <w:jc w:val="left"/>
            </w:pPr>
            <w:r>
              <w:rPr>
                <w:color w:val="FFFFFF"/>
              </w:rPr>
              <w:t xml:space="preserve">What it does</w:t>
            </w:r>
          </w:p>
        </w:tc>
        <w:tc>
          <w:tcPr>
            <w:tcW w:w="2128" w:type="dxa"/>
            <w:shd w:val="clear" w:color="auto" w:fill="0F4761"/>
            <w:vAlign w:val="center"/>
          </w:tcPr>
          <w:p>
            <w:pPr>
              <w:pStyle w:val="TableHeading"/>
              <w:jc w:val="left"/>
            </w:pPr>
            <w:r>
              <w:rPr>
                <w:color w:val="FFFFFF"/>
              </w:rPr>
              <w:t xml:space="preserve">Main components</w:t>
            </w:r>
          </w:p>
        </w:tc>
      </w:tr>
      <w:tr>
        <w:trPr>
          <w:cantSplit/>
        </w:trPr>
        <w:tc>
          <w:tcPr>
            <w:tcW w:w="1968" w:type="dxa"/>
            <w:vAlign w:val="top"/>
          </w:tcPr>
          <w:p>
            <w:pPr>
              <w:pStyle w:val="TableText"/>
              <w:jc w:val="left"/>
            </w:pPr>
            <w:r>
              <w:t xml:space="preserve">Customer data and golden record</w:t>
            </w:r>
          </w:p>
        </w:tc>
        <w:tc>
          <w:tcPr>
            <w:tcW w:w="4931" w:type="dxa"/>
            <w:vAlign w:val="top"/>
          </w:tcPr>
          <w:p>
            <w:pPr>
              <w:pStyle w:val="TableText"/>
              <w:jc w:val="left"/>
            </w:pPr>
            <w:r>
              <w:t xml:space="preserve">Lands records from VETC, partners and telesales lists, normalises plates and phones, and builds one profile per vehicle with field lineage and a data quality score</w:t>
            </w:r>
          </w:p>
        </w:tc>
        <w:tc>
          <w:tcPr>
            <w:tcW w:w="2128" w:type="dxa"/>
            <w:vAlign w:val="top"/>
          </w:tcPr>
          <w:p>
            <w:pPr>
              <w:pStyle w:val="TableText"/>
              <w:jc w:val="left"/>
            </w:pPr>
            <w:r>
              <w:t xml:space="preserve">Ingestion service, enrichment domain</w:t>
            </w:r>
          </w:p>
        </w:tc>
      </w:tr>
      <w:tr>
        <w:trPr>
          <w:cantSplit/>
        </w:trPr>
        <w:tc>
          <w:tcPr>
            <w:tcW w:w="1968" w:type="dxa"/>
            <w:shd w:val="clear" w:color="auto" w:fill="F4F7FB"/>
            <w:vAlign w:val="top"/>
          </w:tcPr>
          <w:p>
            <w:pPr>
              <w:pStyle w:val="TableText"/>
              <w:jc w:val="left"/>
            </w:pPr>
            <w:r>
              <w:t xml:space="preserve">Lead intelligence</w:t>
            </w:r>
          </w:p>
        </w:tc>
        <w:tc>
          <w:tcPr>
            <w:tcW w:w="4931" w:type="dxa"/>
            <w:shd w:val="clear" w:color="auto" w:fill="F4F7FB"/>
            <w:vAlign w:val="top"/>
          </w:tcPr>
          <w:p>
            <w:pPr>
              <w:pStyle w:val="TableText"/>
              <w:jc w:val="left"/>
            </w:pPr>
            <w:r>
              <w:t xml:space="preserve">Scores each vehicle (explainable factors), assigns a journey and a next-best action, and selects relevant benefits</w:t>
            </w:r>
          </w:p>
        </w:tc>
        <w:tc>
          <w:tcPr>
            <w:tcW w:w="2128" w:type="dxa"/>
            <w:shd w:val="clear" w:color="auto" w:fill="F4F7FB"/>
            <w:vAlign w:val="top"/>
          </w:tcPr>
          <w:p>
            <w:pPr>
              <w:pStyle w:val="TableText"/>
              <w:jc w:val="left"/>
            </w:pPr>
            <w:r>
              <w:t xml:space="preserve">Lead service, leads domain</w:t>
            </w:r>
          </w:p>
        </w:tc>
      </w:tr>
      <w:tr>
        <w:trPr>
          <w:cantSplit/>
        </w:trPr>
        <w:tc>
          <w:tcPr>
            <w:tcW w:w="1968" w:type="dxa"/>
            <w:vAlign w:val="top"/>
          </w:tcPr>
          <w:p>
            <w:pPr>
              <w:pStyle w:val="TableText"/>
              <w:jc w:val="left"/>
            </w:pPr>
            <w:r>
              <w:t xml:space="preserve">Journeys and contact policy</w:t>
            </w:r>
          </w:p>
        </w:tc>
        <w:tc>
          <w:tcPr>
            <w:tcW w:w="4931" w:type="dxa"/>
            <w:vAlign w:val="top"/>
          </w:tcPr>
          <w:p>
            <w:pPr>
              <w:pStyle w:val="TableText"/>
              <w:jc w:val="left"/>
            </w:pPr>
            <w:r>
              <w:t xml:space="preserve">Plans and runs touchpoints on app push, Zalo ZNS, SMS, voice and telesales, within consent, contact window and frequency caps, with a copy guard on every message</w:t>
            </w:r>
          </w:p>
        </w:tc>
        <w:tc>
          <w:tcPr>
            <w:tcW w:w="2128" w:type="dxa"/>
            <w:vAlign w:val="top"/>
          </w:tcPr>
          <w:p>
            <w:pPr>
              <w:pStyle w:val="TableText"/>
              <w:jc w:val="left"/>
            </w:pPr>
            <w:r>
              <w:t xml:space="preserve">Journey service, contact policy domain</w:t>
            </w:r>
          </w:p>
        </w:tc>
      </w:tr>
      <w:tr>
        <w:trPr>
          <w:cantSplit/>
        </w:trPr>
        <w:tc>
          <w:tcPr>
            <w:tcW w:w="1968" w:type="dxa"/>
            <w:shd w:val="clear" w:color="auto" w:fill="F4F7FB"/>
            <w:vAlign w:val="top"/>
          </w:tcPr>
          <w:p>
            <w:pPr>
              <w:pStyle w:val="TableText"/>
              <w:jc w:val="left"/>
            </w:pPr>
            <w:r>
              <w:t xml:space="preserve">Voice assistant</w:t>
            </w:r>
          </w:p>
        </w:tc>
        <w:tc>
          <w:tcPr>
            <w:tcW w:w="4931" w:type="dxa"/>
            <w:shd w:val="clear" w:color="auto" w:fill="F4F7FB"/>
            <w:vAlign w:val="top"/>
          </w:tcPr>
          <w:p>
            <w:pPr>
              <w:pStyle w:val="TableText"/>
              <w:jc w:val="left"/>
            </w:pPr>
            <w:r>
              <w:t xml:space="preserve">Runs governed automated calls with plate-first verification and hands interested customers to telesales</w:t>
            </w:r>
          </w:p>
        </w:tc>
        <w:tc>
          <w:tcPr>
            <w:tcW w:w="2128" w:type="dxa"/>
            <w:shd w:val="clear" w:color="auto" w:fill="F4F7FB"/>
            <w:vAlign w:val="top"/>
          </w:tcPr>
          <w:p>
            <w:pPr>
              <w:pStyle w:val="TableText"/>
              <w:jc w:val="left"/>
            </w:pPr>
            <w:r>
              <w:t xml:space="preserve">Voice service, dialogue domain</w:t>
            </w:r>
          </w:p>
        </w:tc>
      </w:tr>
      <w:tr>
        <w:trPr>
          <w:cantSplit/>
        </w:trPr>
        <w:tc>
          <w:tcPr>
            <w:tcW w:w="1968" w:type="dxa"/>
            <w:vAlign w:val="top"/>
          </w:tcPr>
          <w:p>
            <w:pPr>
              <w:pStyle w:val="TableText"/>
              <w:jc w:val="left"/>
            </w:pPr>
            <w:r>
              <w:t xml:space="preserve">Sales</w:t>
            </w:r>
          </w:p>
        </w:tc>
        <w:tc>
          <w:tcPr>
            <w:tcW w:w="4931" w:type="dxa"/>
            <w:vAlign w:val="top"/>
          </w:tcPr>
          <w:p>
            <w:pPr>
              <w:pStyle w:val="TableText"/>
              <w:jc w:val="left"/>
            </w:pPr>
            <w:r>
              <w:t xml:space="preserve">Quotes through TASCO core, sends quotes to the customer, takes payment only from the customer in the VETC app, issues policies and e-certificates</w:t>
            </w:r>
          </w:p>
        </w:tc>
        <w:tc>
          <w:tcPr>
            <w:tcW w:w="2128" w:type="dxa"/>
            <w:vAlign w:val="top"/>
          </w:tcPr>
          <w:p>
            <w:pPr>
              <w:pStyle w:val="TableText"/>
              <w:jc w:val="left"/>
            </w:pPr>
            <w:r>
              <w:t xml:space="preserve">Sales, rating and catalogue services</w:t>
            </w:r>
          </w:p>
        </w:tc>
      </w:tr>
      <w:tr>
        <w:trPr>
          <w:cantSplit/>
        </w:trPr>
        <w:tc>
          <w:tcPr>
            <w:tcW w:w="1968" w:type="dxa"/>
            <w:shd w:val="clear" w:color="auto" w:fill="F4F7FB"/>
            <w:vAlign w:val="top"/>
          </w:tcPr>
          <w:p>
            <w:pPr>
              <w:pStyle w:val="TableText"/>
              <w:jc w:val="left"/>
            </w:pPr>
            <w:r>
              <w:t xml:space="preserve">Partners and commission</w:t>
            </w:r>
          </w:p>
        </w:tc>
        <w:tc>
          <w:tcPr>
            <w:tcW w:w="4931" w:type="dxa"/>
            <w:shd w:val="clear" w:color="auto" w:fill="F4F7FB"/>
            <w:vAlign w:val="top"/>
          </w:tcPr>
          <w:p>
            <w:pPr>
              <w:pStyle w:val="TableText"/>
              <w:jc w:val="left"/>
            </w:pPr>
            <w:r>
              <w:t xml:space="preserve">Onboards partners, issues API keys with scopes, records partner sales and computes commission within statutory caps</w:t>
            </w:r>
          </w:p>
        </w:tc>
        <w:tc>
          <w:tcPr>
            <w:tcW w:w="2128" w:type="dxa"/>
            <w:shd w:val="clear" w:color="auto" w:fill="F4F7FB"/>
            <w:vAlign w:val="top"/>
          </w:tcPr>
          <w:p>
            <w:pPr>
              <w:pStyle w:val="TableText"/>
              <w:jc w:val="left"/>
            </w:pPr>
            <w:r>
              <w:t xml:space="preserve">Partner service</w:t>
            </w:r>
          </w:p>
        </w:tc>
      </w:tr>
      <w:tr>
        <w:trPr>
          <w:cantSplit/>
        </w:trPr>
        <w:tc>
          <w:tcPr>
            <w:tcW w:w="1968" w:type="dxa"/>
            <w:vAlign w:val="top"/>
          </w:tcPr>
          <w:p>
            <w:pPr>
              <w:pStyle w:val="TableText"/>
              <w:jc w:val="left"/>
            </w:pPr>
            <w:r>
              <w:t xml:space="preserve">Claims intake</w:t>
            </w:r>
          </w:p>
        </w:tc>
        <w:tc>
          <w:tcPr>
            <w:tcW w:w="4931" w:type="dxa"/>
            <w:vAlign w:val="top"/>
          </w:tcPr>
          <w:p>
            <w:pPr>
              <w:pStyle w:val="TableText"/>
              <w:jc w:val="left"/>
            </w:pPr>
            <w:r>
              <w:t xml:space="preserve">Captures first notice of loss from the customer app and acknowledges it within the service level</w:t>
            </w:r>
          </w:p>
        </w:tc>
        <w:tc>
          <w:tcPr>
            <w:tcW w:w="2128" w:type="dxa"/>
            <w:vAlign w:val="top"/>
          </w:tcPr>
          <w:p>
            <w:pPr>
              <w:pStyle w:val="TableText"/>
              <w:jc w:val="left"/>
            </w:pPr>
            <w:r>
              <w:t xml:space="preserve">Claims service</w:t>
            </w:r>
          </w:p>
        </w:tc>
      </w:tr>
      <w:tr>
        <w:trPr>
          <w:cantSplit/>
        </w:trPr>
        <w:tc>
          <w:tcPr>
            <w:tcW w:w="1968" w:type="dxa"/>
            <w:shd w:val="clear" w:color="auto" w:fill="F4F7FB"/>
            <w:vAlign w:val="top"/>
          </w:tcPr>
          <w:p>
            <w:pPr>
              <w:pStyle w:val="TableText"/>
              <w:jc w:val="left"/>
            </w:pPr>
            <w:r>
              <w:t xml:space="preserve">Identity, consent and privacy</w:t>
            </w:r>
          </w:p>
        </w:tc>
        <w:tc>
          <w:tcPr>
            <w:tcW w:w="4931" w:type="dxa"/>
            <w:shd w:val="clear" w:color="auto" w:fill="F4F7FB"/>
            <w:vAlign w:val="top"/>
          </w:tcPr>
          <w:p>
            <w:pPr>
              <w:pStyle w:val="TableText"/>
              <w:jc w:val="left"/>
            </w:pPr>
            <w:r>
              <w:t xml:space="preserve">Staff sign-in with MFA, role and attribute-based access, consent centre, data subject export and erasure</w:t>
            </w:r>
          </w:p>
        </w:tc>
        <w:tc>
          <w:tcPr>
            <w:tcW w:w="2128" w:type="dxa"/>
            <w:shd w:val="clear" w:color="auto" w:fill="F4F7FB"/>
            <w:vAlign w:val="top"/>
          </w:tcPr>
          <w:p>
            <w:pPr>
              <w:pStyle w:val="TableText"/>
              <w:jc w:val="left"/>
            </w:pPr>
            <w:r>
              <w:t xml:space="preserve">Identity service, access policy, customer service</w:t>
            </w:r>
          </w:p>
        </w:tc>
      </w:tr>
      <w:tr>
        <w:trPr>
          <w:cantSplit/>
        </w:trPr>
        <w:tc>
          <w:tcPr>
            <w:tcW w:w="1968" w:type="dxa"/>
            <w:vAlign w:val="top"/>
          </w:tcPr>
          <w:p>
            <w:pPr>
              <w:pStyle w:val="TableText"/>
              <w:jc w:val="left"/>
            </w:pPr>
            <w:r>
              <w:t xml:space="preserve">Rules governance</w:t>
            </w:r>
          </w:p>
        </w:tc>
        <w:tc>
          <w:tcPr>
            <w:tcW w:w="4931" w:type="dxa"/>
            <w:vAlign w:val="top"/>
          </w:tcPr>
          <w:p>
            <w:pPr>
              <w:pStyle w:val="TableText"/>
              <w:jc w:val="left"/>
            </w:pPr>
            <w:r>
              <w:t xml:space="preserve">Versioned rule sets with validation, simulation, maker-checker approval and rollback</w:t>
            </w:r>
          </w:p>
        </w:tc>
        <w:tc>
          <w:tcPr>
            <w:tcW w:w="2128" w:type="dxa"/>
            <w:vAlign w:val="top"/>
          </w:tcPr>
          <w:p>
            <w:pPr>
              <w:pStyle w:val="TableText"/>
              <w:jc w:val="left"/>
            </w:pPr>
            <w:r>
              <w:t xml:space="preserve">Rules service, rules engine</w:t>
            </w:r>
          </w:p>
        </w:tc>
      </w:tr>
      <w:tr>
        <w:trPr>
          <w:cantSplit/>
        </w:trPr>
        <w:tc>
          <w:tcPr>
            <w:tcW w:w="1968" w:type="dxa"/>
            <w:shd w:val="clear" w:color="auto" w:fill="F4F7FB"/>
            <w:vAlign w:val="top"/>
          </w:tcPr>
          <w:p>
            <w:pPr>
              <w:pStyle w:val="TableText"/>
              <w:jc w:val="left"/>
            </w:pPr>
            <w:r>
              <w:t xml:space="preserve">Insights and operations</w:t>
            </w:r>
          </w:p>
        </w:tc>
        <w:tc>
          <w:tcPr>
            <w:tcW w:w="4931" w:type="dxa"/>
            <w:shd w:val="clear" w:color="auto" w:fill="F4F7FB"/>
            <w:vAlign w:val="top"/>
          </w:tcPr>
          <w:p>
            <w:pPr>
              <w:pStyle w:val="TableText"/>
              <w:jc w:val="left"/>
            </w:pPr>
            <w:r>
              <w:t xml:space="preserve">Business and governance dashboards, reconciliation, retention, job history and integration status</w:t>
            </w:r>
          </w:p>
        </w:tc>
        <w:tc>
          <w:tcPr>
            <w:tcW w:w="2128" w:type="dxa"/>
            <w:shd w:val="clear" w:color="auto" w:fill="F4F7FB"/>
            <w:vAlign w:val="top"/>
          </w:tcPr>
          <w:p>
            <w:pPr>
              <w:pStyle w:val="TableText"/>
              <w:jc w:val="left"/>
            </w:pPr>
            <w:r>
              <w:t xml:space="preserve">Insights and operations services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9" w:name="_Toc300000015"/>
      <w:r>
        <w:rPr>
          <w:rStyle w:val="BookTitle"/>
          <w:bCs w:val="0"/>
          <w:i w:val="0"/>
          <w:iCs w:val="0"/>
          <w:spacing w:val="0"/>
        </w:rPr>
        <w:t xml:space="preserve">Technical architecture</w:t>
      </w:r>
      <w:bookmarkEnd w:id="19"/>
    </w:p>
    <w:p>
      <w:pPr>
        <w:pStyle w:val="Heading2"/>
      </w:pPr>
      <w:bookmarkStart w:id="20" w:name="_Toc300000016"/>
      <w:r>
        <w:t xml:space="preserve">Ports and adapters</w:t>
      </w:r>
      <w:bookmarkEnd w:id="20"/>
    </w:p>
    <w:p>
      <w:pPr>
        <w:pStyle w:val="FirstParagraph"/>
      </w:pPr>
      <w:r>
        <w:t xml:space="preserve">The application follows a hexagonal (ports and adapters) design, recorded in ADR-001 (TGP-ARC-07 Architecture Decision Records). Business logic sits at the centre and knows nothing about HTTP, databases or vendors. Application services coordinate that logic and reach the outside world only through ports. A single composition root decides which adapter implements each port.</w:t>
      </w:r>
    </w:p>
    <w:p xmlns:a="http://schemas.openxmlformats.org/drawingml/2006/main" xmlns:pic="http://schemas.openxmlformats.org/drawingml/2006/picture">
      <w:pPr>
        <w:pStyle w:val="Figure"/>
      </w:pPr>
      <w:r>
        <w:drawing>
          <wp:inline>
            <wp:extent cx="5727700" cy="4915408"/>
            <wp:effectExtent b="0" l="0" r="0" t="0"/>
            <wp:docPr descr="Ports and adapters: business logic at the centre, adapters at the edges" title="" id="5004" name="Picture"/>
            <a:graphic>
              <a:graphicData uri="http://schemas.openxmlformats.org/drawingml/2006/picture">
                <pic:pic>
                  <pic:nvPicPr>
                    <pic:cNvPr descr="/tmp/claude-0/-home-user-TASCO/19e5534d-12b5-5956-9b60-3e77efde0f49/scratchpad/gen/.cache/mermaid/63c4597f6a6191b2.png" id="40" name="Picture"/>
                    <pic:cNvPicPr>
                      <a:picLocks noChangeArrowheads="1" noChangeAspect="1"/>
                    </pic:cNvPicPr>
                  </pic:nvPicPr>
                  <pic:blipFill>
                    <a:blip r:embed="rIdG3"/>
                    <a:stretch>
                      <a:fillRect/>
                    </a:stretch>
                  </pic:blipFill>
                  <pic:spPr bwMode="auto">
                    <a:xfrm>
                      <a:off x="0" y="0"/>
                      <a:ext cx="5727700" cy="4915408"/>
                    </a:xfrm>
                    <a:prstGeom prst="rect">
                      <a:avLst/>
                    </a:prstGeom>
                    <a:noFill/>
                    <a:ln w="9525">
                      <a:noFill/>
                      <a:headEnd/>
                      <a:tailEnd/>
                    </a:ln>
                  </pic:spPr>
                </pic:pic>
              </a:graphicData>
            </a:graphic>
          </wp:inline>
        </w:drawing>
      </w:r>
    </w:p>
    <w:p>
      <w:pPr>
        <w:pStyle w:val="Caption"/>
      </w:pPr>
      <w:r>
        <w:t xml:space="preserve">Figure 3 – Ports and adapters: business logic at the centre, adapters at the edges</w:t>
      </w:r>
    </w:p>
    <w:p>
      <w:pPr>
        <w:pStyle w:val="BodyText"/>
      </w:pPr>
      <w:r>
        <w:t xml:space="preserve">The dependency rule is strict. Domain modules (</w:t>
      </w:r>
      <w:r>
        <w:rPr>
          <w:rStyle w:val="CodeChar"/>
        </w:rPr>
        <w:t xml:space="preserve">src/domain</w:t>
      </w:r>
      <w:r>
        <w:t xml:space="preserve">) and the rules engine (</w:t>
      </w:r>
      <w:r>
        <w:rPr>
          <w:rStyle w:val="CodeChar"/>
        </w:rPr>
        <w:t xml:space="preserve">src/rules</w:t>
      </w:r>
      <w:r>
        <w:t xml:space="preserve">) depend only on the shared kernel; they perform no input or output and read no clock, so they are tested deterministically. Application services (</w:t>
      </w:r>
      <w:r>
        <w:rPr>
          <w:rStyle w:val="CodeChar"/>
        </w:rPr>
        <w:t xml:space="preserve">src/application</w:t>
      </w:r>
      <w:r>
        <w:t xml:space="preserve">) receive the store, rules, audit, event bus, clock and gateways as constructor arguments and never load an adapter themselves. Only</w:t>
      </w:r>
      <w:r>
        <w:t xml:space="preserve"> </w:t>
      </w:r>
      <w:r>
        <w:rPr>
          <w:rStyle w:val="CodeChar"/>
        </w:rPr>
        <w:t xml:space="preserve">src/bootstrap/container.js</w:t>
      </w:r>
      <w:r>
        <w:t xml:space="preserve"> </w:t>
      </w:r>
      <w:r>
        <w:t xml:space="preserve">chooses adapters, for example the PostgreSQL store when a database URL is set.</w:t>
      </w:r>
    </w:p>
    <w:p>
      <w:pPr>
        <w:pStyle w:val="Heading2"/>
      </w:pPr>
      <w:bookmarkStart w:id="21" w:name="_Toc300000017"/>
      <w:r>
        <w:t xml:space="preserve">Layers and technology</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56"/>
        <w:gridCol w:w="4076"/>
        <w:gridCol w:w="3295"/>
      </w:tblGrid>
      <w:tr>
        <w:trPr>
          <w:cantSplit/>
          <w:tblHeader/>
        </w:trPr>
        <w:tc>
          <w:tcPr>
            <w:tcW w:w="1656" w:type="dxa"/>
            <w:shd w:val="clear" w:color="auto" w:fill="0F4761"/>
            <w:vAlign w:val="center"/>
          </w:tcPr>
          <w:p>
            <w:pPr>
              <w:pStyle w:val="TableHeading"/>
              <w:jc w:val="left"/>
            </w:pPr>
            <w:r>
              <w:rPr>
                <w:color w:val="FFFFFF"/>
              </w:rPr>
              <w:t xml:space="preserve">Layer</w:t>
            </w:r>
          </w:p>
        </w:tc>
        <w:tc>
          <w:tcPr>
            <w:tcW w:w="4076" w:type="dxa"/>
            <w:shd w:val="clear" w:color="auto" w:fill="0F4761"/>
            <w:vAlign w:val="center"/>
          </w:tcPr>
          <w:p>
            <w:pPr>
              <w:pStyle w:val="TableHeading"/>
              <w:jc w:val="left"/>
            </w:pPr>
            <w:r>
              <w:rPr>
                <w:color w:val="FFFFFF"/>
              </w:rPr>
              <w:t xml:space="preserve">Contents</w:t>
            </w:r>
          </w:p>
        </w:tc>
        <w:tc>
          <w:tcPr>
            <w:tcW w:w="3295" w:type="dxa"/>
            <w:shd w:val="clear" w:color="auto" w:fill="0F4761"/>
            <w:vAlign w:val="center"/>
          </w:tcPr>
          <w:p>
            <w:pPr>
              <w:pStyle w:val="TableHeading"/>
              <w:jc w:val="left"/>
            </w:pPr>
            <w:r>
              <w:rPr>
                <w:color w:val="FFFFFF"/>
              </w:rPr>
              <w:t xml:space="preserve">Technology</w:t>
            </w:r>
          </w:p>
        </w:tc>
      </w:tr>
      <w:tr>
        <w:trPr>
          <w:cantSplit/>
        </w:trPr>
        <w:tc>
          <w:tcPr>
            <w:tcW w:w="1656" w:type="dxa"/>
            <w:vAlign w:val="top"/>
          </w:tcPr>
          <w:p>
            <w:pPr>
              <w:pStyle w:val="TableText"/>
              <w:jc w:val="left"/>
            </w:pPr>
            <w:r>
              <w:t xml:space="preserve">Presentation</w:t>
            </w:r>
          </w:p>
        </w:tc>
        <w:tc>
          <w:tcPr>
            <w:tcW w:w="4076" w:type="dxa"/>
            <w:vAlign w:val="top"/>
          </w:tcPr>
          <w:p>
            <w:pPr>
              <w:pStyle w:val="TableText"/>
              <w:jc w:val="left"/>
            </w:pPr>
            <w:r>
              <w:t xml:space="preserve">Staff console, customer app, public certificate check</w:t>
            </w:r>
          </w:p>
        </w:tc>
        <w:tc>
          <w:tcPr>
            <w:tcW w:w="3295" w:type="dxa"/>
            <w:vAlign w:val="top"/>
          </w:tcPr>
          <w:p>
            <w:pPr>
              <w:pStyle w:val="TableText"/>
              <w:jc w:val="left"/>
            </w:pPr>
            <w:r>
              <w:t xml:space="preserve">HTML5 and JavaScript modules, no third-party runtime, strict content security policy, design tokens. Console in Vietnamese and English, customer app in Vietnamese.</w:t>
            </w:r>
          </w:p>
        </w:tc>
      </w:tr>
      <w:tr>
        <w:trPr>
          <w:cantSplit/>
        </w:trPr>
        <w:tc>
          <w:tcPr>
            <w:tcW w:w="1656" w:type="dxa"/>
            <w:shd w:val="clear" w:color="auto" w:fill="F4F7FB"/>
            <w:vAlign w:val="top"/>
          </w:tcPr>
          <w:p>
            <w:pPr>
              <w:pStyle w:val="TableText"/>
              <w:jc w:val="left"/>
            </w:pPr>
            <w:r>
              <w:t xml:space="preserve">API</w:t>
            </w:r>
          </w:p>
        </w:tc>
        <w:tc>
          <w:tcPr>
            <w:tcW w:w="4076" w:type="dxa"/>
            <w:shd w:val="clear" w:color="auto" w:fill="F4F7FB"/>
            <w:vAlign w:val="top"/>
          </w:tcPr>
          <w:p>
            <w:pPr>
              <w:pStyle w:val="TableText"/>
              <w:jc w:val="left"/>
            </w:pPr>
            <w:r>
              <w:t xml:space="preserve">REST operations described in OpenAPI 3.1, generated from the route table; rate limiting, idempotency keys, input validation</w:t>
            </w:r>
          </w:p>
        </w:tc>
        <w:tc>
          <w:tcPr>
            <w:tcW w:w="3295" w:type="dxa"/>
            <w:shd w:val="clear" w:color="auto" w:fill="F4F7FB"/>
            <w:vAlign w:val="top"/>
          </w:tcPr>
          <w:p>
            <w:pPr>
              <w:pStyle w:val="TableText"/>
              <w:jc w:val="left"/>
            </w:pPr>
            <w:r>
              <w:t xml:space="preserve">Node.js 22 standard HTTP server</w:t>
            </w:r>
          </w:p>
        </w:tc>
      </w:tr>
      <w:tr>
        <w:trPr>
          <w:cantSplit/>
        </w:trPr>
        <w:tc>
          <w:tcPr>
            <w:tcW w:w="1656" w:type="dxa"/>
            <w:vAlign w:val="top"/>
          </w:tcPr>
          <w:p>
            <w:pPr>
              <w:pStyle w:val="TableText"/>
              <w:jc w:val="left"/>
            </w:pPr>
            <w:r>
              <w:t xml:space="preserve">Application</w:t>
            </w:r>
          </w:p>
        </w:tc>
        <w:tc>
          <w:tcPr>
            <w:tcW w:w="4076" w:type="dxa"/>
            <w:vAlign w:val="top"/>
          </w:tcPr>
          <w:p>
            <w:pPr>
              <w:pStyle w:val="TableText"/>
              <w:jc w:val="left"/>
            </w:pPr>
            <w:r>
              <w:t xml:space="preserve">Ingestion, leads, journeys, voice, sales, rating, catalogue, partners, claims, customers, identity, rules, insights, operations, audit</w:t>
            </w:r>
          </w:p>
        </w:tc>
        <w:tc>
          <w:tcPr>
            <w:tcW w:w="3295" w:type="dxa"/>
            <w:vAlign w:val="top"/>
          </w:tcPr>
          <w:p>
            <w:pPr>
              <w:pStyle w:val="TableText"/>
              <w:jc w:val="left"/>
            </w:pPr>
            <w:r>
              <w:t xml:space="preserve">Node.js 22</w:t>
            </w:r>
          </w:p>
        </w:tc>
      </w:tr>
      <w:tr>
        <w:trPr>
          <w:cantSplit/>
        </w:trPr>
        <w:tc>
          <w:tcPr>
            <w:tcW w:w="1656" w:type="dxa"/>
            <w:shd w:val="clear" w:color="auto" w:fill="F4F7FB"/>
            <w:vAlign w:val="top"/>
          </w:tcPr>
          <w:p>
            <w:pPr>
              <w:pStyle w:val="TableText"/>
              <w:jc w:val="left"/>
            </w:pPr>
            <w:r>
              <w:t xml:space="preserve">Domain</w:t>
            </w:r>
          </w:p>
        </w:tc>
        <w:tc>
          <w:tcPr>
            <w:tcW w:w="4076" w:type="dxa"/>
            <w:shd w:val="clear" w:color="auto" w:fill="F4F7FB"/>
            <w:vAlign w:val="top"/>
          </w:tcPr>
          <w:p>
            <w:pPr>
              <w:pStyle w:val="TableText"/>
              <w:jc w:val="left"/>
            </w:pPr>
            <w:r>
              <w:t xml:space="preserve">Plate and phone normalisation, golden record, scoring, rating fallback, contact policy, dialogue</w:t>
            </w:r>
          </w:p>
        </w:tc>
        <w:tc>
          <w:tcPr>
            <w:tcW w:w="3295" w:type="dxa"/>
            <w:shd w:val="clear" w:color="auto" w:fill="F4F7FB"/>
            <w:vAlign w:val="top"/>
          </w:tcPr>
          <w:p>
            <w:pPr>
              <w:pStyle w:val="TableText"/>
              <w:jc w:val="left"/>
            </w:pPr>
            <w:r>
              <w:t xml:space="preserve">Pure JavaScript, no dependencies</w:t>
            </w:r>
          </w:p>
        </w:tc>
      </w:tr>
      <w:tr>
        <w:trPr>
          <w:cantSplit/>
        </w:trPr>
        <w:tc>
          <w:tcPr>
            <w:tcW w:w="1656" w:type="dxa"/>
            <w:vAlign w:val="top"/>
          </w:tcPr>
          <w:p>
            <w:pPr>
              <w:pStyle w:val="TableText"/>
              <w:jc w:val="left"/>
            </w:pPr>
            <w:r>
              <w:t xml:space="preserve">Rules</w:t>
            </w:r>
          </w:p>
        </w:tc>
        <w:tc>
          <w:tcPr>
            <w:tcW w:w="4076" w:type="dxa"/>
            <w:vAlign w:val="top"/>
          </w:tcPr>
          <w:p>
            <w:pPr>
              <w:pStyle w:val="TableText"/>
              <w:jc w:val="left"/>
            </w:pPr>
            <w:r>
              <w:t xml:space="preserve">JSON Logic subset and decision tables; 21 rule kinds, validated, simulated and approved before use</w:t>
            </w:r>
          </w:p>
        </w:tc>
        <w:tc>
          <w:tcPr>
            <w:tcW w:w="3295" w:type="dxa"/>
            <w:vAlign w:val="top"/>
          </w:tcPr>
          <w:p>
            <w:pPr>
              <w:pStyle w:val="TableText"/>
              <w:jc w:val="left"/>
            </w:pPr>
            <w:r>
              <w:t xml:space="preserve">Built in, no code evaluation</w:t>
            </w:r>
          </w:p>
        </w:tc>
      </w:tr>
      <w:tr>
        <w:trPr>
          <w:cantSplit/>
        </w:trPr>
        <w:tc>
          <w:tcPr>
            <w:tcW w:w="1656" w:type="dxa"/>
            <w:shd w:val="clear" w:color="auto" w:fill="F4F7FB"/>
            <w:vAlign w:val="top"/>
          </w:tcPr>
          <w:p>
            <w:pPr>
              <w:pStyle w:val="TableText"/>
              <w:jc w:val="left"/>
            </w:pPr>
            <w:r>
              <w:t xml:space="preserve">Persistence</w:t>
            </w:r>
          </w:p>
        </w:tc>
        <w:tc>
          <w:tcPr>
            <w:tcW w:w="4076" w:type="dxa"/>
            <w:shd w:val="clear" w:color="auto" w:fill="F4F7FB"/>
            <w:vAlign w:val="top"/>
          </w:tcPr>
          <w:p>
            <w:pPr>
              <w:pStyle w:val="TableText"/>
              <w:jc w:val="left"/>
            </w:pPr>
            <w:r>
              <w:t xml:space="preserve">One table per collection: document column plus typed indexed columns; optimistic locking; AES-256-GCM field encryption; blind index for phone search</w:t>
            </w:r>
          </w:p>
        </w:tc>
        <w:tc>
          <w:tcPr>
            <w:tcW w:w="3295" w:type="dxa"/>
            <w:shd w:val="clear" w:color="auto" w:fill="F4F7FB"/>
            <w:vAlign w:val="top"/>
          </w:tcPr>
          <w:p>
            <w:pPr>
              <w:pStyle w:val="TableText"/>
              <w:jc w:val="left"/>
            </w:pPr>
            <w:r>
              <w:t xml:space="preserve">PostgreSQL 16</w:t>
            </w:r>
          </w:p>
        </w:tc>
      </w:tr>
      <w:tr>
        <w:trPr>
          <w:cantSplit/>
        </w:trPr>
        <w:tc>
          <w:tcPr>
            <w:tcW w:w="1656" w:type="dxa"/>
            <w:vAlign w:val="top"/>
          </w:tcPr>
          <w:p>
            <w:pPr>
              <w:pStyle w:val="TableText"/>
              <w:jc w:val="left"/>
            </w:pPr>
            <w:r>
              <w:t xml:space="preserve">Messaging</w:t>
            </w:r>
          </w:p>
        </w:tc>
        <w:tc>
          <w:tcPr>
            <w:tcW w:w="4076" w:type="dxa"/>
            <w:vAlign w:val="top"/>
          </w:tcPr>
          <w:p>
            <w:pPr>
              <w:pStyle w:val="TableText"/>
              <w:jc w:val="left"/>
            </w:pPr>
            <w:r>
              <w:t xml:space="preserve">Transactional outbox with a relay that claims events using</w:t>
            </w:r>
            <w:r>
              <w:t xml:space="preserve"> </w:t>
            </w:r>
            <w:r>
              <w:rPr>
                <w:rStyle w:val="CodeChar"/>
              </w:rPr>
              <w:t xml:space="preserve">FOR UPDATE SKIP LOCKED</w:t>
            </w:r>
          </w:p>
        </w:tc>
        <w:tc>
          <w:tcPr>
            <w:tcW w:w="3295" w:type="dxa"/>
            <w:vAlign w:val="top"/>
          </w:tcPr>
          <w:p>
            <w:pPr>
              <w:pStyle w:val="TableText"/>
              <w:jc w:val="left"/>
            </w:pPr>
            <w:r>
              <w:t xml:space="preserve">PostgreSQL</w:t>
            </w:r>
          </w:p>
        </w:tc>
      </w:tr>
      <w:tr>
        <w:trPr>
          <w:cantSplit/>
        </w:trPr>
        <w:tc>
          <w:tcPr>
            <w:tcW w:w="1656" w:type="dxa"/>
            <w:shd w:val="clear" w:color="auto" w:fill="F4F7FB"/>
            <w:vAlign w:val="top"/>
          </w:tcPr>
          <w:p>
            <w:pPr>
              <w:pStyle w:val="TableText"/>
              <w:jc w:val="left"/>
            </w:pPr>
            <w:r>
              <w:t xml:space="preserve">Integration</w:t>
            </w:r>
          </w:p>
        </w:tc>
        <w:tc>
          <w:tcPr>
            <w:tcW w:w="4076" w:type="dxa"/>
            <w:shd w:val="clear" w:color="auto" w:fill="F4F7FB"/>
            <w:vAlign w:val="top"/>
          </w:tcPr>
          <w:p>
            <w:pPr>
              <w:pStyle w:val="TableText"/>
              <w:jc w:val="left"/>
            </w:pPr>
            <w:r>
              <w:t xml:space="preserve">Adapters with timeouts, retries, circuit breakers and idempotency keys</w:t>
            </w:r>
          </w:p>
        </w:tc>
        <w:tc>
          <w:tcPr>
            <w:tcW w:w="3295" w:type="dxa"/>
            <w:shd w:val="clear" w:color="auto" w:fill="F4F7FB"/>
            <w:vAlign w:val="top"/>
          </w:tcPr>
          <w:p>
            <w:pPr>
              <w:pStyle w:val="TableText"/>
              <w:jc w:val="left"/>
            </w:pPr>
            <w:r>
              <w:t xml:space="preserve">REST over TLS, OAuth 2.0 client credentials, mutual TLS where required</w:t>
            </w:r>
          </w:p>
        </w:tc>
      </w:tr>
      <w:tr>
        <w:trPr>
          <w:cantSplit/>
        </w:trPr>
        <w:tc>
          <w:tcPr>
            <w:tcW w:w="1656" w:type="dxa"/>
            <w:vAlign w:val="top"/>
          </w:tcPr>
          <w:p>
            <w:pPr>
              <w:pStyle w:val="TableText"/>
              <w:jc w:val="left"/>
            </w:pPr>
            <w:r>
              <w:t xml:space="preserve">Operations</w:t>
            </w:r>
          </w:p>
        </w:tc>
        <w:tc>
          <w:tcPr>
            <w:tcW w:w="4076" w:type="dxa"/>
            <w:vAlign w:val="top"/>
          </w:tcPr>
          <w:p>
            <w:pPr>
              <w:pStyle w:val="TableText"/>
              <w:jc w:val="left"/>
            </w:pPr>
            <w:r>
              <w:t xml:space="preserve">Health checks, Prometheus metrics, JSON logs, scheduled jobs</w:t>
            </w:r>
          </w:p>
        </w:tc>
        <w:tc>
          <w:tcPr>
            <w:tcW w:w="3295" w:type="dxa"/>
            <w:vAlign w:val="top"/>
          </w:tcPr>
          <w:p>
            <w:pPr>
              <w:pStyle w:val="TableText"/>
              <w:jc w:val="left"/>
            </w:pPr>
            <w:r>
              <w:t xml:space="preserve">Kubernetes CronJobs</w:t>
            </w:r>
          </w:p>
        </w:tc>
      </w:tr>
    </w:tbl>
    <w:p>
      <w:pPr>
        <w:pStyle w:val="BodyText"/>
        <w:spacing w:before="160"/>
      </w:pPr>
      <w:r>
        <w:t xml:space="preserve">The API exposes 81 operations at the time of writing: 6 public, 61 staff, 10 customer and 4 partner. Every non-public operation declares its audience and permission in the route table, and the OpenAPI document is generated from the same table (ADR-010).</w:t>
      </w:r>
    </w:p>
    <w:p>
      <w:pPr>
        <w:pStyle w:val="Heading2"/>
      </w:pPr>
      <w:bookmarkStart w:id="22" w:name="_Toc300000018"/>
      <w:r>
        <w:t xml:space="preserve">Ports and current adapters</w:t>
      </w:r>
      <w:bookmarkEnd w:id="22"/>
    </w:p>
    <w:p>
      <w:pPr>
        <w:pStyle w:val="FirstParagraph"/>
      </w:pPr>
      <w:r>
        <w:t xml:space="preserve">The table lists each port, the adapter used in development and UAT today, and the production adapter. TGP-ARC-02 Integration Architecture gives the full contracts.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600"/>
        <w:gridCol w:w="1652"/>
        <w:gridCol w:w="1902"/>
        <w:gridCol w:w="1652"/>
        <w:gridCol w:w="1221"/>
      </w:tblGrid>
      <w:tr>
        <w:trPr>
          <w:cantSplit/>
          <w:tblHeader/>
        </w:trPr>
        <w:tc>
          <w:tcPr>
            <w:tcW w:w="2600" w:type="dxa"/>
            <w:shd w:val="clear" w:color="auto" w:fill="0F4761"/>
            <w:vAlign w:val="center"/>
          </w:tcPr>
          <w:p>
            <w:pPr>
              <w:pStyle w:val="TableHeading"/>
              <w:jc w:val="left"/>
            </w:pPr>
            <w:r>
              <w:rPr>
                <w:color w:val="FFFFFF"/>
              </w:rPr>
              <w:t xml:space="preserve">Port</w:t>
            </w:r>
          </w:p>
        </w:tc>
        <w:tc>
          <w:tcPr>
            <w:tcW w:w="1652" w:type="dxa"/>
            <w:shd w:val="clear" w:color="auto" w:fill="0F4761"/>
            <w:vAlign w:val="center"/>
          </w:tcPr>
          <w:p>
            <w:pPr>
              <w:pStyle w:val="TableHeading"/>
              <w:jc w:val="left"/>
            </w:pPr>
            <w:r>
              <w:rPr>
                <w:color w:val="FFFFFF"/>
              </w:rPr>
              <w:t xml:space="preserve">Purpose</w:t>
            </w:r>
          </w:p>
        </w:tc>
        <w:tc>
          <w:tcPr>
            <w:tcW w:w="1902" w:type="dxa"/>
            <w:shd w:val="clear" w:color="auto" w:fill="0F4761"/>
            <w:vAlign w:val="center"/>
          </w:tcPr>
          <w:p>
            <w:pPr>
              <w:pStyle w:val="TableHeading"/>
              <w:jc w:val="left"/>
            </w:pPr>
            <w:r>
              <w:rPr>
                <w:color w:val="FFFFFF"/>
              </w:rPr>
              <w:t xml:space="preserve">Adapter today</w:t>
            </w:r>
          </w:p>
        </w:tc>
        <w:tc>
          <w:tcPr>
            <w:tcW w:w="1652" w:type="dxa"/>
            <w:shd w:val="clear" w:color="auto" w:fill="0F4761"/>
            <w:vAlign w:val="center"/>
          </w:tcPr>
          <w:p>
            <w:pPr>
              <w:pStyle w:val="TableHeading"/>
              <w:jc w:val="left"/>
            </w:pPr>
            <w:r>
              <w:rPr>
                <w:color w:val="FFFFFF"/>
              </w:rPr>
              <w:t xml:space="preserve">Production adapter</w:t>
            </w:r>
          </w:p>
        </w:tc>
        <w:tc>
          <w:tcPr>
            <w:tcW w:w="1221" w:type="dxa"/>
            <w:shd w:val="clear" w:color="auto" w:fill="0F4761"/>
            <w:vAlign w:val="center"/>
          </w:tcPr>
          <w:p>
            <w:pPr>
              <w:pStyle w:val="TableHeading"/>
              <w:jc w:val="left"/>
            </w:pPr>
            <w:r>
              <w:rPr>
                <w:color w:val="FFFFFF"/>
              </w:rPr>
              <w:t xml:space="preserve">Status</w:t>
            </w:r>
          </w:p>
        </w:tc>
      </w:tr>
      <w:tr>
        <w:trPr>
          <w:cantSplit/>
        </w:trPr>
        <w:tc>
          <w:tcPr>
            <w:tcW w:w="2600" w:type="dxa"/>
            <w:vAlign w:val="top"/>
          </w:tcPr>
          <w:p>
            <w:pPr>
              <w:pStyle w:val="TableText"/>
              <w:jc w:val="left"/>
            </w:pPr>
            <w:r>
              <w:t xml:space="preserve">CoreRating</w:t>
            </w:r>
          </w:p>
        </w:tc>
        <w:tc>
          <w:tcPr>
            <w:tcW w:w="1652" w:type="dxa"/>
            <w:vAlign w:val="top"/>
          </w:tcPr>
          <w:p>
            <w:pPr>
              <w:pStyle w:val="TableText"/>
              <w:jc w:val="left"/>
            </w:pPr>
            <w:r>
              <w:t xml:space="preserve">Price a quote</w:t>
            </w:r>
          </w:p>
        </w:tc>
        <w:tc>
          <w:tcPr>
            <w:tcW w:w="1902" w:type="dxa"/>
            <w:vAlign w:val="top"/>
          </w:tcPr>
          <w:p>
            <w:pPr>
              <w:pStyle w:val="TableText"/>
              <w:jc w:val="left"/>
            </w:pPr>
            <w:r>
              <w:t xml:space="preserve">Simulated TASCO core</w:t>
            </w:r>
          </w:p>
        </w:tc>
        <w:tc>
          <w:tcPr>
            <w:tcW w:w="1652" w:type="dxa"/>
            <w:vAlign w:val="top"/>
          </w:tcPr>
          <w:p>
            <w:pPr>
              <w:pStyle w:val="TableText"/>
              <w:jc w:val="left"/>
            </w:pPr>
            <w:r>
              <w:t xml:space="preserve">TASCO core REST client</w:t>
            </w:r>
          </w:p>
        </w:tc>
        <w:tc>
          <w:tcPr>
            <w:tcW w:w="1221" w:type="dxa"/>
            <w:vAlign w:val="top"/>
          </w:tcPr>
          <w:p>
            <w:pPr>
              <w:pStyle w:val="TableText"/>
              <w:jc w:val="left"/>
            </w:pPr>
            <w:r>
              <w:t xml:space="preserve">Client built; paths assumed</w:t>
            </w:r>
          </w:p>
        </w:tc>
      </w:tr>
      <w:tr>
        <w:trPr>
          <w:cantSplit/>
        </w:trPr>
        <w:tc>
          <w:tcPr>
            <w:tcW w:w="2600" w:type="dxa"/>
            <w:shd w:val="clear" w:color="auto" w:fill="F4F7FB"/>
            <w:vAlign w:val="top"/>
          </w:tcPr>
          <w:p>
            <w:pPr>
              <w:pStyle w:val="TableText"/>
              <w:jc w:val="left"/>
            </w:pPr>
            <w:r>
              <w:t xml:space="preserve">ProductCatalogue</w:t>
            </w:r>
          </w:p>
        </w:tc>
        <w:tc>
          <w:tcPr>
            <w:tcW w:w="1652" w:type="dxa"/>
            <w:shd w:val="clear" w:color="auto" w:fill="F4F7FB"/>
            <w:vAlign w:val="top"/>
          </w:tcPr>
          <w:p>
            <w:pPr>
              <w:pStyle w:val="TableText"/>
              <w:jc w:val="left"/>
            </w:pPr>
            <w:r>
              <w:t xml:space="preserve">Fetch products</w:t>
            </w:r>
          </w:p>
        </w:tc>
        <w:tc>
          <w:tcPr>
            <w:tcW w:w="1902" w:type="dxa"/>
            <w:shd w:val="clear" w:color="auto" w:fill="F4F7FB"/>
            <w:vAlign w:val="top"/>
          </w:tcPr>
          <w:p>
            <w:pPr>
              <w:pStyle w:val="TableText"/>
              <w:jc w:val="left"/>
            </w:pPr>
            <w:r>
              <w:t xml:space="preserve">Simulated TASCO core</w:t>
            </w:r>
          </w:p>
        </w:tc>
        <w:tc>
          <w:tcPr>
            <w:tcW w:w="1652" w:type="dxa"/>
            <w:shd w:val="clear" w:color="auto" w:fill="F4F7FB"/>
            <w:vAlign w:val="top"/>
          </w:tcPr>
          <w:p>
            <w:pPr>
              <w:pStyle w:val="TableText"/>
              <w:jc w:val="left"/>
            </w:pPr>
            <w:r>
              <w:t xml:space="preserve">TASCO core REST client</w:t>
            </w:r>
          </w:p>
        </w:tc>
        <w:tc>
          <w:tcPr>
            <w:tcW w:w="1221" w:type="dxa"/>
            <w:shd w:val="clear" w:color="auto" w:fill="F4F7FB"/>
            <w:vAlign w:val="top"/>
          </w:tcPr>
          <w:p>
            <w:pPr>
              <w:pStyle w:val="TableText"/>
              <w:jc w:val="left"/>
            </w:pPr>
            <w:r>
              <w:t xml:space="preserve">Client built; paths assumed</w:t>
            </w:r>
          </w:p>
        </w:tc>
      </w:tr>
      <w:tr>
        <w:trPr>
          <w:cantSplit/>
        </w:trPr>
        <w:tc>
          <w:tcPr>
            <w:tcW w:w="2600" w:type="dxa"/>
            <w:vAlign w:val="top"/>
          </w:tcPr>
          <w:p>
            <w:pPr>
              <w:pStyle w:val="TableText"/>
              <w:jc w:val="left"/>
            </w:pPr>
            <w:r>
              <w:t xml:space="preserve">PolicyAdministration</w:t>
            </w:r>
          </w:p>
        </w:tc>
        <w:tc>
          <w:tcPr>
            <w:tcW w:w="1652" w:type="dxa"/>
            <w:vAlign w:val="top"/>
          </w:tcPr>
          <w:p>
            <w:pPr>
              <w:pStyle w:val="TableText"/>
              <w:jc w:val="left"/>
            </w:pPr>
            <w:r>
              <w:t xml:space="preserve">Bind, issue, cancel</w:t>
            </w:r>
          </w:p>
        </w:tc>
        <w:tc>
          <w:tcPr>
            <w:tcW w:w="1902" w:type="dxa"/>
            <w:vAlign w:val="top"/>
          </w:tcPr>
          <w:p>
            <w:pPr>
              <w:pStyle w:val="TableText"/>
              <w:jc w:val="left"/>
            </w:pPr>
            <w:r>
              <w:t xml:space="preserve">Sandbox core gateway</w:t>
            </w:r>
          </w:p>
        </w:tc>
        <w:tc>
          <w:tcPr>
            <w:tcW w:w="1652" w:type="dxa"/>
            <w:vAlign w:val="top"/>
          </w:tcPr>
          <w:p>
            <w:pPr>
              <w:pStyle w:val="TableText"/>
              <w:jc w:val="left"/>
            </w:pPr>
            <w:r>
              <w:t xml:space="preserve">TASCO core API</w:t>
            </w:r>
          </w:p>
        </w:tc>
        <w:tc>
          <w:tcPr>
            <w:tcW w:w="1221" w:type="dxa"/>
            <w:vAlign w:val="top"/>
          </w:tcPr>
          <w:p>
            <w:pPr>
              <w:pStyle w:val="TableText"/>
              <w:jc w:val="left"/>
            </w:pPr>
            <w:r>
              <w:t xml:space="preserve">Sandbox</w:t>
            </w:r>
          </w:p>
        </w:tc>
      </w:tr>
      <w:tr>
        <w:trPr>
          <w:cantSplit/>
        </w:trPr>
        <w:tc>
          <w:tcPr>
            <w:tcW w:w="2600" w:type="dxa"/>
            <w:shd w:val="clear" w:color="auto" w:fill="F4F7FB"/>
            <w:vAlign w:val="top"/>
          </w:tcPr>
          <w:p>
            <w:pPr>
              <w:pStyle w:val="TableText"/>
              <w:jc w:val="left"/>
            </w:pPr>
            <w:r>
              <w:t xml:space="preserve">PaymentGateway</w:t>
            </w:r>
          </w:p>
        </w:tc>
        <w:tc>
          <w:tcPr>
            <w:tcW w:w="1652" w:type="dxa"/>
            <w:shd w:val="clear" w:color="auto" w:fill="F4F7FB"/>
            <w:vAlign w:val="top"/>
          </w:tcPr>
          <w:p>
            <w:pPr>
              <w:pStyle w:val="TableText"/>
              <w:jc w:val="left"/>
            </w:pPr>
            <w:r>
              <w:t xml:space="preserve">Wallet debit and refund</w:t>
            </w:r>
          </w:p>
        </w:tc>
        <w:tc>
          <w:tcPr>
            <w:tcW w:w="1902" w:type="dxa"/>
            <w:shd w:val="clear" w:color="auto" w:fill="F4F7FB"/>
            <w:vAlign w:val="top"/>
          </w:tcPr>
          <w:p>
            <w:pPr>
              <w:pStyle w:val="TableText"/>
              <w:jc w:val="left"/>
            </w:pPr>
            <w:r>
              <w:t xml:space="preserve">Sandbox VETC wallet</w:t>
            </w:r>
          </w:p>
        </w:tc>
        <w:tc>
          <w:tcPr>
            <w:tcW w:w="1652" w:type="dxa"/>
            <w:shd w:val="clear" w:color="auto" w:fill="F4F7FB"/>
            <w:vAlign w:val="top"/>
          </w:tcPr>
          <w:p>
            <w:pPr>
              <w:pStyle w:val="TableText"/>
              <w:jc w:val="left"/>
            </w:pPr>
            <w:r>
              <w:t xml:space="preserve">VETC wallet API</w:t>
            </w:r>
          </w:p>
        </w:tc>
        <w:tc>
          <w:tcPr>
            <w:tcW w:w="1221" w:type="dxa"/>
            <w:shd w:val="clear" w:color="auto" w:fill="F4F7FB"/>
            <w:vAlign w:val="top"/>
          </w:tcPr>
          <w:p>
            <w:pPr>
              <w:pStyle w:val="TableText"/>
              <w:jc w:val="left"/>
            </w:pPr>
            <w:r>
              <w:t xml:space="preserve">Sandbox</w:t>
            </w:r>
          </w:p>
        </w:tc>
      </w:tr>
      <w:tr>
        <w:trPr>
          <w:cantSplit/>
        </w:trPr>
        <w:tc>
          <w:tcPr>
            <w:tcW w:w="2600" w:type="dxa"/>
            <w:vAlign w:val="top"/>
          </w:tcPr>
          <w:p>
            <w:pPr>
              <w:pStyle w:val="TableText"/>
              <w:jc w:val="left"/>
            </w:pPr>
            <w:r>
              <w:t xml:space="preserve">NotificationChannel</w:t>
            </w:r>
          </w:p>
        </w:tc>
        <w:tc>
          <w:tcPr>
            <w:tcW w:w="1652" w:type="dxa"/>
            <w:vAlign w:val="top"/>
          </w:tcPr>
          <w:p>
            <w:pPr>
              <w:pStyle w:val="TableText"/>
              <w:jc w:val="left"/>
            </w:pPr>
            <w:r>
              <w:t xml:space="preserve">Push, Zalo ZNS, SMS</w:t>
            </w:r>
          </w:p>
        </w:tc>
        <w:tc>
          <w:tcPr>
            <w:tcW w:w="1902" w:type="dxa"/>
            <w:vAlign w:val="top"/>
          </w:tcPr>
          <w:p>
            <w:pPr>
              <w:pStyle w:val="TableText"/>
              <w:jc w:val="left"/>
            </w:pPr>
            <w:r>
              <w:t xml:space="preserve">Sandbox gateways</w:t>
            </w:r>
          </w:p>
        </w:tc>
        <w:tc>
          <w:tcPr>
            <w:tcW w:w="1652" w:type="dxa"/>
            <w:vAlign w:val="top"/>
          </w:tcPr>
          <w:p>
            <w:pPr>
              <w:pStyle w:val="TableText"/>
              <w:jc w:val="left"/>
            </w:pPr>
            <w:r>
              <w:t xml:space="preserve">VETC push, Zalo, SMS provider</w:t>
            </w:r>
          </w:p>
        </w:tc>
        <w:tc>
          <w:tcPr>
            <w:tcW w:w="1221" w:type="dxa"/>
            <w:vAlign w:val="top"/>
          </w:tcPr>
          <w:p>
            <w:pPr>
              <w:pStyle w:val="TableText"/>
              <w:jc w:val="left"/>
            </w:pPr>
            <w:r>
              <w:t xml:space="preserve">Sandbox</w:t>
            </w:r>
          </w:p>
        </w:tc>
      </w:tr>
      <w:tr>
        <w:trPr>
          <w:cantSplit/>
        </w:trPr>
        <w:tc>
          <w:tcPr>
            <w:tcW w:w="2600" w:type="dxa"/>
            <w:shd w:val="clear" w:color="auto" w:fill="F4F7FB"/>
            <w:vAlign w:val="top"/>
          </w:tcPr>
          <w:p>
            <w:pPr>
              <w:pStyle w:val="TableText"/>
              <w:jc w:val="left"/>
            </w:pPr>
            <w:r>
              <w:t xml:space="preserve">Telephony</w:t>
            </w:r>
          </w:p>
        </w:tc>
        <w:tc>
          <w:tcPr>
            <w:tcW w:w="1652" w:type="dxa"/>
            <w:shd w:val="clear" w:color="auto" w:fill="F4F7FB"/>
            <w:vAlign w:val="top"/>
          </w:tcPr>
          <w:p>
            <w:pPr>
              <w:pStyle w:val="TableText"/>
              <w:jc w:val="left"/>
            </w:pPr>
            <w:r>
              <w:t xml:space="preserve">Automated calls</w:t>
            </w:r>
          </w:p>
        </w:tc>
        <w:tc>
          <w:tcPr>
            <w:tcW w:w="1902" w:type="dxa"/>
            <w:shd w:val="clear" w:color="auto" w:fill="F4F7FB"/>
            <w:vAlign w:val="top"/>
          </w:tcPr>
          <w:p>
            <w:pPr>
              <w:pStyle w:val="TableText"/>
              <w:jc w:val="left"/>
            </w:pPr>
            <w:r>
              <w:t xml:space="preserve">Simulated caller</w:t>
            </w:r>
          </w:p>
        </w:tc>
        <w:tc>
          <w:tcPr>
            <w:tcW w:w="1652" w:type="dxa"/>
            <w:shd w:val="clear" w:color="auto" w:fill="F4F7FB"/>
            <w:vAlign w:val="top"/>
          </w:tcPr>
          <w:p>
            <w:pPr>
              <w:pStyle w:val="TableText"/>
              <w:jc w:val="left"/>
            </w:pPr>
            <w:r>
              <w:t xml:space="preserve">Voice AI vendor</w:t>
            </w:r>
          </w:p>
        </w:tc>
        <w:tc>
          <w:tcPr>
            <w:tcW w:w="1221" w:type="dxa"/>
            <w:shd w:val="clear" w:color="auto" w:fill="F4F7FB"/>
            <w:vAlign w:val="top"/>
          </w:tcPr>
          <w:p>
            <w:pPr>
              <w:pStyle w:val="TableText"/>
              <w:jc w:val="left"/>
            </w:pPr>
            <w:r>
              <w:t xml:space="preserve">Sandbox</w:t>
            </w:r>
          </w:p>
        </w:tc>
      </w:tr>
      <w:tr>
        <w:trPr>
          <w:cantSplit/>
        </w:trPr>
        <w:tc>
          <w:tcPr>
            <w:tcW w:w="2600" w:type="dxa"/>
            <w:vAlign w:val="top"/>
          </w:tcPr>
          <w:p>
            <w:pPr>
              <w:pStyle w:val="TableText"/>
              <w:jc w:val="left"/>
            </w:pPr>
            <w:r>
              <w:t xml:space="preserve">SourceFeed</w:t>
            </w:r>
          </w:p>
        </w:tc>
        <w:tc>
          <w:tcPr>
            <w:tcW w:w="1652" w:type="dxa"/>
            <w:vAlign w:val="top"/>
          </w:tcPr>
          <w:p>
            <w:pPr>
              <w:pStyle w:val="TableText"/>
              <w:jc w:val="left"/>
            </w:pPr>
            <w:r>
              <w:t xml:space="preserve">VETC data</w:t>
            </w:r>
          </w:p>
        </w:tc>
        <w:tc>
          <w:tcPr>
            <w:tcW w:w="1902" w:type="dxa"/>
            <w:vAlign w:val="top"/>
          </w:tcPr>
          <w:p>
            <w:pPr>
              <w:pStyle w:val="TableText"/>
              <w:jc w:val="left"/>
            </w:pPr>
            <w:r>
              <w:t xml:space="preserve">Synthetic source and ingest API</w:t>
            </w:r>
          </w:p>
        </w:tc>
        <w:tc>
          <w:tcPr>
            <w:tcW w:w="1652" w:type="dxa"/>
            <w:vAlign w:val="top"/>
          </w:tcPr>
          <w:p>
            <w:pPr>
              <w:pStyle w:val="TableText"/>
              <w:jc w:val="left"/>
            </w:pPr>
            <w:r>
              <w:t xml:space="preserve">VETC files and CDC</w:t>
            </w:r>
          </w:p>
        </w:tc>
        <w:tc>
          <w:tcPr>
            <w:tcW w:w="1221" w:type="dxa"/>
            <w:vAlign w:val="top"/>
          </w:tcPr>
          <w:p>
            <w:pPr>
              <w:pStyle w:val="TableText"/>
              <w:jc w:val="left"/>
            </w:pPr>
            <w:r>
              <w:t xml:space="preserve">API built</w:t>
            </w:r>
          </w:p>
        </w:tc>
      </w:tr>
      <w:tr>
        <w:trPr>
          <w:cantSplit/>
        </w:trPr>
        <w:tc>
          <w:tcPr>
            <w:tcW w:w="2600" w:type="dxa"/>
            <w:shd w:val="clear" w:color="auto" w:fill="F4F7FB"/>
            <w:vAlign w:val="top"/>
          </w:tcPr>
          <w:p>
            <w:pPr>
              <w:pStyle w:val="TableText"/>
              <w:jc w:val="left"/>
            </w:pPr>
            <w:r>
              <w:t xml:space="preserve">Store</w:t>
            </w:r>
          </w:p>
        </w:tc>
        <w:tc>
          <w:tcPr>
            <w:tcW w:w="1652" w:type="dxa"/>
            <w:shd w:val="clear" w:color="auto" w:fill="F4F7FB"/>
            <w:vAlign w:val="top"/>
          </w:tcPr>
          <w:p>
            <w:pPr>
              <w:pStyle w:val="TableText"/>
              <w:jc w:val="left"/>
            </w:pPr>
            <w:r>
              <w:t xml:space="preserve">Persistence</w:t>
            </w:r>
          </w:p>
        </w:tc>
        <w:tc>
          <w:tcPr>
            <w:tcW w:w="1902" w:type="dxa"/>
            <w:shd w:val="clear" w:color="auto" w:fill="F4F7FB"/>
            <w:vAlign w:val="top"/>
          </w:tcPr>
          <w:p>
            <w:pPr>
              <w:pStyle w:val="TableText"/>
              <w:jc w:val="left"/>
            </w:pPr>
            <w:r>
              <w:t xml:space="preserve">PostgreSQL (in-memory for development)</w:t>
            </w:r>
          </w:p>
        </w:tc>
        <w:tc>
          <w:tcPr>
            <w:tcW w:w="1652" w:type="dxa"/>
            <w:shd w:val="clear" w:color="auto" w:fill="F4F7FB"/>
            <w:vAlign w:val="top"/>
          </w:tcPr>
          <w:p>
            <w:pPr>
              <w:pStyle w:val="TableText"/>
              <w:jc w:val="left"/>
            </w:pPr>
            <w:r>
              <w:t xml:space="preserve">Managed PostgreSQL</w:t>
            </w:r>
          </w:p>
        </w:tc>
        <w:tc>
          <w:tcPr>
            <w:tcW w:w="1221" w:type="dxa"/>
            <w:shd w:val="clear" w:color="auto" w:fill="F4F7FB"/>
            <w:vAlign w:val="top"/>
          </w:tcPr>
          <w:p>
            <w:pPr>
              <w:pStyle w:val="TableText"/>
              <w:jc w:val="left"/>
            </w:pPr>
            <w:r>
              <w:t xml:space="preserve">Built</w:t>
            </w:r>
          </w:p>
        </w:tc>
      </w:tr>
      <w:tr>
        <w:trPr>
          <w:cantSplit/>
        </w:trPr>
        <w:tc>
          <w:tcPr>
            <w:tcW w:w="2600" w:type="dxa"/>
            <w:vAlign w:val="top"/>
          </w:tcPr>
          <w:p>
            <w:pPr>
              <w:pStyle w:val="TableText"/>
              <w:jc w:val="left"/>
            </w:pPr>
            <w:r>
              <w:t xml:space="preserve">EventBus</w:t>
            </w:r>
          </w:p>
        </w:tc>
        <w:tc>
          <w:tcPr>
            <w:tcW w:w="1652" w:type="dxa"/>
            <w:vAlign w:val="top"/>
          </w:tcPr>
          <w:p>
            <w:pPr>
              <w:pStyle w:val="TableText"/>
              <w:jc w:val="left"/>
            </w:pPr>
            <w:r>
              <w:t xml:space="preserve">Domain events</w:t>
            </w:r>
          </w:p>
        </w:tc>
        <w:tc>
          <w:tcPr>
            <w:tcW w:w="1902" w:type="dxa"/>
            <w:vAlign w:val="top"/>
          </w:tcPr>
          <w:p>
            <w:pPr>
              <w:pStyle w:val="TableText"/>
              <w:jc w:val="left"/>
            </w:pPr>
            <w:r>
              <w:t xml:space="preserve">PostgreSQL outbox</w:t>
            </w:r>
          </w:p>
        </w:tc>
        <w:tc>
          <w:tcPr>
            <w:tcW w:w="1652" w:type="dxa"/>
            <w:vAlign w:val="top"/>
          </w:tcPr>
          <w:p>
            <w:pPr>
              <w:pStyle w:val="TableText"/>
              <w:jc w:val="left"/>
            </w:pPr>
            <w:r>
              <w:t xml:space="preserve">Same, broker later</w:t>
            </w:r>
          </w:p>
        </w:tc>
        <w:tc>
          <w:tcPr>
            <w:tcW w:w="1221" w:type="dxa"/>
            <w:vAlign w:val="top"/>
          </w:tcPr>
          <w:p>
            <w:pPr>
              <w:pStyle w:val="TableText"/>
              <w:jc w:val="left"/>
            </w:pPr>
            <w:r>
              <w:t xml:space="preserve">Built</w:t>
            </w:r>
          </w:p>
        </w:tc>
      </w:tr>
    </w:tbl>
    <w:p>
      <w:pPr>
        <w:pStyle w:val="Heading2"/>
      </w:pPr>
      <w:bookmarkStart w:id="23" w:name="_Toc300000019"/>
      <w:r>
        <w:t xml:space="preserve">Runtime processes</w:t>
      </w:r>
      <w:bookmarkEnd w:id="23"/>
    </w:p>
    <w:p>
      <w:pPr>
        <w:pStyle w:val="FirstParagraph"/>
      </w:pPr>
      <w:r>
        <w:t xml:space="preserve">All processes run from one container image with different commands.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81"/>
        <w:gridCol w:w="2214"/>
        <w:gridCol w:w="3455"/>
        <w:gridCol w:w="1977"/>
      </w:tblGrid>
      <w:tr>
        <w:trPr>
          <w:cantSplit/>
          <w:tblHeader/>
        </w:trPr>
        <w:tc>
          <w:tcPr>
            <w:tcW w:w="1381" w:type="dxa"/>
            <w:shd w:val="clear" w:color="auto" w:fill="0F4761"/>
            <w:vAlign w:val="center"/>
          </w:tcPr>
          <w:p>
            <w:pPr>
              <w:pStyle w:val="TableHeading"/>
              <w:jc w:val="left"/>
            </w:pPr>
            <w:r>
              <w:rPr>
                <w:color w:val="FFFFFF"/>
              </w:rPr>
              <w:t xml:space="preserve">Process</w:t>
            </w:r>
          </w:p>
        </w:tc>
        <w:tc>
          <w:tcPr>
            <w:tcW w:w="2214" w:type="dxa"/>
            <w:shd w:val="clear" w:color="auto" w:fill="0F4761"/>
            <w:vAlign w:val="center"/>
          </w:tcPr>
          <w:p>
            <w:pPr>
              <w:pStyle w:val="TableHeading"/>
              <w:jc w:val="left"/>
            </w:pPr>
            <w:r>
              <w:rPr>
                <w:color w:val="FFFFFF"/>
              </w:rPr>
              <w:t xml:space="preserve">Command</w:t>
            </w:r>
          </w:p>
        </w:tc>
        <w:tc>
          <w:tcPr>
            <w:tcW w:w="3455" w:type="dxa"/>
            <w:shd w:val="clear" w:color="auto" w:fill="0F4761"/>
            <w:vAlign w:val="center"/>
          </w:tcPr>
          <w:p>
            <w:pPr>
              <w:pStyle w:val="TableHeading"/>
              <w:jc w:val="left"/>
            </w:pPr>
            <w:r>
              <w:rPr>
                <w:color w:val="FFFFFF"/>
              </w:rPr>
              <w:t xml:space="preserve">Responsibility</w:t>
            </w:r>
          </w:p>
        </w:tc>
        <w:tc>
          <w:tcPr>
            <w:tcW w:w="1977" w:type="dxa"/>
            <w:shd w:val="clear" w:color="auto" w:fill="0F4761"/>
            <w:vAlign w:val="center"/>
          </w:tcPr>
          <w:p>
            <w:pPr>
              <w:pStyle w:val="TableHeading"/>
              <w:jc w:val="left"/>
            </w:pPr>
            <w:r>
              <w:rPr>
                <w:color w:val="FFFFFF"/>
              </w:rPr>
              <w:t xml:space="preserve">Scaling</w:t>
            </w:r>
          </w:p>
        </w:tc>
      </w:tr>
      <w:tr>
        <w:trPr>
          <w:cantSplit/>
        </w:trPr>
        <w:tc>
          <w:tcPr>
            <w:tcW w:w="1381" w:type="dxa"/>
            <w:vAlign w:val="top"/>
          </w:tcPr>
          <w:p>
            <w:pPr>
              <w:pStyle w:val="TableText"/>
              <w:jc w:val="left"/>
            </w:pPr>
            <w:r>
              <w:t xml:space="preserve">API server</w:t>
            </w:r>
          </w:p>
        </w:tc>
        <w:tc>
          <w:tcPr>
            <w:tcW w:w="2214" w:type="dxa"/>
            <w:vAlign w:val="top"/>
          </w:tcPr>
          <w:p>
            <w:pPr>
              <w:pStyle w:val="TableText"/>
              <w:jc w:val="left"/>
            </w:pPr>
            <w:r>
              <w:rPr>
                <w:rStyle w:val="CodeChar"/>
              </w:rPr>
              <w:t xml:space="preserve">node src/server.js</w:t>
            </w:r>
          </w:p>
        </w:tc>
        <w:tc>
          <w:tcPr>
            <w:tcW w:w="3455" w:type="dxa"/>
            <w:vAlign w:val="top"/>
          </w:tcPr>
          <w:p>
            <w:pPr>
              <w:pStyle w:val="TableText"/>
              <w:jc w:val="left"/>
            </w:pPr>
            <w:r>
              <w:t xml:space="preserve">All synchronous APIs, static front end, health and metrics endpoints; runs the outbox relay every second</w:t>
            </w:r>
          </w:p>
        </w:tc>
        <w:tc>
          <w:tcPr>
            <w:tcW w:w="1977" w:type="dxa"/>
            <w:vAlign w:val="top"/>
          </w:tcPr>
          <w:p>
            <w:pPr>
              <w:pStyle w:val="TableText"/>
              <w:jc w:val="left"/>
            </w:pPr>
            <w:r>
              <w:t xml:space="preserve">Stateless, horizontal (autoscaled)</w:t>
            </w:r>
          </w:p>
        </w:tc>
      </w:tr>
      <w:tr>
        <w:trPr>
          <w:cantSplit/>
        </w:trPr>
        <w:tc>
          <w:tcPr>
            <w:tcW w:w="1381" w:type="dxa"/>
            <w:shd w:val="clear" w:color="auto" w:fill="F4F7FB"/>
            <w:vAlign w:val="top"/>
          </w:tcPr>
          <w:p>
            <w:pPr>
              <w:pStyle w:val="TableText"/>
              <w:jc w:val="left"/>
            </w:pPr>
            <w:r>
              <w:t xml:space="preserve">Scheduled jobs</w:t>
            </w:r>
          </w:p>
        </w:tc>
        <w:tc>
          <w:tcPr>
            <w:tcW w:w="2214" w:type="dxa"/>
            <w:shd w:val="clear" w:color="auto" w:fill="F4F7FB"/>
            <w:vAlign w:val="top"/>
          </w:tcPr>
          <w:p>
            <w:pPr>
              <w:pStyle w:val="TableText"/>
              <w:jc w:val="left"/>
            </w:pPr>
            <w:r>
              <w:rPr>
                <w:rStyle w:val="CodeChar"/>
              </w:rPr>
              <w:t xml:space="preserve">node src/jobs/cli.js &lt;job&gt;</w:t>
            </w:r>
          </w:p>
        </w:tc>
        <w:tc>
          <w:tcPr>
            <w:tcW w:w="3455" w:type="dxa"/>
            <w:shd w:val="clear" w:color="auto" w:fill="F4F7FB"/>
            <w:vAlign w:val="top"/>
          </w:tcPr>
          <w:p>
            <w:pPr>
              <w:pStyle w:val="TableText"/>
              <w:jc w:val="left"/>
            </w:pPr>
            <w:r>
              <w:t xml:space="preserve">Journeys, nightly re-scoring, reconciliation, retention, outbox relay safety net, catalogue sync</w:t>
            </w:r>
          </w:p>
        </w:tc>
        <w:tc>
          <w:tcPr>
            <w:tcW w:w="1977" w:type="dxa"/>
            <w:shd w:val="clear" w:color="auto" w:fill="F4F7FB"/>
            <w:vAlign w:val="top"/>
          </w:tcPr>
          <w:p>
            <w:pPr>
              <w:pStyle w:val="TableText"/>
              <w:jc w:val="left"/>
            </w:pPr>
            <w:r>
              <w:t xml:space="preserve">One pod per run, no overlap</w:t>
            </w:r>
          </w:p>
        </w:tc>
      </w:tr>
      <w:tr>
        <w:trPr>
          <w:cantSplit/>
        </w:trPr>
        <w:tc>
          <w:tcPr>
            <w:tcW w:w="1381" w:type="dxa"/>
            <w:vAlign w:val="top"/>
          </w:tcPr>
          <w:p>
            <w:pPr>
              <w:pStyle w:val="TableText"/>
              <w:jc w:val="left"/>
            </w:pPr>
            <w:r>
              <w:t xml:space="preserve">Migration job</w:t>
            </w:r>
          </w:p>
        </w:tc>
        <w:tc>
          <w:tcPr>
            <w:tcW w:w="2214" w:type="dxa"/>
            <w:vAlign w:val="top"/>
          </w:tcPr>
          <w:p>
            <w:pPr>
              <w:pStyle w:val="TableText"/>
              <w:jc w:val="left"/>
            </w:pPr>
            <w:r>
              <w:rPr>
                <w:rStyle w:val="CodeChar"/>
              </w:rPr>
              <w:t xml:space="preserve">node src/jobs/cli.js migrate</w:t>
            </w:r>
          </w:p>
        </w:tc>
        <w:tc>
          <w:tcPr>
            <w:tcW w:w="3455" w:type="dxa"/>
            <w:vAlign w:val="top"/>
          </w:tcPr>
          <w:p>
            <w:pPr>
              <w:pStyle w:val="TableText"/>
              <w:jc w:val="left"/>
            </w:pPr>
            <w:r>
              <w:t xml:space="preserve">Applies numbered SQL migrations under an advisory lock before each release</w:t>
            </w:r>
          </w:p>
        </w:tc>
        <w:tc>
          <w:tcPr>
            <w:tcW w:w="1977" w:type="dxa"/>
            <w:vAlign w:val="top"/>
          </w:tcPr>
          <w:p>
            <w:pPr>
              <w:pStyle w:val="TableText"/>
              <w:jc w:val="left"/>
            </w:pPr>
            <w:r>
              <w:t xml:space="preserve">One pod per release</w:t>
            </w:r>
          </w:p>
        </w:tc>
      </w:tr>
    </w:tbl>
    <w:p>
      <w:pPr>
        <w:pStyle w:val="Heading2"/>
      </w:pPr>
      <w:bookmarkStart w:id="24" w:name="_Toc300000020"/>
      <w:r>
        <w:t xml:space="preserve">Event-driven reactions</w:t>
      </w:r>
      <w:bookmarkEnd w:id="24"/>
    </w:p>
    <w:p>
      <w:pPr>
        <w:pStyle w:val="FirstParagraph"/>
      </w:pPr>
      <w:r>
        <w:t xml:space="preserve">Reactions that must not slow the caller, such as re-scoring, confirmations and cache refresh, run as domain events through a transactional outbox (ADR-005). An event is written to the</w:t>
      </w:r>
      <w:r>
        <w:t xml:space="preserve"> </w:t>
      </w:r>
      <w:r>
        <w:rPr>
          <w:rStyle w:val="CodeChar"/>
        </w:rPr>
        <w:t xml:space="preserve">domain_events</w:t>
      </w:r>
      <w:r>
        <w:t xml:space="preserve"> </w:t>
      </w:r>
      <w:r>
        <w:t xml:space="preserve">table and a relay in each API pod claims pending events with</w:t>
      </w:r>
      <w:r>
        <w:t xml:space="preserve"> </w:t>
      </w:r>
      <w:r>
        <w:rPr>
          <w:rStyle w:val="CodeChar"/>
        </w:rPr>
        <w:t xml:space="preserve">FOR UPDATE SKIP LOCKED</w:t>
      </w:r>
      <w:r>
        <w:t xml:space="preserve">, so several pods can relay safely. Each subscriber is named; on a retry only the failed subscribers run again. After five failed attempts the event moves to a dead letter state and raises an alert. Delivery is at least once, so every handler is written to be safe on repeat.</w:t>
      </w:r>
    </w:p>
    <w:p>
      <w:pPr>
        <w:pStyle w:val="BodyText"/>
      </w:pPr>
      <w:r>
        <w:t xml:space="preserve">The diagram shows the states an event moves through.</w:t>
      </w:r>
    </w:p>
    <w:p xmlns:a="http://schemas.openxmlformats.org/drawingml/2006/main" xmlns:pic="http://schemas.openxmlformats.org/drawingml/2006/picture">
      <w:pPr>
        <w:pStyle w:val="Figure"/>
      </w:pPr>
      <w:r>
        <w:drawing>
          <wp:inline>
            <wp:extent cx="5475599" cy="4334399"/>
            <wp:effectExtent b="0" l="0" r="0" t="0"/>
            <wp:docPr descr="States of a domain event in the transactional outbox" title="" id="5005" name="Picture"/>
            <a:graphic>
              <a:graphicData uri="http://schemas.openxmlformats.org/drawingml/2006/picture">
                <pic:pic>
                  <pic:nvPicPr>
                    <pic:cNvPr descr="/tmp/claude-0/-home-user-TASCO/19e5534d-12b5-5956-9b60-3e77efde0f49/scratchpad/gen/.cache/mermaid/bb46e1e3045dd932.png" id="47" name="Picture"/>
                    <pic:cNvPicPr>
                      <a:picLocks noChangeArrowheads="1" noChangeAspect="1"/>
                    </pic:cNvPicPr>
                  </pic:nvPicPr>
                  <pic:blipFill>
                    <a:blip r:embed="rIdG4"/>
                    <a:stretch>
                      <a:fillRect/>
                    </a:stretch>
                  </pic:blipFill>
                  <pic:spPr bwMode="auto">
                    <a:xfrm>
                      <a:off x="0" y="0"/>
                      <a:ext cx="5475599" cy="4334399"/>
                    </a:xfrm>
                    <a:prstGeom prst="rect">
                      <a:avLst/>
                    </a:prstGeom>
                    <a:noFill/>
                    <a:ln w="9525">
                      <a:noFill/>
                      <a:headEnd/>
                      <a:tailEnd/>
                    </a:ln>
                  </pic:spPr>
                </pic:pic>
              </a:graphicData>
            </a:graphic>
          </wp:inline>
        </w:drawing>
      </w:r>
    </w:p>
    <w:p>
      <w:pPr>
        <w:pStyle w:val="Caption"/>
      </w:pPr>
      <w:r>
        <w:t xml:space="preserve">Figure 4 – States of a domain event in the transactional outbox</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072"/>
        <w:gridCol w:w="2313"/>
        <w:gridCol w:w="3642"/>
      </w:tblGrid>
      <w:tr>
        <w:trPr>
          <w:cantSplit/>
          <w:tblHeader/>
        </w:trPr>
        <w:tc>
          <w:tcPr>
            <w:tcW w:w="3072" w:type="dxa"/>
            <w:shd w:val="clear" w:color="auto" w:fill="0F4761"/>
            <w:vAlign w:val="center"/>
          </w:tcPr>
          <w:p>
            <w:pPr>
              <w:pStyle w:val="TableHeading"/>
              <w:jc w:val="left"/>
            </w:pPr>
            <w:r>
              <w:rPr>
                <w:color w:val="FFFFFF"/>
              </w:rPr>
              <w:t xml:space="preserve">Event</w:t>
            </w:r>
          </w:p>
        </w:tc>
        <w:tc>
          <w:tcPr>
            <w:tcW w:w="2313" w:type="dxa"/>
            <w:shd w:val="clear" w:color="auto" w:fill="0F4761"/>
            <w:vAlign w:val="center"/>
          </w:tcPr>
          <w:p>
            <w:pPr>
              <w:pStyle w:val="TableHeading"/>
              <w:jc w:val="left"/>
            </w:pPr>
            <w:r>
              <w:rPr>
                <w:color w:val="FFFFFF"/>
              </w:rPr>
              <w:t xml:space="preserve">Raised when</w:t>
            </w:r>
          </w:p>
        </w:tc>
        <w:tc>
          <w:tcPr>
            <w:tcW w:w="3642" w:type="dxa"/>
            <w:shd w:val="clear" w:color="auto" w:fill="0F4761"/>
            <w:vAlign w:val="center"/>
          </w:tcPr>
          <w:p>
            <w:pPr>
              <w:pStyle w:val="TableHeading"/>
              <w:jc w:val="left"/>
            </w:pPr>
            <w:r>
              <w:rPr>
                <w:color w:val="FFFFFF"/>
              </w:rPr>
              <w:t xml:space="preserve">Reactions</w:t>
            </w:r>
          </w:p>
        </w:tc>
      </w:tr>
      <w:tr>
        <w:trPr>
          <w:cantSplit/>
        </w:trPr>
        <w:tc>
          <w:tcPr>
            <w:tcW w:w="3072" w:type="dxa"/>
            <w:vAlign w:val="top"/>
          </w:tcPr>
          <w:p>
            <w:pPr>
              <w:pStyle w:val="TableText"/>
              <w:jc w:val="left"/>
            </w:pPr>
            <w:r>
              <w:rPr>
                <w:rStyle w:val="CodeChar"/>
              </w:rPr>
              <w:t xml:space="preserve">profiles.rebuilt</w:t>
            </w:r>
          </w:p>
        </w:tc>
        <w:tc>
          <w:tcPr>
            <w:tcW w:w="2313" w:type="dxa"/>
            <w:vAlign w:val="top"/>
          </w:tcPr>
          <w:p>
            <w:pPr>
              <w:pStyle w:val="TableText"/>
              <w:jc w:val="left"/>
            </w:pPr>
            <w:r>
              <w:t xml:space="preserve">An ingestion batch rebuilds profiles</w:t>
            </w:r>
          </w:p>
        </w:tc>
        <w:tc>
          <w:tcPr>
            <w:tcW w:w="3642" w:type="dxa"/>
            <w:vAlign w:val="top"/>
          </w:tcPr>
          <w:p>
            <w:pPr>
              <w:pStyle w:val="TableText"/>
              <w:jc w:val="left"/>
            </w:pPr>
            <w:r>
              <w:t xml:space="preserve">Re-score the affected leads</w:t>
            </w:r>
          </w:p>
        </w:tc>
      </w:tr>
      <w:tr>
        <w:trPr>
          <w:cantSplit/>
        </w:trPr>
        <w:tc>
          <w:tcPr>
            <w:tcW w:w="3072" w:type="dxa"/>
            <w:shd w:val="clear" w:color="auto" w:fill="F4F7FB"/>
            <w:vAlign w:val="top"/>
          </w:tcPr>
          <w:p>
            <w:pPr>
              <w:pStyle w:val="TableText"/>
              <w:jc w:val="left"/>
            </w:pPr>
            <w:r>
              <w:rPr>
                <w:rStyle w:val="CodeChar"/>
              </w:rPr>
              <w:t xml:space="preserve">lead.recompute_requested</w:t>
            </w:r>
          </w:p>
        </w:tc>
        <w:tc>
          <w:tcPr>
            <w:tcW w:w="2313" w:type="dxa"/>
            <w:shd w:val="clear" w:color="auto" w:fill="F4F7FB"/>
            <w:vAlign w:val="top"/>
          </w:tcPr>
          <w:p>
            <w:pPr>
              <w:pStyle w:val="TableText"/>
              <w:jc w:val="left"/>
            </w:pPr>
            <w:r>
              <w:t xml:space="preserve">Consent change, declared expiry, opt-out, ecosystem trigger</w:t>
            </w:r>
          </w:p>
        </w:tc>
        <w:tc>
          <w:tcPr>
            <w:tcW w:w="3642" w:type="dxa"/>
            <w:shd w:val="clear" w:color="auto" w:fill="F4F7FB"/>
            <w:vAlign w:val="top"/>
          </w:tcPr>
          <w:p>
            <w:pPr>
              <w:pStyle w:val="TableText"/>
              <w:jc w:val="left"/>
            </w:pPr>
            <w:r>
              <w:t xml:space="preserve">Re-score the lead and re-plan its journey</w:t>
            </w:r>
          </w:p>
        </w:tc>
      </w:tr>
      <w:tr>
        <w:trPr>
          <w:cantSplit/>
        </w:trPr>
        <w:tc>
          <w:tcPr>
            <w:tcW w:w="3072" w:type="dxa"/>
            <w:vAlign w:val="top"/>
          </w:tcPr>
          <w:p>
            <w:pPr>
              <w:pStyle w:val="TableText"/>
              <w:jc w:val="left"/>
            </w:pPr>
            <w:r>
              <w:rPr>
                <w:rStyle w:val="CodeChar"/>
              </w:rPr>
              <w:t xml:space="preserve">policy.issued</w:t>
            </w:r>
          </w:p>
        </w:tc>
        <w:tc>
          <w:tcPr>
            <w:tcW w:w="2313" w:type="dxa"/>
            <w:vAlign w:val="top"/>
          </w:tcPr>
          <w:p>
            <w:pPr>
              <w:pStyle w:val="TableText"/>
              <w:jc w:val="left"/>
            </w:pPr>
            <w:r>
              <w:t xml:space="preserve">An order completes</w:t>
            </w:r>
          </w:p>
        </w:tc>
        <w:tc>
          <w:tcPr>
            <w:tcW w:w="3642" w:type="dxa"/>
            <w:vAlign w:val="top"/>
          </w:tcPr>
          <w:p>
            <w:pPr>
              <w:pStyle w:val="TableText"/>
              <w:jc w:val="left"/>
            </w:pPr>
            <w:r>
              <w:t xml:space="preserve">Stop renewal journeys; send the purchase confirmation; plan cross-sell if marketing consent exists</w:t>
            </w:r>
          </w:p>
        </w:tc>
      </w:tr>
      <w:tr>
        <w:trPr>
          <w:cantSplit/>
        </w:trPr>
        <w:tc>
          <w:tcPr>
            <w:tcW w:w="3072" w:type="dxa"/>
            <w:shd w:val="clear" w:color="auto" w:fill="F4F7FB"/>
            <w:vAlign w:val="top"/>
          </w:tcPr>
          <w:p>
            <w:pPr>
              <w:pStyle w:val="TableText"/>
              <w:jc w:val="left"/>
            </w:pPr>
            <w:r>
              <w:rPr>
                <w:rStyle w:val="CodeChar"/>
              </w:rPr>
              <w:t xml:space="preserve">renewal.link_requested</w:t>
            </w:r>
          </w:p>
        </w:tc>
        <w:tc>
          <w:tcPr>
            <w:tcW w:w="2313" w:type="dxa"/>
            <w:shd w:val="clear" w:color="auto" w:fill="F4F7FB"/>
            <w:vAlign w:val="top"/>
          </w:tcPr>
          <w:p>
            <w:pPr>
              <w:pStyle w:val="TableText"/>
              <w:jc w:val="left"/>
            </w:pPr>
            <w:r>
              <w:t xml:space="preserve">A customer asks for a link on a call</w:t>
            </w:r>
          </w:p>
        </w:tc>
        <w:tc>
          <w:tcPr>
            <w:tcW w:w="3642" w:type="dxa"/>
            <w:shd w:val="clear" w:color="auto" w:fill="F4F7FB"/>
            <w:vAlign w:val="top"/>
          </w:tcPr>
          <w:p>
            <w:pPr>
              <w:pStyle w:val="TableText"/>
              <w:jc w:val="left"/>
            </w:pPr>
            <w:r>
              <w:t xml:space="preserve">Send the renewal link (push, then Zalo, then SMS)</w:t>
            </w:r>
          </w:p>
        </w:tc>
      </w:tr>
      <w:tr>
        <w:trPr>
          <w:cantSplit/>
        </w:trPr>
        <w:tc>
          <w:tcPr>
            <w:tcW w:w="3072" w:type="dxa"/>
            <w:vAlign w:val="top"/>
          </w:tcPr>
          <w:p>
            <w:pPr>
              <w:pStyle w:val="TableText"/>
              <w:jc w:val="left"/>
            </w:pPr>
            <w:r>
              <w:rPr>
                <w:rStyle w:val="CodeChar"/>
              </w:rPr>
              <w:t xml:space="preserve">handoff.created</w:t>
            </w:r>
          </w:p>
        </w:tc>
        <w:tc>
          <w:tcPr>
            <w:tcW w:w="2313" w:type="dxa"/>
            <w:vAlign w:val="top"/>
          </w:tcPr>
          <w:p>
            <w:pPr>
              <w:pStyle w:val="TableText"/>
              <w:jc w:val="left"/>
            </w:pPr>
            <w:r>
              <w:t xml:space="preserve">A call ends with a request to talk to a person</w:t>
            </w:r>
          </w:p>
        </w:tc>
        <w:tc>
          <w:tcPr>
            <w:tcW w:w="3642" w:type="dxa"/>
            <w:vAlign w:val="top"/>
          </w:tcPr>
          <w:p>
            <w:pPr>
              <w:pStyle w:val="TableText"/>
              <w:jc w:val="left"/>
            </w:pPr>
            <w:r>
              <w:t xml:space="preserve">None yet; target is a dialler or CTI queue</w:t>
            </w:r>
          </w:p>
        </w:tc>
      </w:tr>
      <w:tr>
        <w:trPr>
          <w:cantSplit/>
        </w:trPr>
        <w:tc>
          <w:tcPr>
            <w:tcW w:w="3072" w:type="dxa"/>
            <w:shd w:val="clear" w:color="auto" w:fill="F4F7FB"/>
            <w:vAlign w:val="top"/>
          </w:tcPr>
          <w:p>
            <w:pPr>
              <w:pStyle w:val="TableText"/>
              <w:jc w:val="left"/>
            </w:pPr>
            <w:r>
              <w:rPr>
                <w:rStyle w:val="CodeChar"/>
              </w:rPr>
              <w:t xml:space="preserve">claim.submitted</w:t>
            </w:r>
          </w:p>
        </w:tc>
        <w:tc>
          <w:tcPr>
            <w:tcW w:w="2313" w:type="dxa"/>
            <w:shd w:val="clear" w:color="auto" w:fill="F4F7FB"/>
            <w:vAlign w:val="top"/>
          </w:tcPr>
          <w:p>
            <w:pPr>
              <w:pStyle w:val="TableText"/>
              <w:jc w:val="left"/>
            </w:pPr>
            <w:r>
              <w:t xml:space="preserve">A customer reports a claim</w:t>
            </w:r>
          </w:p>
        </w:tc>
        <w:tc>
          <w:tcPr>
            <w:tcW w:w="3642" w:type="dxa"/>
            <w:shd w:val="clear" w:color="auto" w:fill="F4F7FB"/>
            <w:vAlign w:val="top"/>
          </w:tcPr>
          <w:p>
            <w:pPr>
              <w:pStyle w:val="TableText"/>
              <w:jc w:val="left"/>
            </w:pPr>
            <w:r>
              <w:t xml:space="preserve">Send the claim acknowledgement with the service level; target is the TASCO core claims notification</w:t>
            </w:r>
          </w:p>
        </w:tc>
      </w:tr>
      <w:tr>
        <w:trPr>
          <w:cantSplit/>
        </w:trPr>
        <w:tc>
          <w:tcPr>
            <w:tcW w:w="3072" w:type="dxa"/>
            <w:vAlign w:val="top"/>
          </w:tcPr>
          <w:p>
            <w:pPr>
              <w:pStyle w:val="TableText"/>
              <w:jc w:val="left"/>
            </w:pPr>
            <w:r>
              <w:rPr>
                <w:rStyle w:val="CodeChar"/>
              </w:rPr>
              <w:t xml:space="preserve">rules.activated</w:t>
            </w:r>
          </w:p>
        </w:tc>
        <w:tc>
          <w:tcPr>
            <w:tcW w:w="2313" w:type="dxa"/>
            <w:vAlign w:val="top"/>
          </w:tcPr>
          <w:p>
            <w:pPr>
              <w:pStyle w:val="TableText"/>
              <w:jc w:val="left"/>
            </w:pPr>
            <w:r>
              <w:t xml:space="preserve">A rule set is approved</w:t>
            </w:r>
          </w:p>
        </w:tc>
        <w:tc>
          <w:tcPr>
            <w:tcW w:w="3642" w:type="dxa"/>
            <w:vAlign w:val="top"/>
          </w:tcPr>
          <w:p>
            <w:pPr>
              <w:pStyle w:val="TableText"/>
              <w:jc w:val="left"/>
            </w:pPr>
            <w:r>
              <w:t xml:space="preserve">Refresh the rules cache</w:t>
            </w:r>
          </w:p>
        </w:tc>
      </w:tr>
    </w:tbl>
    <w:p>
      <w:pPr>
        <w:pStyle w:val="Heading2"/>
      </w:pPr>
      <w:bookmarkStart w:id="25" w:name="_Toc300000021"/>
      <w:r>
        <w:t xml:space="preserve">Configurability</w:t>
      </w:r>
      <w:bookmarkEnd w:id="25"/>
    </w:p>
    <w:p>
      <w:pPr>
        <w:pStyle w:val="FirstParagraph"/>
      </w:pPr>
      <w:r>
        <w:t xml:space="preserve">Business behaviour lives in 21 rule kinds, seeded from</w:t>
      </w:r>
      <w:r>
        <w:t xml:space="preserve"> </w:t>
      </w:r>
      <w:r>
        <w:rPr>
          <w:rStyle w:val="CodeChar"/>
        </w:rPr>
        <w:t xml:space="preserve">config/rules</w:t>
      </w:r>
      <w:r>
        <w:t xml:space="preserve"> </w:t>
      </w:r>
      <w:r>
        <w:t xml:space="preserve">as version 1 and changed only through the rules studio with maker-checker approval (ADR-003). Code changes are needed only for a new rating method, a new dialogue state, a new rule operator or a new integration. Role-to-permission mapping is deliberately not a rule kind: it changes through code review and the change advisory board.</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71"/>
        <w:gridCol w:w="3225"/>
        <w:gridCol w:w="1986"/>
        <w:gridCol w:w="1845"/>
      </w:tblGrid>
      <w:tr>
        <w:trPr>
          <w:cantSplit/>
          <w:tblHeader/>
        </w:trPr>
        <w:tc>
          <w:tcPr>
            <w:tcW w:w="1971" w:type="dxa"/>
            <w:shd w:val="clear" w:color="auto" w:fill="0F4761"/>
            <w:vAlign w:val="center"/>
          </w:tcPr>
          <w:p>
            <w:pPr>
              <w:pStyle w:val="TableHeading"/>
              <w:jc w:val="left"/>
            </w:pPr>
            <w:r>
              <w:rPr>
                <w:color w:val="FFFFFF"/>
              </w:rPr>
              <w:t xml:space="preserve">Rule kind</w:t>
            </w:r>
          </w:p>
        </w:tc>
        <w:tc>
          <w:tcPr>
            <w:tcW w:w="3225" w:type="dxa"/>
            <w:shd w:val="clear" w:color="auto" w:fill="0F4761"/>
            <w:vAlign w:val="center"/>
          </w:tcPr>
          <w:p>
            <w:pPr>
              <w:pStyle w:val="TableHeading"/>
              <w:jc w:val="left"/>
            </w:pPr>
            <w:r>
              <w:rPr>
                <w:color w:val="FFFFFF"/>
              </w:rPr>
              <w:t xml:space="preserve">What it controls</w:t>
            </w:r>
          </w:p>
        </w:tc>
        <w:tc>
          <w:tcPr>
            <w:tcW w:w="1986" w:type="dxa"/>
            <w:shd w:val="clear" w:color="auto" w:fill="0F4761"/>
            <w:vAlign w:val="center"/>
          </w:tcPr>
          <w:p>
            <w:pPr>
              <w:pStyle w:val="TableHeading"/>
              <w:jc w:val="left"/>
            </w:pPr>
            <w:r>
              <w:rPr>
                <w:color w:val="FFFFFF"/>
              </w:rPr>
              <w:t xml:space="preserve">Business owner</w:t>
            </w:r>
          </w:p>
        </w:tc>
        <w:tc>
          <w:tcPr>
            <w:tcW w:w="1845" w:type="dxa"/>
            <w:shd w:val="clear" w:color="auto" w:fill="0F4761"/>
            <w:vAlign w:val="center"/>
          </w:tcPr>
          <w:p>
            <w:pPr>
              <w:pStyle w:val="TableHeading"/>
              <w:jc w:val="left"/>
            </w:pPr>
            <w:r>
              <w:rPr>
                <w:color w:val="FFFFFF"/>
              </w:rPr>
              <w:t xml:space="preserve">Approver</w:t>
            </w:r>
          </w:p>
        </w:tc>
      </w:tr>
      <w:tr>
        <w:trPr>
          <w:cantSplit/>
        </w:trPr>
        <w:tc>
          <w:tcPr>
            <w:tcW w:w="1971" w:type="dxa"/>
            <w:vAlign w:val="top"/>
          </w:tcPr>
          <w:p>
            <w:pPr>
              <w:pStyle w:val="TableText"/>
              <w:jc w:val="left"/>
            </w:pPr>
            <w:r>
              <w:t xml:space="preserve">Products</w:t>
            </w:r>
          </w:p>
        </w:tc>
        <w:tc>
          <w:tcPr>
            <w:tcW w:w="3225" w:type="dxa"/>
            <w:vAlign w:val="top"/>
          </w:tcPr>
          <w:p>
            <w:pPr>
              <w:pStyle w:val="TableText"/>
              <w:jc w:val="left"/>
            </w:pPr>
            <w:r>
              <w:t xml:space="preserve">Catalogue, channels, rating method, bundles</w:t>
            </w:r>
          </w:p>
        </w:tc>
        <w:tc>
          <w:tcPr>
            <w:tcW w:w="1986" w:type="dxa"/>
            <w:vAlign w:val="top"/>
          </w:tcPr>
          <w:p>
            <w:pPr>
              <w:pStyle w:val="TableText"/>
              <w:jc w:val="left"/>
            </w:pPr>
            <w:r>
              <w:t xml:space="preserve">Product</w:t>
            </w:r>
          </w:p>
        </w:tc>
        <w:tc>
          <w:tcPr>
            <w:tcW w:w="1845" w:type="dxa"/>
            <w:vAlign w:val="top"/>
          </w:tcPr>
          <w:p>
            <w:pPr>
              <w:pStyle w:val="TableText"/>
              <w:jc w:val="left"/>
            </w:pPr>
            <w:r>
              <w:t xml:space="preserve">Rule approver</w:t>
            </w:r>
          </w:p>
        </w:tc>
      </w:tr>
      <w:tr>
        <w:trPr>
          <w:cantSplit/>
        </w:trPr>
        <w:tc>
          <w:tcPr>
            <w:tcW w:w="1971" w:type="dxa"/>
            <w:shd w:val="clear" w:color="auto" w:fill="F4F7FB"/>
            <w:vAlign w:val="top"/>
          </w:tcPr>
          <w:p>
            <w:pPr>
              <w:pStyle w:val="TableText"/>
              <w:jc w:val="left"/>
            </w:pPr>
            <w:r>
              <w:t xml:space="preserve">Tariffs (TNDS car, TNDS motorbike)</w:t>
            </w:r>
          </w:p>
        </w:tc>
        <w:tc>
          <w:tcPr>
            <w:tcW w:w="3225" w:type="dxa"/>
            <w:shd w:val="clear" w:color="auto" w:fill="F4F7FB"/>
            <w:vAlign w:val="top"/>
          </w:tcPr>
          <w:p>
            <w:pPr>
              <w:pStyle w:val="TableText"/>
              <w:jc w:val="left"/>
            </w:pPr>
            <w:r>
              <w:t xml:space="preserve">Regulated premiums and VAT, used only as the indicative fallback</w:t>
            </w:r>
          </w:p>
        </w:tc>
        <w:tc>
          <w:tcPr>
            <w:tcW w:w="1986" w:type="dxa"/>
            <w:shd w:val="clear" w:color="auto" w:fill="F4F7FB"/>
            <w:vAlign w:val="top"/>
          </w:tcPr>
          <w:p>
            <w:pPr>
              <w:pStyle w:val="TableText"/>
              <w:jc w:val="left"/>
            </w:pPr>
            <w:r>
              <w:t xml:space="preserve">Underwriting and Compliance</w:t>
            </w:r>
          </w:p>
        </w:tc>
        <w:tc>
          <w:tcPr>
            <w:tcW w:w="1845" w:type="dxa"/>
            <w:shd w:val="clear" w:color="auto" w:fill="F4F7FB"/>
            <w:vAlign w:val="top"/>
          </w:tcPr>
          <w:p>
            <w:pPr>
              <w:pStyle w:val="TableText"/>
              <w:jc w:val="left"/>
            </w:pPr>
            <w:r>
              <w:t xml:space="preserve">Rule approver</w:t>
            </w:r>
          </w:p>
        </w:tc>
      </w:tr>
      <w:tr>
        <w:trPr>
          <w:cantSplit/>
        </w:trPr>
        <w:tc>
          <w:tcPr>
            <w:tcW w:w="1971" w:type="dxa"/>
            <w:vAlign w:val="top"/>
          </w:tcPr>
          <w:p>
            <w:pPr>
              <w:pStyle w:val="TableText"/>
              <w:jc w:val="left"/>
            </w:pPr>
            <w:r>
              <w:t xml:space="preserve">Rating (physical damage, personal accident per seat)</w:t>
            </w:r>
          </w:p>
        </w:tc>
        <w:tc>
          <w:tcPr>
            <w:tcW w:w="3225" w:type="dxa"/>
            <w:vAlign w:val="top"/>
          </w:tcPr>
          <w:p>
            <w:pPr>
              <w:pStyle w:val="TableText"/>
              <w:jc w:val="left"/>
            </w:pPr>
            <w:r>
              <w:t xml:space="preserve">Illustrative voluntary rates for sandbox and fallback</w:t>
            </w:r>
          </w:p>
        </w:tc>
        <w:tc>
          <w:tcPr>
            <w:tcW w:w="1986" w:type="dxa"/>
            <w:vAlign w:val="top"/>
          </w:tcPr>
          <w:p>
            <w:pPr>
              <w:pStyle w:val="TableText"/>
              <w:jc w:val="left"/>
            </w:pPr>
            <w:r>
              <w:t xml:space="preserve">Actuarial</w:t>
            </w:r>
          </w:p>
        </w:tc>
        <w:tc>
          <w:tcPr>
            <w:tcW w:w="1845" w:type="dxa"/>
            <w:vAlign w:val="top"/>
          </w:tcPr>
          <w:p>
            <w:pPr>
              <w:pStyle w:val="TableText"/>
              <w:jc w:val="left"/>
            </w:pPr>
            <w:r>
              <w:t xml:space="preserve">Rule approver</w:t>
            </w:r>
          </w:p>
        </w:tc>
      </w:tr>
      <w:tr>
        <w:trPr>
          <w:cantSplit/>
        </w:trPr>
        <w:tc>
          <w:tcPr>
            <w:tcW w:w="1971" w:type="dxa"/>
            <w:shd w:val="clear" w:color="auto" w:fill="F4F7FB"/>
            <w:vAlign w:val="top"/>
          </w:tcPr>
          <w:p>
            <w:pPr>
              <w:pStyle w:val="TableText"/>
              <w:jc w:val="left"/>
            </w:pPr>
            <w:r>
              <w:t xml:space="preserve">Commission</w:t>
            </w:r>
          </w:p>
        </w:tc>
        <w:tc>
          <w:tcPr>
            <w:tcW w:w="3225" w:type="dxa"/>
            <w:shd w:val="clear" w:color="auto" w:fill="F4F7FB"/>
            <w:vAlign w:val="top"/>
          </w:tcPr>
          <w:p>
            <w:pPr>
              <w:pStyle w:val="TableText"/>
              <w:jc w:val="left"/>
            </w:pPr>
            <w:r>
              <w:t xml:space="preserve">Partner commission and statutory caps</w:t>
            </w:r>
          </w:p>
        </w:tc>
        <w:tc>
          <w:tcPr>
            <w:tcW w:w="1986" w:type="dxa"/>
            <w:shd w:val="clear" w:color="auto" w:fill="F4F7FB"/>
            <w:vAlign w:val="top"/>
          </w:tcPr>
          <w:p>
            <w:pPr>
              <w:pStyle w:val="TableText"/>
              <w:jc w:val="left"/>
            </w:pPr>
            <w:r>
              <w:t xml:space="preserve">Finance and Legal</w:t>
            </w:r>
          </w:p>
        </w:tc>
        <w:tc>
          <w:tcPr>
            <w:tcW w:w="1845" w:type="dxa"/>
            <w:shd w:val="clear" w:color="auto" w:fill="F4F7FB"/>
            <w:vAlign w:val="top"/>
          </w:tcPr>
          <w:p>
            <w:pPr>
              <w:pStyle w:val="TableText"/>
              <w:jc w:val="left"/>
            </w:pPr>
            <w:r>
              <w:t xml:space="preserve">Compliance officer only</w:t>
            </w:r>
          </w:p>
        </w:tc>
      </w:tr>
      <w:tr>
        <w:trPr>
          <w:cantSplit/>
        </w:trPr>
        <w:tc>
          <w:tcPr>
            <w:tcW w:w="1971" w:type="dxa"/>
            <w:vAlign w:val="top"/>
          </w:tcPr>
          <w:p>
            <w:pPr>
              <w:pStyle w:val="TableText"/>
              <w:jc w:val="left"/>
            </w:pPr>
            <w:r>
              <w:t xml:space="preserve">Enrichment</w:t>
            </w:r>
          </w:p>
        </w:tc>
        <w:tc>
          <w:tcPr>
            <w:tcW w:w="3225" w:type="dxa"/>
            <w:vAlign w:val="top"/>
          </w:tcPr>
          <w:p>
            <w:pPr>
              <w:pStyle w:val="TableText"/>
              <w:jc w:val="left"/>
            </w:pPr>
            <w:r>
              <w:t xml:space="preserve">Source trust, expiry evidence, category table, data quality weights</w:t>
            </w:r>
          </w:p>
        </w:tc>
        <w:tc>
          <w:tcPr>
            <w:tcW w:w="1986" w:type="dxa"/>
            <w:vAlign w:val="top"/>
          </w:tcPr>
          <w:p>
            <w:pPr>
              <w:pStyle w:val="TableText"/>
              <w:jc w:val="left"/>
            </w:pPr>
            <w:r>
              <w:t xml:space="preserve">Data office</w:t>
            </w:r>
          </w:p>
        </w:tc>
        <w:tc>
          <w:tcPr>
            <w:tcW w:w="1845" w:type="dxa"/>
            <w:vAlign w:val="top"/>
          </w:tcPr>
          <w:p>
            <w:pPr>
              <w:pStyle w:val="TableText"/>
              <w:jc w:val="left"/>
            </w:pPr>
            <w:r>
              <w:t xml:space="preserve">Rule approver</w:t>
            </w:r>
          </w:p>
        </w:tc>
      </w:tr>
      <w:tr>
        <w:trPr>
          <w:cantSplit/>
        </w:trPr>
        <w:tc>
          <w:tcPr>
            <w:tcW w:w="1971" w:type="dxa"/>
            <w:shd w:val="clear" w:color="auto" w:fill="F4F7FB"/>
            <w:vAlign w:val="top"/>
          </w:tcPr>
          <w:p>
            <w:pPr>
              <w:pStyle w:val="TableText"/>
              <w:jc w:val="left"/>
            </w:pPr>
            <w:r>
              <w:t xml:space="preserve">Scoring</w:t>
            </w:r>
          </w:p>
        </w:tc>
        <w:tc>
          <w:tcPr>
            <w:tcW w:w="3225" w:type="dxa"/>
            <w:shd w:val="clear" w:color="auto" w:fill="F4F7FB"/>
            <w:vAlign w:val="top"/>
          </w:tcPr>
          <w:p>
            <w:pPr>
              <w:pStyle w:val="TableText"/>
              <w:jc w:val="left"/>
            </w:pPr>
            <w:r>
              <w:t xml:space="preserve">Factor weights, tiers, damping</w:t>
            </w:r>
          </w:p>
        </w:tc>
        <w:tc>
          <w:tcPr>
            <w:tcW w:w="1986" w:type="dxa"/>
            <w:shd w:val="clear" w:color="auto" w:fill="F4F7FB"/>
            <w:vAlign w:val="top"/>
          </w:tcPr>
          <w:p>
            <w:pPr>
              <w:pStyle w:val="TableText"/>
              <w:jc w:val="left"/>
            </w:pPr>
            <w:r>
              <w:t xml:space="preserve">Growth analytics</w:t>
            </w:r>
          </w:p>
        </w:tc>
        <w:tc>
          <w:tcPr>
            <w:tcW w:w="1845" w:type="dxa"/>
            <w:shd w:val="clear" w:color="auto" w:fill="F4F7FB"/>
            <w:vAlign w:val="top"/>
          </w:tcPr>
          <w:p>
            <w:pPr>
              <w:pStyle w:val="TableText"/>
              <w:jc w:val="left"/>
            </w:pPr>
            <w:r>
              <w:t xml:space="preserve">Rule approver with model-risk review</w:t>
            </w:r>
          </w:p>
        </w:tc>
      </w:tr>
      <w:tr>
        <w:trPr>
          <w:cantSplit/>
        </w:trPr>
        <w:tc>
          <w:tcPr>
            <w:tcW w:w="1971" w:type="dxa"/>
            <w:vAlign w:val="top"/>
          </w:tcPr>
          <w:p>
            <w:pPr>
              <w:pStyle w:val="TableText"/>
              <w:jc w:val="left"/>
            </w:pPr>
            <w:r>
              <w:t xml:space="preserve">Next-best action</w:t>
            </w:r>
          </w:p>
        </w:tc>
        <w:tc>
          <w:tcPr>
            <w:tcW w:w="3225" w:type="dxa"/>
            <w:vAlign w:val="top"/>
          </w:tcPr>
          <w:p>
            <w:pPr>
              <w:pStyle w:val="TableText"/>
              <w:jc w:val="left"/>
            </w:pPr>
            <w:r>
              <w:t xml:space="preserve">Decision table for the next action</w:t>
            </w:r>
          </w:p>
        </w:tc>
        <w:tc>
          <w:tcPr>
            <w:tcW w:w="1986" w:type="dxa"/>
            <w:vAlign w:val="top"/>
          </w:tcPr>
          <w:p>
            <w:pPr>
              <w:pStyle w:val="TableText"/>
              <w:jc w:val="left"/>
            </w:pPr>
            <w:r>
              <w:t xml:space="preserve">Campaign</w:t>
            </w:r>
          </w:p>
        </w:tc>
        <w:tc>
          <w:tcPr>
            <w:tcW w:w="1845" w:type="dxa"/>
            <w:vAlign w:val="top"/>
          </w:tcPr>
          <w:p>
            <w:pPr>
              <w:pStyle w:val="TableText"/>
              <w:jc w:val="left"/>
            </w:pPr>
            <w:r>
              <w:t xml:space="preserve">Rule approver</w:t>
            </w:r>
          </w:p>
        </w:tc>
      </w:tr>
      <w:tr>
        <w:trPr>
          <w:cantSplit/>
        </w:trPr>
        <w:tc>
          <w:tcPr>
            <w:tcW w:w="1971" w:type="dxa"/>
            <w:shd w:val="clear" w:color="auto" w:fill="F4F7FB"/>
            <w:vAlign w:val="top"/>
          </w:tcPr>
          <w:p>
            <w:pPr>
              <w:pStyle w:val="TableText"/>
              <w:jc w:val="left"/>
            </w:pPr>
            <w:r>
              <w:t xml:space="preserve">Journeys</w:t>
            </w:r>
          </w:p>
        </w:tc>
        <w:tc>
          <w:tcPr>
            <w:tcW w:w="3225" w:type="dxa"/>
            <w:shd w:val="clear" w:color="auto" w:fill="F4F7FB"/>
            <w:vAlign w:val="top"/>
          </w:tcPr>
          <w:p>
            <w:pPr>
              <w:pStyle w:val="TableText"/>
              <w:jc w:val="left"/>
            </w:pPr>
            <w:r>
              <w:t xml:space="preserve">Audiences, steps, channels, cross-sell</w:t>
            </w:r>
          </w:p>
        </w:tc>
        <w:tc>
          <w:tcPr>
            <w:tcW w:w="1986" w:type="dxa"/>
            <w:shd w:val="clear" w:color="auto" w:fill="F4F7FB"/>
            <w:vAlign w:val="top"/>
          </w:tcPr>
          <w:p>
            <w:pPr>
              <w:pStyle w:val="TableText"/>
              <w:jc w:val="left"/>
            </w:pPr>
            <w:r>
              <w:t xml:space="preserve">Campaign</w:t>
            </w:r>
          </w:p>
        </w:tc>
        <w:tc>
          <w:tcPr>
            <w:tcW w:w="1845" w:type="dxa"/>
            <w:shd w:val="clear" w:color="auto" w:fill="F4F7FB"/>
            <w:vAlign w:val="top"/>
          </w:tcPr>
          <w:p>
            <w:pPr>
              <w:pStyle w:val="TableText"/>
              <w:jc w:val="left"/>
            </w:pPr>
            <w:r>
              <w:t xml:space="preserve">Rule approver</w:t>
            </w:r>
          </w:p>
        </w:tc>
      </w:tr>
      <w:tr>
        <w:trPr>
          <w:cantSplit/>
        </w:trPr>
        <w:tc>
          <w:tcPr>
            <w:tcW w:w="1971" w:type="dxa"/>
            <w:vAlign w:val="top"/>
          </w:tcPr>
          <w:p>
            <w:pPr>
              <w:pStyle w:val="TableText"/>
              <w:jc w:val="left"/>
            </w:pPr>
            <w:r>
              <w:t xml:space="preserve">Triggers</w:t>
            </w:r>
          </w:p>
        </w:tc>
        <w:tc>
          <w:tcPr>
            <w:tcW w:w="3225" w:type="dxa"/>
            <w:vAlign w:val="top"/>
          </w:tcPr>
          <w:p>
            <w:pPr>
              <w:pStyle w:val="TableText"/>
              <w:jc w:val="left"/>
            </w:pPr>
            <w:r>
              <w:t xml:space="preserve">VETC events to journey actions</w:t>
            </w:r>
          </w:p>
        </w:tc>
        <w:tc>
          <w:tcPr>
            <w:tcW w:w="1986" w:type="dxa"/>
            <w:vAlign w:val="top"/>
          </w:tcPr>
          <w:p>
            <w:pPr>
              <w:pStyle w:val="TableText"/>
              <w:jc w:val="left"/>
            </w:pPr>
            <w:r>
              <w:t xml:space="preserve">Campaign</w:t>
            </w:r>
          </w:p>
        </w:tc>
        <w:tc>
          <w:tcPr>
            <w:tcW w:w="1845" w:type="dxa"/>
            <w:vAlign w:val="top"/>
          </w:tcPr>
          <w:p>
            <w:pPr>
              <w:pStyle w:val="TableText"/>
              <w:jc w:val="left"/>
            </w:pPr>
            <w:r>
              <w:t xml:space="preserve">Rule approver</w:t>
            </w:r>
          </w:p>
        </w:tc>
      </w:tr>
      <w:tr>
        <w:trPr>
          <w:cantSplit/>
        </w:trPr>
        <w:tc>
          <w:tcPr>
            <w:tcW w:w="1971" w:type="dxa"/>
            <w:shd w:val="clear" w:color="auto" w:fill="F4F7FB"/>
            <w:vAlign w:val="top"/>
          </w:tcPr>
          <w:p>
            <w:pPr>
              <w:pStyle w:val="TableText"/>
              <w:jc w:val="left"/>
            </w:pPr>
            <w:r>
              <w:t xml:space="preserve">Benefits</w:t>
            </w:r>
          </w:p>
        </w:tc>
        <w:tc>
          <w:tcPr>
            <w:tcW w:w="3225" w:type="dxa"/>
            <w:shd w:val="clear" w:color="auto" w:fill="F4F7FB"/>
            <w:vAlign w:val="top"/>
          </w:tcPr>
          <w:p>
            <w:pPr>
              <w:pStyle w:val="TableText"/>
              <w:jc w:val="left"/>
            </w:pPr>
            <w:r>
              <w:t xml:space="preserve">Service value catalogue; only legally approved items reach customers</w:t>
            </w:r>
          </w:p>
        </w:tc>
        <w:tc>
          <w:tcPr>
            <w:tcW w:w="1986" w:type="dxa"/>
            <w:shd w:val="clear" w:color="auto" w:fill="F4F7FB"/>
            <w:vAlign w:val="top"/>
          </w:tcPr>
          <w:p>
            <w:pPr>
              <w:pStyle w:val="TableText"/>
              <w:jc w:val="left"/>
            </w:pPr>
            <w:r>
              <w:t xml:space="preserve">Product and Legal</w:t>
            </w:r>
          </w:p>
        </w:tc>
        <w:tc>
          <w:tcPr>
            <w:tcW w:w="1845" w:type="dxa"/>
            <w:shd w:val="clear" w:color="auto" w:fill="F4F7FB"/>
            <w:vAlign w:val="top"/>
          </w:tcPr>
          <w:p>
            <w:pPr>
              <w:pStyle w:val="TableText"/>
              <w:jc w:val="left"/>
            </w:pPr>
            <w:r>
              <w:t xml:space="preserve">Rule approver</w:t>
            </w:r>
          </w:p>
        </w:tc>
      </w:tr>
      <w:tr>
        <w:trPr>
          <w:cantSplit/>
        </w:trPr>
        <w:tc>
          <w:tcPr>
            <w:tcW w:w="1971" w:type="dxa"/>
            <w:vAlign w:val="top"/>
          </w:tcPr>
          <w:p>
            <w:pPr>
              <w:pStyle w:val="TableText"/>
              <w:jc w:val="left"/>
            </w:pPr>
            <w:r>
              <w:t xml:space="preserve">Message content</w:t>
            </w:r>
          </w:p>
        </w:tc>
        <w:tc>
          <w:tcPr>
            <w:tcW w:w="3225" w:type="dxa"/>
            <w:vAlign w:val="top"/>
          </w:tcPr>
          <w:p>
            <w:pPr>
              <w:pStyle w:val="TableText"/>
              <w:jc w:val="left"/>
            </w:pPr>
            <w:r>
              <w:t xml:space="preserve">Message templates in Vietnamese and English</w:t>
            </w:r>
          </w:p>
        </w:tc>
        <w:tc>
          <w:tcPr>
            <w:tcW w:w="1986" w:type="dxa"/>
            <w:vAlign w:val="top"/>
          </w:tcPr>
          <w:p>
            <w:pPr>
              <w:pStyle w:val="TableText"/>
              <w:jc w:val="left"/>
            </w:pPr>
            <w:r>
              <w:t xml:space="preserve">Marketing and Compliance</w:t>
            </w:r>
          </w:p>
        </w:tc>
        <w:tc>
          <w:tcPr>
            <w:tcW w:w="1845" w:type="dxa"/>
            <w:vAlign w:val="top"/>
          </w:tcPr>
          <w:p>
            <w:pPr>
              <w:pStyle w:val="TableText"/>
              <w:jc w:val="left"/>
            </w:pPr>
            <w:r>
              <w:t xml:space="preserve">Rule approver</w:t>
            </w:r>
          </w:p>
        </w:tc>
      </w:tr>
      <w:tr>
        <w:trPr>
          <w:cantSplit/>
        </w:trPr>
        <w:tc>
          <w:tcPr>
            <w:tcW w:w="1971" w:type="dxa"/>
            <w:shd w:val="clear" w:color="auto" w:fill="F4F7FB"/>
            <w:vAlign w:val="top"/>
          </w:tcPr>
          <w:p>
            <w:pPr>
              <w:pStyle w:val="TableText"/>
              <w:jc w:val="left"/>
            </w:pPr>
            <w:r>
              <w:t xml:space="preserve">Voice script</w:t>
            </w:r>
          </w:p>
        </w:tc>
        <w:tc>
          <w:tcPr>
            <w:tcW w:w="3225" w:type="dxa"/>
            <w:shd w:val="clear" w:color="auto" w:fill="F4F7FB"/>
            <w:vAlign w:val="top"/>
          </w:tcPr>
          <w:p>
            <w:pPr>
              <w:pStyle w:val="TableText"/>
              <w:jc w:val="left"/>
            </w:pPr>
            <w:r>
              <w:t xml:space="preserve">Bot lines and intent keywords</w:t>
            </w:r>
          </w:p>
        </w:tc>
        <w:tc>
          <w:tcPr>
            <w:tcW w:w="1986" w:type="dxa"/>
            <w:shd w:val="clear" w:color="auto" w:fill="F4F7FB"/>
            <w:vAlign w:val="top"/>
          </w:tcPr>
          <w:p>
            <w:pPr>
              <w:pStyle w:val="TableText"/>
              <w:jc w:val="left"/>
            </w:pPr>
            <w:r>
              <w:t xml:space="preserve">Customer experience and Compliance</w:t>
            </w:r>
          </w:p>
        </w:tc>
        <w:tc>
          <w:tcPr>
            <w:tcW w:w="1845" w:type="dxa"/>
            <w:shd w:val="clear" w:color="auto" w:fill="F4F7FB"/>
            <w:vAlign w:val="top"/>
          </w:tcPr>
          <w:p>
            <w:pPr>
              <w:pStyle w:val="TableText"/>
              <w:jc w:val="left"/>
            </w:pPr>
            <w:r>
              <w:t xml:space="preserve">Rule approver</w:t>
            </w:r>
          </w:p>
        </w:tc>
      </w:tr>
      <w:tr>
        <w:trPr>
          <w:cantSplit/>
        </w:trPr>
        <w:tc>
          <w:tcPr>
            <w:tcW w:w="1971" w:type="dxa"/>
            <w:vAlign w:val="top"/>
          </w:tcPr>
          <w:p>
            <w:pPr>
              <w:pStyle w:val="TableText"/>
              <w:jc w:val="left"/>
            </w:pPr>
            <w:r>
              <w:t xml:space="preserve">Copy guard</w:t>
            </w:r>
          </w:p>
        </w:tc>
        <w:tc>
          <w:tcPr>
            <w:tcW w:w="3225" w:type="dxa"/>
            <w:vAlign w:val="top"/>
          </w:tcPr>
          <w:p>
            <w:pPr>
              <w:pStyle w:val="TableText"/>
              <w:jc w:val="left"/>
            </w:pPr>
            <w:r>
              <w:t xml:space="preserve">Banned phrases such as discounts or rebates on regulated products</w:t>
            </w:r>
          </w:p>
        </w:tc>
        <w:tc>
          <w:tcPr>
            <w:tcW w:w="1986" w:type="dxa"/>
            <w:vAlign w:val="top"/>
          </w:tcPr>
          <w:p>
            <w:pPr>
              <w:pStyle w:val="TableText"/>
              <w:jc w:val="left"/>
            </w:pPr>
            <w:r>
              <w:t xml:space="preserve">Compliance</w:t>
            </w:r>
          </w:p>
        </w:tc>
        <w:tc>
          <w:tcPr>
            <w:tcW w:w="1845" w:type="dxa"/>
            <w:vAlign w:val="top"/>
          </w:tcPr>
          <w:p>
            <w:pPr>
              <w:pStyle w:val="TableText"/>
              <w:jc w:val="left"/>
            </w:pPr>
            <w:r>
              <w:t xml:space="preserve">Compliance officer only</w:t>
            </w:r>
          </w:p>
        </w:tc>
      </w:tr>
      <w:tr>
        <w:trPr>
          <w:cantSplit/>
        </w:trPr>
        <w:tc>
          <w:tcPr>
            <w:tcW w:w="1971" w:type="dxa"/>
            <w:shd w:val="clear" w:color="auto" w:fill="F4F7FB"/>
            <w:vAlign w:val="top"/>
          </w:tcPr>
          <w:p>
            <w:pPr>
              <w:pStyle w:val="TableText"/>
              <w:jc w:val="left"/>
            </w:pPr>
            <w:r>
              <w:t xml:space="preserve">Contact policy</w:t>
            </w:r>
          </w:p>
        </w:tc>
        <w:tc>
          <w:tcPr>
            <w:tcW w:w="3225" w:type="dxa"/>
            <w:shd w:val="clear" w:color="auto" w:fill="F4F7FB"/>
            <w:vAlign w:val="top"/>
          </w:tcPr>
          <w:p>
            <w:pPr>
              <w:pStyle w:val="TableText"/>
              <w:jc w:val="left"/>
            </w:pPr>
            <w:r>
              <w:t xml:space="preserve">Contact window, frequency caps, consent per channel</w:t>
            </w:r>
          </w:p>
        </w:tc>
        <w:tc>
          <w:tcPr>
            <w:tcW w:w="1986" w:type="dxa"/>
            <w:shd w:val="clear" w:color="auto" w:fill="F4F7FB"/>
            <w:vAlign w:val="top"/>
          </w:tcPr>
          <w:p>
            <w:pPr>
              <w:pStyle w:val="TableText"/>
              <w:jc w:val="left"/>
            </w:pPr>
            <w:r>
              <w:t xml:space="preserve">Compliance and DPO</w:t>
            </w:r>
          </w:p>
        </w:tc>
        <w:tc>
          <w:tcPr>
            <w:tcW w:w="1845" w:type="dxa"/>
            <w:shd w:val="clear" w:color="auto" w:fill="F4F7FB"/>
            <w:vAlign w:val="top"/>
          </w:tcPr>
          <w:p>
            <w:pPr>
              <w:pStyle w:val="TableText"/>
              <w:jc w:val="left"/>
            </w:pPr>
            <w:r>
              <w:t xml:space="preserve">Compliance officer only</w:t>
            </w:r>
          </w:p>
        </w:tc>
      </w:tr>
      <w:tr>
        <w:trPr>
          <w:cantSplit/>
        </w:trPr>
        <w:tc>
          <w:tcPr>
            <w:tcW w:w="1971" w:type="dxa"/>
            <w:vAlign w:val="top"/>
          </w:tcPr>
          <w:p>
            <w:pPr>
              <w:pStyle w:val="TableText"/>
              <w:jc w:val="left"/>
            </w:pPr>
            <w:r>
              <w:t xml:space="preserve">Access attributes</w:t>
            </w:r>
          </w:p>
        </w:tc>
        <w:tc>
          <w:tcPr>
            <w:tcW w:w="3225" w:type="dxa"/>
            <w:vAlign w:val="top"/>
          </w:tcPr>
          <w:p>
            <w:pPr>
              <w:pStyle w:val="TableText"/>
              <w:jc w:val="left"/>
            </w:pPr>
            <w:r>
              <w:t xml:space="preserve">Region and ownership policies</w:t>
            </w:r>
          </w:p>
        </w:tc>
        <w:tc>
          <w:tcPr>
            <w:tcW w:w="1986" w:type="dxa"/>
            <w:vAlign w:val="top"/>
          </w:tcPr>
          <w:p>
            <w:pPr>
              <w:pStyle w:val="TableText"/>
              <w:jc w:val="left"/>
            </w:pPr>
            <w:r>
              <w:t xml:space="preserve">Information security</w:t>
            </w:r>
          </w:p>
        </w:tc>
        <w:tc>
          <w:tcPr>
            <w:tcW w:w="1845" w:type="dxa"/>
            <w:vAlign w:val="top"/>
          </w:tcPr>
          <w:p>
            <w:pPr>
              <w:pStyle w:val="TableText"/>
              <w:jc w:val="left"/>
            </w:pPr>
            <w:r>
              <w:t xml:space="preserve">Compliance officer only</w:t>
            </w:r>
          </w:p>
        </w:tc>
      </w:tr>
      <w:tr>
        <w:trPr>
          <w:cantSplit/>
        </w:trPr>
        <w:tc>
          <w:tcPr>
            <w:tcW w:w="1971" w:type="dxa"/>
            <w:shd w:val="clear" w:color="auto" w:fill="F4F7FB"/>
            <w:vAlign w:val="top"/>
          </w:tcPr>
          <w:p>
            <w:pPr>
              <w:pStyle w:val="TableText"/>
              <w:jc w:val="left"/>
            </w:pPr>
            <w:r>
              <w:t xml:space="preserve">Retention</w:t>
            </w:r>
          </w:p>
        </w:tc>
        <w:tc>
          <w:tcPr>
            <w:tcW w:w="3225" w:type="dxa"/>
            <w:shd w:val="clear" w:color="auto" w:fill="F4F7FB"/>
            <w:vAlign w:val="top"/>
          </w:tcPr>
          <w:p>
            <w:pPr>
              <w:pStyle w:val="TableText"/>
              <w:jc w:val="left"/>
            </w:pPr>
            <w:r>
              <w:t xml:space="preserve">Retention period and action per entity</w:t>
            </w:r>
          </w:p>
        </w:tc>
        <w:tc>
          <w:tcPr>
            <w:tcW w:w="1986" w:type="dxa"/>
            <w:shd w:val="clear" w:color="auto" w:fill="F4F7FB"/>
            <w:vAlign w:val="top"/>
          </w:tcPr>
          <w:p>
            <w:pPr>
              <w:pStyle w:val="TableText"/>
              <w:jc w:val="left"/>
            </w:pPr>
            <w:r>
              <w:t xml:space="preserve">DPO and Legal</w:t>
            </w:r>
          </w:p>
        </w:tc>
        <w:tc>
          <w:tcPr>
            <w:tcW w:w="1845" w:type="dxa"/>
            <w:shd w:val="clear" w:color="auto" w:fill="F4F7FB"/>
            <w:vAlign w:val="top"/>
          </w:tcPr>
          <w:p>
            <w:pPr>
              <w:pStyle w:val="TableText"/>
              <w:jc w:val="left"/>
            </w:pPr>
            <w:r>
              <w:t xml:space="preserve">Compliance officer only</w:t>
            </w:r>
          </w:p>
        </w:tc>
      </w:tr>
      <w:tr>
        <w:trPr>
          <w:cantSplit/>
        </w:trPr>
        <w:tc>
          <w:tcPr>
            <w:tcW w:w="1971" w:type="dxa"/>
            <w:vAlign w:val="top"/>
          </w:tcPr>
          <w:p>
            <w:pPr>
              <w:pStyle w:val="TableText"/>
              <w:jc w:val="left"/>
            </w:pPr>
            <w:r>
              <w:t xml:space="preserve">Service levels</w:t>
            </w:r>
          </w:p>
        </w:tc>
        <w:tc>
          <w:tcPr>
            <w:tcW w:w="3225" w:type="dxa"/>
            <w:vAlign w:val="top"/>
          </w:tcPr>
          <w:p>
            <w:pPr>
              <w:pStyle w:val="TableText"/>
              <w:jc w:val="left"/>
            </w:pPr>
            <w:r>
              <w:t xml:space="preserve">Quote validity (24 h), claim acknowledgement (4 h), evidence confidences</w:t>
            </w:r>
          </w:p>
        </w:tc>
        <w:tc>
          <w:tcPr>
            <w:tcW w:w="1986" w:type="dxa"/>
            <w:vAlign w:val="top"/>
          </w:tcPr>
          <w:p>
            <w:pPr>
              <w:pStyle w:val="TableText"/>
              <w:jc w:val="left"/>
            </w:pPr>
            <w:r>
              <w:t xml:space="preserve">Operations and Data office</w:t>
            </w:r>
          </w:p>
        </w:tc>
        <w:tc>
          <w:tcPr>
            <w:tcW w:w="1845" w:type="dxa"/>
            <w:vAlign w:val="top"/>
          </w:tcPr>
          <w:p>
            <w:pPr>
              <w:pStyle w:val="TableText"/>
              <w:jc w:val="left"/>
            </w:pPr>
            <w:r>
              <w:t xml:space="preserve">Rule approver</w:t>
            </w:r>
          </w:p>
        </w:tc>
      </w:tr>
      <w:tr>
        <w:trPr>
          <w:cantSplit/>
        </w:trPr>
        <w:tc>
          <w:tcPr>
            <w:tcW w:w="1971" w:type="dxa"/>
            <w:shd w:val="clear" w:color="auto" w:fill="F4F7FB"/>
            <w:vAlign w:val="top"/>
          </w:tcPr>
          <w:p>
            <w:pPr>
              <w:pStyle w:val="TableText"/>
              <w:jc w:val="left"/>
            </w:pPr>
            <w:r>
              <w:t xml:space="preserve">Referral</w:t>
            </w:r>
          </w:p>
        </w:tc>
        <w:tc>
          <w:tcPr>
            <w:tcW w:w="3225" w:type="dxa"/>
            <w:shd w:val="clear" w:color="auto" w:fill="F4F7FB"/>
            <w:vAlign w:val="top"/>
          </w:tcPr>
          <w:p>
            <w:pPr>
              <w:pStyle w:val="TableText"/>
              <w:jc w:val="left"/>
            </w:pPr>
            <w:r>
              <w:t xml:space="preserve">Referral programme, disabled pending legal review</w:t>
            </w:r>
          </w:p>
        </w:tc>
        <w:tc>
          <w:tcPr>
            <w:tcW w:w="1986" w:type="dxa"/>
            <w:shd w:val="clear" w:color="auto" w:fill="F4F7FB"/>
            <w:vAlign w:val="top"/>
          </w:tcPr>
          <w:p>
            <w:pPr>
              <w:pStyle w:val="TableText"/>
              <w:jc w:val="left"/>
            </w:pPr>
            <w:r>
              <w:t xml:space="preserve">Product and Legal</w:t>
            </w:r>
          </w:p>
        </w:tc>
        <w:tc>
          <w:tcPr>
            <w:tcW w:w="1845" w:type="dxa"/>
            <w:shd w:val="clear" w:color="auto" w:fill="F4F7FB"/>
            <w:vAlign w:val="top"/>
          </w:tcPr>
          <w:p>
            <w:pPr>
              <w:pStyle w:val="TableText"/>
              <w:jc w:val="left"/>
            </w:pPr>
            <w:r>
              <w:t xml:space="preserve">Rule approver</w:t>
            </w:r>
          </w:p>
        </w:tc>
      </w:tr>
      <w:tr>
        <w:trPr>
          <w:cantSplit/>
        </w:trPr>
        <w:tc>
          <w:tcPr>
            <w:tcW w:w="1971" w:type="dxa"/>
            <w:vAlign w:val="top"/>
          </w:tcPr>
          <w:p>
            <w:pPr>
              <w:pStyle w:val="TableText"/>
              <w:jc w:val="left"/>
            </w:pPr>
            <w:r>
              <w:t xml:space="preserve">Costs</w:t>
            </w:r>
          </w:p>
        </w:tc>
        <w:tc>
          <w:tcPr>
            <w:tcW w:w="3225" w:type="dxa"/>
            <w:vAlign w:val="top"/>
          </w:tcPr>
          <w:p>
            <w:pPr>
              <w:pStyle w:val="TableText"/>
              <w:jc w:val="left"/>
            </w:pPr>
            <w:r>
              <w:t xml:space="preserve">Unit costs for the business case dashboard</w:t>
            </w:r>
          </w:p>
        </w:tc>
        <w:tc>
          <w:tcPr>
            <w:tcW w:w="1986" w:type="dxa"/>
            <w:vAlign w:val="top"/>
          </w:tcPr>
          <w:p>
            <w:pPr>
              <w:pStyle w:val="TableText"/>
              <w:jc w:val="left"/>
            </w:pPr>
            <w:r>
              <w:t xml:space="preserve">Finance</w:t>
            </w:r>
          </w:p>
        </w:tc>
        <w:tc>
          <w:tcPr>
            <w:tcW w:w="1845" w:type="dxa"/>
            <w:vAlign w:val="top"/>
          </w:tcPr>
          <w:p>
            <w:pPr>
              <w:pStyle w:val="TableText"/>
              <w:jc w:val="left"/>
            </w:pPr>
            <w:r>
              <w:t xml:space="preserve">Rule approver</w:t>
            </w:r>
          </w:p>
        </w:tc>
      </w:tr>
    </w:tbl>
    <w:p>
      <w:pPr>
        <w:pStyle w:val="BodyText"/>
        <w:spacing w:before="160"/>
      </w:pPr>
      <w:r>
        <w:t xml:space="preserve">Validators reject a rule set before it can be saved if, for example, scoring weights do not add up to 100, a commission rate exceeds its statutory cap or a customer-facing string contains a banned phrase. The database allows only one active version per kind, and approval swaps versions in a single transaction. Each API pod caches active rules for 15 seconds.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6" w:name="_Toc300000022"/>
      <w:r>
        <w:rPr>
          <w:rStyle w:val="BookTitle"/>
          <w:bCs w:val="0"/>
          <w:i w:val="0"/>
          <w:iCs w:val="0"/>
          <w:spacing w:val="0"/>
        </w:rPr>
        <w:t xml:space="preserve">Key flows</w:t>
      </w:r>
      <w:bookmarkEnd w:id="26"/>
    </w:p>
    <w:p>
      <w:pPr>
        <w:pStyle w:val="FirstParagraph"/>
      </w:pPr>
      <w:r>
        <w:t xml:space="preserve">This section shows the flows that cross several services. The system-level sequences with external systems (rating and issuance through TASCO core, wallet payment with refund, catalogue sync, partner quote and bind, and voice handoff) are in TGP-ARC-02 Integration Architecture.</w:t>
      </w:r>
    </w:p>
    <w:p>
      <w:pPr>
        <w:pStyle w:val="Heading2"/>
      </w:pPr>
      <w:bookmarkStart w:id="27" w:name="_Toc300000023"/>
      <w:r>
        <w:t xml:space="preserve">From data to next-best action</w:t>
      </w:r>
      <w:bookmarkEnd w:id="27"/>
    </w:p>
    <w:p>
      <w:pPr>
        <w:pStyle w:val="FirstParagraph"/>
      </w:pPr>
      <w:r>
        <w:t xml:space="preserve">A VETC batch, a partner record or a steward correction lands as source records, rebuilds the affected profiles and re-scores their leads. The two sequences show one ingestion batch: first the profile rebuild, then the re-scoring that the rebuild triggers.</w:t>
      </w:r>
    </w:p>
    <w:p xmlns:a="http://schemas.openxmlformats.org/drawingml/2006/main" xmlns:pic="http://schemas.openxmlformats.org/drawingml/2006/picture">
      <w:pPr>
        <w:pStyle w:val="Figure"/>
      </w:pPr>
      <w:r>
        <w:drawing>
          <wp:inline>
            <wp:extent cx="5727700" cy="4398179"/>
            <wp:effectExtent b="0" l="0" r="0" t="0"/>
            <wp:docPr descr="Ingestion, part 1: source records land and profiles are rebuilt" title="" id="5006" name="Picture"/>
            <a:graphic>
              <a:graphicData uri="http://schemas.openxmlformats.org/drawingml/2006/picture">
                <pic:pic>
                  <pic:nvPicPr>
                    <pic:cNvPr descr="/tmp/claude-0/-home-user-TASCO/19e5534d-12b5-5956-9b60-3e77efde0f49/scratchpad/gen/.cache/mermaid/9ab59ee9ecc25b5b.png" id="53" name="Picture"/>
                    <pic:cNvPicPr>
                      <a:picLocks noChangeArrowheads="1" noChangeAspect="1"/>
                    </pic:cNvPicPr>
                  </pic:nvPicPr>
                  <pic:blipFill>
                    <a:blip r:embed="rIdG5"/>
                    <a:stretch>
                      <a:fillRect/>
                    </a:stretch>
                  </pic:blipFill>
                  <pic:spPr bwMode="auto">
                    <a:xfrm>
                      <a:off x="0" y="0"/>
                      <a:ext cx="5727700" cy="4398179"/>
                    </a:xfrm>
                    <a:prstGeom prst="rect">
                      <a:avLst/>
                    </a:prstGeom>
                    <a:noFill/>
                    <a:ln w="9525">
                      <a:noFill/>
                      <a:headEnd/>
                      <a:tailEnd/>
                    </a:ln>
                  </pic:spPr>
                </pic:pic>
              </a:graphicData>
            </a:graphic>
          </wp:inline>
        </w:drawing>
      </w:r>
    </w:p>
    <w:p>
      <w:pPr>
        <w:pStyle w:val="Caption"/>
      </w:pPr>
      <w:r>
        <w:t xml:space="preserve">Figure 5 – Ingestion, part 1: source records land and profiles are rebuilt</w:t>
      </w:r>
    </w:p>
    <w:p xmlns:a="http://schemas.openxmlformats.org/drawingml/2006/main" xmlns:pic="http://schemas.openxmlformats.org/drawingml/2006/picture">
      <w:pPr>
        <w:pStyle w:val="Figure"/>
      </w:pPr>
      <w:r>
        <w:drawing>
          <wp:inline>
            <wp:extent cx="5727700" cy="3228340"/>
            <wp:effectExtent b="0" l="0" r="0" t="0"/>
            <wp:docPr descr="Ingestion, part 2: the rebuild event re-scores the affected leads" title="" id="5007" name="Picture"/>
            <a:graphic>
              <a:graphicData uri="http://schemas.openxmlformats.org/drawingml/2006/picture">
                <pic:pic>
                  <pic:nvPicPr>
                    <pic:cNvPr descr="/tmp/claude-0/-home-user-TASCO/19e5534d-12b5-5956-9b60-3e77efde0f49/scratchpad/gen/.cache/mermaid/7d22aa6e4947ea7f.png" id="56" name="Picture"/>
                    <pic:cNvPicPr>
                      <a:picLocks noChangeArrowheads="1" noChangeAspect="1"/>
                    </pic:cNvPicPr>
                  </pic:nvPicPr>
                  <pic:blipFill>
                    <a:blip r:embed="rIdG6"/>
                    <a:stretch>
                      <a:fillRect/>
                    </a:stretch>
                  </pic:blipFill>
                  <pic:spPr bwMode="auto">
                    <a:xfrm>
                      <a:off x="0" y="0"/>
                      <a:ext cx="5727700" cy="3228340"/>
                    </a:xfrm>
                    <a:prstGeom prst="rect">
                      <a:avLst/>
                    </a:prstGeom>
                    <a:noFill/>
                    <a:ln w="9525">
                      <a:noFill/>
                      <a:headEnd/>
                      <a:tailEnd/>
                    </a:ln>
                  </pic:spPr>
                </pic:pic>
              </a:graphicData>
            </a:graphic>
          </wp:inline>
        </w:drawing>
      </w:r>
    </w:p>
    <w:p>
      <w:pPr>
        <w:pStyle w:val="Caption"/>
      </w:pPr>
      <w:r>
        <w:t xml:space="preserve">Figure 6 – Ingestion, part 2: the rebuild event re-scores the affected leads</w:t>
      </w:r>
    </w:p>
    <w:p>
      <w:pPr>
        <w:pStyle w:val="BodyText"/>
      </w:pPr>
      <w:r>
        <w:t xml:space="preserve">The rebuild is incremental by plate, in chunks of 500. Facts captured on the platform (a customer’s declared expiry, a steward’s correction, a TASCO-issued policy) survive a rebuild when they carry higher confidence. A vehicle with an active TASCO policy gets the action</w:t>
      </w:r>
      <w:r>
        <w:t xml:space="preserve"> </w:t>
      </w:r>
      <w:r>
        <w:t xml:space="preserve">“</w:t>
      </w:r>
      <w:r>
        <w:t xml:space="preserve">insured</w:t>
      </w:r>
      <w:r>
        <w:t xml:space="preserve">”</w:t>
      </w:r>
      <w:r>
        <w:t xml:space="preserve"> </w:t>
      </w:r>
      <w:r>
        <w:t xml:space="preserve">and its renewal journey is cleared.</w:t>
      </w:r>
    </w:p>
    <w:p>
      <w:pPr>
        <w:pStyle w:val="Heading2"/>
      </w:pPr>
      <w:bookmarkStart w:id="28" w:name="_Toc300000024"/>
      <w:r>
        <w:t xml:space="preserve">Renewal journey, end to end</w:t>
      </w:r>
      <w:bookmarkEnd w:id="28"/>
    </w:p>
    <w:p>
      <w:pPr>
        <w:pStyle w:val="FirstParagraph"/>
      </w:pPr>
      <w:r>
        <w:t xml:space="preserve">The sequences show a renewal from the first reminder to an issued policy, with the three paths a customer can take: buy in the app, ask for a person, or not respond. The first shows the reminder and the response; the second shows the quote, payment and issuance that both buying paths end in.</w:t>
      </w:r>
    </w:p>
    <w:p xmlns:a="http://schemas.openxmlformats.org/drawingml/2006/main" xmlns:pic="http://schemas.openxmlformats.org/drawingml/2006/picture">
      <w:pPr>
        <w:pStyle w:val="Figure"/>
      </w:pPr>
      <w:r>
        <w:drawing>
          <wp:inline>
            <wp:extent cx="5461199" cy="6479999"/>
            <wp:effectExtent b="0" l="0" r="0" t="0"/>
            <wp:docPr descr="Renewal, part 1: the reminder and the customer’s three possible responses" title="" id="5008" name="Picture"/>
            <a:graphic>
              <a:graphicData uri="http://schemas.openxmlformats.org/drawingml/2006/picture">
                <pic:pic>
                  <pic:nvPicPr>
                    <pic:cNvPr descr="/tmp/claude-0/-home-user-TASCO/19e5534d-12b5-5956-9b60-3e77efde0f49/scratchpad/gen/.cache/mermaid/d051ffa82f75eb88.png" id="60" name="Picture"/>
                    <pic:cNvPicPr>
                      <a:picLocks noChangeArrowheads="1" noChangeAspect="1"/>
                    </pic:cNvPicPr>
                  </pic:nvPicPr>
                  <pic:blipFill>
                    <a:blip r:embed="rIdG7"/>
                    <a:stretch>
                      <a:fillRect/>
                    </a:stretch>
                  </pic:blipFill>
                  <pic:spPr bwMode="auto">
                    <a:xfrm>
                      <a:off x="0" y="0"/>
                      <a:ext cx="5461199" cy="6479999"/>
                    </a:xfrm>
                    <a:prstGeom prst="rect">
                      <a:avLst/>
                    </a:prstGeom>
                    <a:noFill/>
                    <a:ln w="9525">
                      <a:noFill/>
                      <a:headEnd/>
                      <a:tailEnd/>
                    </a:ln>
                  </pic:spPr>
                </pic:pic>
              </a:graphicData>
            </a:graphic>
          </wp:inline>
        </w:drawing>
      </w:r>
    </w:p>
    <w:p>
      <w:pPr>
        <w:pStyle w:val="Caption"/>
      </w:pPr>
      <w:r>
        <w:t xml:space="preserve">Figure 7 – Renewal, part 1: the reminder and the customer’s three possible responses</w:t>
      </w:r>
    </w:p>
    <w:p xmlns:a="http://schemas.openxmlformats.org/drawingml/2006/main" xmlns:pic="http://schemas.openxmlformats.org/drawingml/2006/picture">
      <w:pPr>
        <w:pStyle w:val="Figure"/>
      </w:pPr>
      <w:r>
        <w:drawing>
          <wp:inline>
            <wp:extent cx="5104799" cy="4733999"/>
            <wp:effectExtent b="0" l="0" r="0" t="0"/>
            <wp:docPr descr="Renewal, part 2: quote, payment and issuance in the VETC app" title="" id="5009" name="Picture"/>
            <a:graphic>
              <a:graphicData uri="http://schemas.openxmlformats.org/drawingml/2006/picture">
                <pic:pic>
                  <pic:nvPicPr>
                    <pic:cNvPr descr="/tmp/claude-0/-home-user-TASCO/19e5534d-12b5-5956-9b60-3e77efde0f49/scratchpad/gen/.cache/mermaid/64bc910ab36708c6.png" id="63" name="Picture"/>
                    <pic:cNvPicPr>
                      <a:picLocks noChangeArrowheads="1" noChangeAspect="1"/>
                    </pic:cNvPicPr>
                  </pic:nvPicPr>
                  <pic:blipFill>
                    <a:blip r:embed="rIdG8"/>
                    <a:stretch>
                      <a:fillRect/>
                    </a:stretch>
                  </pic:blipFill>
                  <pic:spPr bwMode="auto">
                    <a:xfrm>
                      <a:off x="0" y="0"/>
                      <a:ext cx="5104799" cy="4733999"/>
                    </a:xfrm>
                    <a:prstGeom prst="rect">
                      <a:avLst/>
                    </a:prstGeom>
                    <a:noFill/>
                    <a:ln w="9525">
                      <a:noFill/>
                      <a:headEnd/>
                      <a:tailEnd/>
                    </a:ln>
                  </pic:spPr>
                </pic:pic>
              </a:graphicData>
            </a:graphic>
          </wp:inline>
        </w:drawing>
      </w:r>
    </w:p>
    <w:p>
      <w:pPr>
        <w:pStyle w:val="Caption"/>
      </w:pPr>
      <w:r>
        <w:t xml:space="preserve">Figure 8 – Renewal, part 2: quote, payment and issuance in the VETC app</w:t>
      </w:r>
    </w:p>
    <w:p>
      <w:pPr>
        <w:pStyle w:val="BodyText"/>
      </w:pPr>
      <w:r>
        <w:t xml:space="preserve">Each journey step is checked against consent, the do-not-contact flag, the 08:00 to 20:00 contact window and the daily and weekly caps. A step blocked only by the window stays scheduled for the next run. The voice assistant can stand in for the telesales call when the customer has call consent; its handoff path is in TGP-ARC-02 Integration Architecture.</w:t>
      </w:r>
    </w:p>
    <w:p>
      <w:pPr>
        <w:pStyle w:val="Heading2"/>
      </w:pPr>
      <w:bookmarkStart w:id="29" w:name="_Toc300000025"/>
      <w:r>
        <w:t xml:space="preserve">Rule change with maker-checker</w:t>
      </w:r>
      <w:bookmarkEnd w:id="29"/>
    </w:p>
    <w:p>
      <w:pPr>
        <w:pStyle w:val="FirstParagraph"/>
      </w:pPr>
      <w:r>
        <w:t xml:space="preserve">Every rule change is validated, submitted by its author and approved by a different person before it takes effect.</w:t>
      </w:r>
    </w:p>
    <w:p xmlns:a="http://schemas.openxmlformats.org/drawingml/2006/main" xmlns:pic="http://schemas.openxmlformats.org/drawingml/2006/picture">
      <w:pPr>
        <w:pStyle w:val="Figure"/>
      </w:pPr>
      <w:r>
        <w:drawing>
          <wp:inline>
            <wp:extent cx="5471999" cy="6479999"/>
            <wp:effectExtent b="0" l="0" r="0" t="0"/>
            <wp:docPr descr="Rule change with maker-checker, from simulation to activation" title="" id="5010" name="Picture"/>
            <a:graphic>
              <a:graphicData uri="http://schemas.openxmlformats.org/drawingml/2006/picture">
                <pic:pic>
                  <pic:nvPicPr>
                    <pic:cNvPr descr="/tmp/claude-0/-home-user-TASCO/19e5534d-12b5-5956-9b60-3e77efde0f49/scratchpad/gen/.cache/mermaid/5b48d6308406bfe5.png" id="67" name="Picture"/>
                    <pic:cNvPicPr>
                      <a:picLocks noChangeArrowheads="1" noChangeAspect="1"/>
                    </pic:cNvPicPr>
                  </pic:nvPicPr>
                  <pic:blipFill>
                    <a:blip r:embed="rIdG9"/>
                    <a:stretch>
                      <a:fillRect/>
                    </a:stretch>
                  </pic:blipFill>
                  <pic:spPr bwMode="auto">
                    <a:xfrm>
                      <a:off x="0" y="0"/>
                      <a:ext cx="5471999" cy="6479999"/>
                    </a:xfrm>
                    <a:prstGeom prst="rect">
                      <a:avLst/>
                    </a:prstGeom>
                    <a:noFill/>
                    <a:ln w="9525">
                      <a:noFill/>
                      <a:headEnd/>
                      <a:tailEnd/>
                    </a:ln>
                  </pic:spPr>
                </pic:pic>
              </a:graphicData>
            </a:graphic>
          </wp:inline>
        </w:drawing>
      </w:r>
    </w:p>
    <w:p>
      <w:pPr>
        <w:pStyle w:val="Caption"/>
      </w:pPr>
      <w:r>
        <w:t xml:space="preserve">Figure 9 – Rule change with maker-checker, from simulation to activation</w:t>
      </w:r>
    </w:p>
    <w:p>
      <w:pPr>
        <w:pStyle w:val="BodyText"/>
      </w:pPr>
      <w:r>
        <w:t xml:space="preserve">Restricted kinds (commission, copy guard, contact policy, access attributes and retention) can be approved only by a compliance officer. Rollback creates a new draft from an earlier version, which goes through approval again.</w:t>
      </w:r>
    </w:p>
    <w:p>
      <w:pPr>
        <w:pStyle w:val="Heading2"/>
      </w:pPr>
      <w:bookmarkStart w:id="30" w:name="_Toc300000026"/>
      <w:r>
        <w:t xml:space="preserve">VETC ecosystem events</w:t>
      </w:r>
      <w:bookmarkEnd w:id="30"/>
    </w:p>
    <w:p>
      <w:pPr>
        <w:pStyle w:val="FirstParagraph"/>
      </w:pPr>
      <w:r>
        <w:t xml:space="preserve">VETC events such as a tag activation, an inspection booking, a wallet top-up or a long trip are matched against the trigger rules. A tag activation enrols the vehicle in the new-vehicle journey; the other triggers send a service or marketing message when the vehicle is near expiry, always through the contact policy and copy guard. Today the events arrive through a staff-authenticated API; the production transport is described in TGP-ARC-02 Integration Architecture.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Quality attributes</w:t>
      </w:r>
      <w:bookmarkEnd w:id="31"/>
    </w:p>
    <w:p>
      <w:pPr>
        <w:pStyle w:val="Heading2"/>
      </w:pPr>
      <w:bookmarkStart w:id="32" w:name="_Toc300000028"/>
      <w:r>
        <w:t xml:space="preserve">Targets</w:t>
      </w:r>
      <w:bookmarkEnd w:id="3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33"/>
        <w:gridCol w:w="2971"/>
        <w:gridCol w:w="3923"/>
      </w:tblGrid>
      <w:tr>
        <w:trPr>
          <w:cantSplit/>
          <w:tblHeader/>
        </w:trPr>
        <w:tc>
          <w:tcPr>
            <w:tcW w:w="2133" w:type="dxa"/>
            <w:shd w:val="clear" w:color="auto" w:fill="0F4761"/>
            <w:vAlign w:val="center"/>
          </w:tcPr>
          <w:p>
            <w:pPr>
              <w:pStyle w:val="TableHeading"/>
              <w:jc w:val="left"/>
            </w:pPr>
            <w:r>
              <w:rPr>
                <w:color w:val="FFFFFF"/>
              </w:rPr>
              <w:t xml:space="preserve">Attribute</w:t>
            </w:r>
          </w:p>
        </w:tc>
        <w:tc>
          <w:tcPr>
            <w:tcW w:w="2971" w:type="dxa"/>
            <w:shd w:val="clear" w:color="auto" w:fill="0F4761"/>
            <w:vAlign w:val="center"/>
          </w:tcPr>
          <w:p>
            <w:pPr>
              <w:pStyle w:val="TableHeading"/>
              <w:jc w:val="left"/>
            </w:pPr>
            <w:r>
              <w:rPr>
                <w:color w:val="FFFFFF"/>
              </w:rPr>
              <w:t xml:space="preserve">Target</w:t>
            </w:r>
          </w:p>
        </w:tc>
        <w:tc>
          <w:tcPr>
            <w:tcW w:w="3923" w:type="dxa"/>
            <w:shd w:val="clear" w:color="auto" w:fill="0F4761"/>
            <w:vAlign w:val="center"/>
          </w:tcPr>
          <w:p>
            <w:pPr>
              <w:pStyle w:val="TableHeading"/>
              <w:jc w:val="left"/>
            </w:pPr>
            <w:r>
              <w:rPr>
                <w:color w:val="FFFFFF"/>
              </w:rPr>
              <w:t xml:space="preserve">How the design meets it</w:t>
            </w:r>
          </w:p>
        </w:tc>
      </w:tr>
      <w:tr>
        <w:trPr>
          <w:cantSplit/>
        </w:trPr>
        <w:tc>
          <w:tcPr>
            <w:tcW w:w="2133" w:type="dxa"/>
            <w:vAlign w:val="top"/>
          </w:tcPr>
          <w:p>
            <w:pPr>
              <w:pStyle w:val="TableText"/>
              <w:jc w:val="left"/>
            </w:pPr>
            <w:r>
              <w:t xml:space="preserve">Availability of the purchase path</w:t>
            </w:r>
          </w:p>
        </w:tc>
        <w:tc>
          <w:tcPr>
            <w:tcW w:w="2971" w:type="dxa"/>
            <w:vAlign w:val="top"/>
          </w:tcPr>
          <w:p>
            <w:pPr>
              <w:pStyle w:val="TableText"/>
              <w:jc w:val="left"/>
            </w:pPr>
            <w:r>
              <w:t xml:space="preserve">99.9% monthly</w:t>
            </w:r>
          </w:p>
        </w:tc>
        <w:tc>
          <w:tcPr>
            <w:tcW w:w="3923" w:type="dxa"/>
            <w:vAlign w:val="top"/>
          </w:tcPr>
          <w:p>
            <w:pPr>
              <w:pStyle w:val="TableText"/>
              <w:jc w:val="left"/>
            </w:pPr>
            <w:r>
              <w:t xml:space="preserve">At least two API pods across zones, pod disruption budget, readiness gated on the database, graceful drain on shutdown</w:t>
            </w:r>
          </w:p>
        </w:tc>
      </w:tr>
      <w:tr>
        <w:trPr>
          <w:cantSplit/>
        </w:trPr>
        <w:tc>
          <w:tcPr>
            <w:tcW w:w="2133" w:type="dxa"/>
            <w:shd w:val="clear" w:color="auto" w:fill="F4F7FB"/>
            <w:vAlign w:val="top"/>
          </w:tcPr>
          <w:p>
            <w:pPr>
              <w:pStyle w:val="TableText"/>
              <w:jc w:val="left"/>
            </w:pPr>
            <w:r>
              <w:t xml:space="preserve">API response time</w:t>
            </w:r>
          </w:p>
        </w:tc>
        <w:tc>
          <w:tcPr>
            <w:tcW w:w="2971" w:type="dxa"/>
            <w:shd w:val="clear" w:color="auto" w:fill="F4F7FB"/>
            <w:vAlign w:val="top"/>
          </w:tcPr>
          <w:p>
            <w:pPr>
              <w:pStyle w:val="TableText"/>
              <w:jc w:val="left"/>
            </w:pPr>
            <w:r>
              <w:t xml:space="preserve">95th percentile under 300 ms for reads; purchase dominated by wallet and core latency</w:t>
            </w:r>
          </w:p>
        </w:tc>
        <w:tc>
          <w:tcPr>
            <w:tcW w:w="3923" w:type="dxa"/>
            <w:shd w:val="clear" w:color="auto" w:fill="F4F7FB"/>
            <w:vAlign w:val="top"/>
          </w:tcPr>
          <w:p>
            <w:pPr>
              <w:pStyle w:val="TableText"/>
              <w:jc w:val="left"/>
            </w:pPr>
            <w:r>
              <w:t xml:space="preserve">Indexed column filters, 15 s statement timeout, integration timeouts and circuit breakers</w:t>
            </w:r>
          </w:p>
        </w:tc>
      </w:tr>
      <w:tr>
        <w:trPr>
          <w:cantSplit/>
        </w:trPr>
        <w:tc>
          <w:tcPr>
            <w:tcW w:w="2133" w:type="dxa"/>
            <w:vAlign w:val="top"/>
          </w:tcPr>
          <w:p>
            <w:pPr>
              <w:pStyle w:val="TableText"/>
              <w:jc w:val="left"/>
            </w:pPr>
            <w:r>
              <w:t xml:space="preserve">Recovery point and time</w:t>
            </w:r>
          </w:p>
        </w:tc>
        <w:tc>
          <w:tcPr>
            <w:tcW w:w="2971" w:type="dxa"/>
            <w:vAlign w:val="top"/>
          </w:tcPr>
          <w:p>
            <w:pPr>
              <w:pStyle w:val="TableText"/>
              <w:jc w:val="left"/>
            </w:pPr>
            <w:r>
              <w:t xml:space="preserve">RPO 15 minutes or less, RTO 4 hours or less</w:t>
            </w:r>
          </w:p>
        </w:tc>
        <w:tc>
          <w:tcPr>
            <w:tcW w:w="3923" w:type="dxa"/>
            <w:vAlign w:val="top"/>
          </w:tcPr>
          <w:p>
            <w:pPr>
              <w:pStyle w:val="TableText"/>
              <w:jc w:val="left"/>
            </w:pPr>
            <w:r>
              <w:t xml:space="preserve">Managed PostgreSQL with synchronous standby, point-in-time recovery, cross-region replica; detail in TGP-OPS-03 Disaster Recovery and Business Continuity Plan</w:t>
            </w:r>
          </w:p>
        </w:tc>
      </w:tr>
      <w:tr>
        <w:trPr>
          <w:cantSplit/>
        </w:trPr>
        <w:tc>
          <w:tcPr>
            <w:tcW w:w="2133" w:type="dxa"/>
            <w:shd w:val="clear" w:color="auto" w:fill="F4F7FB"/>
            <w:vAlign w:val="top"/>
          </w:tcPr>
          <w:p>
            <w:pPr>
              <w:pStyle w:val="TableText"/>
              <w:jc w:val="left"/>
            </w:pPr>
            <w:r>
              <w:t xml:space="preserve">Rule change lead time</w:t>
            </w:r>
          </w:p>
        </w:tc>
        <w:tc>
          <w:tcPr>
            <w:tcW w:w="2971" w:type="dxa"/>
            <w:shd w:val="clear" w:color="auto" w:fill="F4F7FB"/>
            <w:vAlign w:val="top"/>
          </w:tcPr>
          <w:p>
            <w:pPr>
              <w:pStyle w:val="TableText"/>
              <w:jc w:val="left"/>
            </w:pPr>
            <w:r>
              <w:t xml:space="preserve">One working day from draft to active</w:t>
            </w:r>
          </w:p>
        </w:tc>
        <w:tc>
          <w:tcPr>
            <w:tcW w:w="3923" w:type="dxa"/>
            <w:shd w:val="clear" w:color="auto" w:fill="F4F7FB"/>
            <w:vAlign w:val="top"/>
          </w:tcPr>
          <w:p>
            <w:pPr>
              <w:pStyle w:val="TableText"/>
              <w:jc w:val="left"/>
            </w:pPr>
            <w:r>
              <w:t xml:space="preserve">Rules studio with validation, simulation and maker-checker</w:t>
            </w:r>
          </w:p>
        </w:tc>
      </w:tr>
      <w:tr>
        <w:trPr>
          <w:cantSplit/>
        </w:trPr>
        <w:tc>
          <w:tcPr>
            <w:tcW w:w="2133" w:type="dxa"/>
            <w:vAlign w:val="top"/>
          </w:tcPr>
          <w:p>
            <w:pPr>
              <w:pStyle w:val="TableText"/>
              <w:jc w:val="left"/>
            </w:pPr>
            <w:r>
              <w:t xml:space="preserve">Explainability</w:t>
            </w:r>
          </w:p>
        </w:tc>
        <w:tc>
          <w:tcPr>
            <w:tcW w:w="2971" w:type="dxa"/>
            <w:vAlign w:val="top"/>
          </w:tcPr>
          <w:p>
            <w:pPr>
              <w:pStyle w:val="TableText"/>
              <w:jc w:val="left"/>
            </w:pPr>
            <w:r>
              <w:t xml:space="preserve">Every score carries factor reasons; every next action carries its rule</w:t>
            </w:r>
          </w:p>
        </w:tc>
        <w:tc>
          <w:tcPr>
            <w:tcW w:w="3923" w:type="dxa"/>
            <w:vAlign w:val="top"/>
          </w:tcPr>
          <w:p>
            <w:pPr>
              <w:pStyle w:val="TableText"/>
              <w:jc w:val="left"/>
            </w:pPr>
            <w:r>
              <w:t xml:space="preserve">Leads domain stores reasons and rule identifiers</w:t>
            </w:r>
          </w:p>
        </w:tc>
      </w:tr>
      <w:tr>
        <w:trPr>
          <w:cantSplit/>
        </w:trPr>
        <w:tc>
          <w:tcPr>
            <w:tcW w:w="2133" w:type="dxa"/>
            <w:shd w:val="clear" w:color="auto" w:fill="F4F7FB"/>
            <w:vAlign w:val="top"/>
          </w:tcPr>
          <w:p>
            <w:pPr>
              <w:pStyle w:val="TableText"/>
              <w:jc w:val="left"/>
            </w:pPr>
            <w:r>
              <w:t xml:space="preserve">Auditability</w:t>
            </w:r>
          </w:p>
        </w:tc>
        <w:tc>
          <w:tcPr>
            <w:tcW w:w="2971" w:type="dxa"/>
            <w:shd w:val="clear" w:color="auto" w:fill="F4F7FB"/>
            <w:vAlign w:val="top"/>
          </w:tcPr>
          <w:p>
            <w:pPr>
              <w:pStyle w:val="TableText"/>
              <w:jc w:val="left"/>
            </w:pPr>
            <w:r>
              <w:t xml:space="preserve">Every state-changing action audited; chain verifiable on demand</w:t>
            </w:r>
          </w:p>
        </w:tc>
        <w:tc>
          <w:tcPr>
            <w:tcW w:w="3923" w:type="dxa"/>
            <w:shd w:val="clear" w:color="auto" w:fill="F4F7FB"/>
            <w:vAlign w:val="top"/>
          </w:tcPr>
          <w:p>
            <w:pPr>
              <w:pStyle w:val="TableText"/>
              <w:jc w:val="left"/>
            </w:pPr>
            <w:r>
              <w:t xml:space="preserve">Hash-chained audit trail with database triggers (ADR-008)</w:t>
            </w:r>
          </w:p>
        </w:tc>
      </w:tr>
      <w:tr>
        <w:trPr>
          <w:cantSplit/>
        </w:trPr>
        <w:tc>
          <w:tcPr>
            <w:tcW w:w="2133" w:type="dxa"/>
            <w:vAlign w:val="top"/>
          </w:tcPr>
          <w:p>
            <w:pPr>
              <w:pStyle w:val="TableText"/>
              <w:jc w:val="left"/>
            </w:pPr>
            <w:r>
              <w:t xml:space="preserve">Price integrity</w:t>
            </w:r>
          </w:p>
        </w:tc>
        <w:tc>
          <w:tcPr>
            <w:tcW w:w="2971" w:type="dxa"/>
            <w:vAlign w:val="top"/>
          </w:tcPr>
          <w:p>
            <w:pPr>
              <w:pStyle w:val="TableText"/>
              <w:jc w:val="left"/>
            </w:pPr>
            <w:r>
              <w:t xml:space="preserve">No payment against a price TASCO core has not confirmed</w:t>
            </w:r>
          </w:p>
        </w:tc>
        <w:tc>
          <w:tcPr>
            <w:tcW w:w="3923" w:type="dxa"/>
            <w:vAlign w:val="top"/>
          </w:tcPr>
          <w:p>
            <w:pPr>
              <w:pStyle w:val="TableText"/>
              <w:jc w:val="left"/>
            </w:pPr>
            <w:r>
              <w:t xml:space="preserve">Indicative quotes blocked until re-rated; core quote reference passed at issuance (ADR-013)</w:t>
            </w:r>
          </w:p>
        </w:tc>
      </w:tr>
    </w:tbl>
    <w:p>
      <w:pPr>
        <w:pStyle w:val="Heading2"/>
      </w:pPr>
      <w:bookmarkStart w:id="33" w:name="_Toc300000029"/>
      <w:r>
        <w:t xml:space="preserve">Scalability</w:t>
      </w:r>
      <w:bookmarkEnd w:id="33"/>
    </w:p>
    <w:p>
      <w:pPr>
        <w:pStyle w:val="FirstParagraph"/>
      </w:pPr>
      <w:r>
        <w:t xml:space="preserve">The application tier is stateless, so capacity grows by adding pods. The database is the main scaling concern and has been designed for: indexed columns for every query path, paging for large result sets, batch ingestion in chunks, background jobs for journeys and events, and a read replica for reporting at full scale.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651"/>
        <w:gridCol w:w="2049"/>
        <w:gridCol w:w="2088"/>
        <w:gridCol w:w="2239"/>
      </w:tblGrid>
      <w:tr>
        <w:trPr>
          <w:cantSplit/>
          <w:tblHeader/>
        </w:trPr>
        <w:tc>
          <w:tcPr>
            <w:tcW w:w="2651" w:type="dxa"/>
            <w:shd w:val="clear" w:color="auto" w:fill="0F4761"/>
            <w:vAlign w:val="center"/>
          </w:tcPr>
          <w:p>
            <w:pPr>
              <w:pStyle w:val="TableHeading"/>
              <w:jc w:val="left"/>
            </w:pPr>
            <w:r>
              <w:rPr>
                <w:color w:val="FFFFFF"/>
              </w:rPr>
              <w:t xml:space="preserve">Measure</w:t>
            </w:r>
          </w:p>
        </w:tc>
        <w:tc>
          <w:tcPr>
            <w:tcW w:w="2049" w:type="dxa"/>
            <w:shd w:val="clear" w:color="auto" w:fill="0F4761"/>
            <w:vAlign w:val="center"/>
          </w:tcPr>
          <w:p>
            <w:pPr>
              <w:pStyle w:val="TableHeading"/>
              <w:jc w:val="left"/>
            </w:pPr>
            <w:r>
              <w:rPr>
                <w:color w:val="FFFFFF"/>
              </w:rPr>
              <w:t xml:space="preserve">Today (single instance)</w:t>
            </w:r>
          </w:p>
        </w:tc>
        <w:tc>
          <w:tcPr>
            <w:tcW w:w="2088" w:type="dxa"/>
            <w:shd w:val="clear" w:color="auto" w:fill="0F4761"/>
            <w:vAlign w:val="center"/>
          </w:tcPr>
          <w:p>
            <w:pPr>
              <w:pStyle w:val="TableHeading"/>
              <w:jc w:val="left"/>
            </w:pPr>
            <w:r>
              <w:rPr>
                <w:color w:val="FFFFFF"/>
              </w:rPr>
              <w:t xml:space="preserve">Pilot target</w:t>
            </w:r>
          </w:p>
        </w:tc>
        <w:tc>
          <w:tcPr>
            <w:tcW w:w="2239" w:type="dxa"/>
            <w:shd w:val="clear" w:color="auto" w:fill="0F4761"/>
            <w:vAlign w:val="center"/>
          </w:tcPr>
          <w:p>
            <w:pPr>
              <w:pStyle w:val="TableHeading"/>
              <w:jc w:val="left"/>
            </w:pPr>
            <w:r>
              <w:rPr>
                <w:color w:val="FFFFFF"/>
              </w:rPr>
              <w:t xml:space="preserve">Full-scale target</w:t>
            </w:r>
          </w:p>
        </w:tc>
      </w:tr>
      <w:tr>
        <w:trPr>
          <w:cantSplit/>
        </w:trPr>
        <w:tc>
          <w:tcPr>
            <w:tcW w:w="2651" w:type="dxa"/>
            <w:vAlign w:val="top"/>
          </w:tcPr>
          <w:p>
            <w:pPr>
              <w:pStyle w:val="TableText"/>
              <w:jc w:val="left"/>
            </w:pPr>
            <w:r>
              <w:t xml:space="preserve">API throughput</w:t>
            </w:r>
          </w:p>
        </w:tc>
        <w:tc>
          <w:tcPr>
            <w:tcW w:w="2049" w:type="dxa"/>
            <w:vAlign w:val="top"/>
          </w:tcPr>
          <w:p>
            <w:pPr>
              <w:pStyle w:val="TableText"/>
              <w:jc w:val="left"/>
            </w:pPr>
            <w:r>
              <w:t xml:space="preserve">337 requests per second</w:t>
            </w:r>
          </w:p>
        </w:tc>
        <w:tc>
          <w:tcPr>
            <w:tcW w:w="2088" w:type="dxa"/>
            <w:vAlign w:val="top"/>
          </w:tcPr>
          <w:p>
            <w:pPr>
              <w:pStyle w:val="TableText"/>
              <w:jc w:val="left"/>
            </w:pPr>
            <w:r>
              <w:t xml:space="preserve">50 per second sustained</w:t>
            </w:r>
          </w:p>
        </w:tc>
        <w:tc>
          <w:tcPr>
            <w:tcW w:w="2239" w:type="dxa"/>
            <w:vAlign w:val="top"/>
          </w:tcPr>
          <w:p>
            <w:pPr>
              <w:pStyle w:val="TableText"/>
              <w:jc w:val="left"/>
            </w:pPr>
            <w:r>
              <w:t xml:space="preserve">300 per second sustained</w:t>
            </w:r>
          </w:p>
        </w:tc>
      </w:tr>
      <w:tr>
        <w:trPr>
          <w:cantSplit/>
        </w:trPr>
        <w:tc>
          <w:tcPr>
            <w:tcW w:w="2651" w:type="dxa"/>
            <w:shd w:val="clear" w:color="auto" w:fill="F4F7FB"/>
            <w:vAlign w:val="top"/>
          </w:tcPr>
          <w:p>
            <w:pPr>
              <w:pStyle w:val="TableText"/>
              <w:jc w:val="left"/>
            </w:pPr>
            <w:r>
              <w:t xml:space="preserve">API response time, 95th percentile</w:t>
            </w:r>
          </w:p>
        </w:tc>
        <w:tc>
          <w:tcPr>
            <w:tcW w:w="2049" w:type="dxa"/>
            <w:shd w:val="clear" w:color="auto" w:fill="F4F7FB"/>
            <w:vAlign w:val="top"/>
          </w:tcPr>
          <w:p>
            <w:pPr>
              <w:pStyle w:val="TableText"/>
              <w:jc w:val="left"/>
            </w:pPr>
            <w:r>
              <w:t xml:space="preserve">103 ms</w:t>
            </w:r>
          </w:p>
        </w:tc>
        <w:tc>
          <w:tcPr>
            <w:tcW w:w="2088" w:type="dxa"/>
            <w:shd w:val="clear" w:color="auto" w:fill="F4F7FB"/>
            <w:vAlign w:val="top"/>
          </w:tcPr>
          <w:p>
            <w:pPr>
              <w:pStyle w:val="TableText"/>
              <w:jc w:val="left"/>
            </w:pPr>
            <w:r>
              <w:t xml:space="preserve">Under 300 ms</w:t>
            </w:r>
          </w:p>
        </w:tc>
        <w:tc>
          <w:tcPr>
            <w:tcW w:w="2239" w:type="dxa"/>
            <w:shd w:val="clear" w:color="auto" w:fill="F4F7FB"/>
            <w:vAlign w:val="top"/>
          </w:tcPr>
          <w:p>
            <w:pPr>
              <w:pStyle w:val="TableText"/>
              <w:jc w:val="left"/>
            </w:pPr>
            <w:r>
              <w:t xml:space="preserve">Under 300 ms</w:t>
            </w:r>
          </w:p>
        </w:tc>
      </w:tr>
      <w:tr>
        <w:trPr>
          <w:cantSplit/>
        </w:trPr>
        <w:tc>
          <w:tcPr>
            <w:tcW w:w="2651" w:type="dxa"/>
            <w:vAlign w:val="top"/>
          </w:tcPr>
          <w:p>
            <w:pPr>
              <w:pStyle w:val="TableText"/>
              <w:jc w:val="left"/>
            </w:pPr>
            <w:r>
              <w:t xml:space="preserve">Vehicles under management</w:t>
            </w:r>
          </w:p>
        </w:tc>
        <w:tc>
          <w:tcPr>
            <w:tcW w:w="2049" w:type="dxa"/>
            <w:vAlign w:val="top"/>
          </w:tcPr>
          <w:p>
            <w:pPr>
              <w:pStyle w:val="TableText"/>
              <w:jc w:val="left"/>
            </w:pPr>
            <w:r>
              <w:t xml:space="preserve">Synthetic test set</w:t>
            </w:r>
          </w:p>
        </w:tc>
        <w:tc>
          <w:tcPr>
            <w:tcW w:w="2088" w:type="dxa"/>
            <w:vAlign w:val="top"/>
          </w:tcPr>
          <w:p>
            <w:pPr>
              <w:pStyle w:val="TableText"/>
              <w:jc w:val="left"/>
            </w:pPr>
            <w:r>
              <w:t xml:space="preserve">100,000</w:t>
            </w:r>
          </w:p>
        </w:tc>
        <w:tc>
          <w:tcPr>
            <w:tcW w:w="2239" w:type="dxa"/>
            <w:vAlign w:val="top"/>
          </w:tcPr>
          <w:p>
            <w:pPr>
              <w:pStyle w:val="TableText"/>
              <w:jc w:val="left"/>
            </w:pPr>
            <w:r>
              <w:t xml:space="preserve">6 million</w:t>
            </w:r>
          </w:p>
        </w:tc>
      </w:tr>
      <w:tr>
        <w:trPr>
          <w:cantSplit/>
        </w:trPr>
        <w:tc>
          <w:tcPr>
            <w:tcW w:w="2651" w:type="dxa"/>
            <w:shd w:val="clear" w:color="auto" w:fill="F4F7FB"/>
            <w:vAlign w:val="top"/>
          </w:tcPr>
          <w:p>
            <w:pPr>
              <w:pStyle w:val="TableText"/>
              <w:jc w:val="left"/>
            </w:pPr>
            <w:r>
              <w:t xml:space="preserve">Daily journey evaluations</w:t>
            </w:r>
          </w:p>
        </w:tc>
        <w:tc>
          <w:tcPr>
            <w:tcW w:w="2049" w:type="dxa"/>
            <w:shd w:val="clear" w:color="auto" w:fill="F4F7FB"/>
            <w:vAlign w:val="top"/>
          </w:tcPr>
          <w:p>
            <w:pPr>
              <w:pStyle w:val="TableText"/>
              <w:jc w:val="left"/>
            </w:pPr>
            <w:r>
              <w:t xml:space="preserve">Not measured</w:t>
            </w:r>
          </w:p>
        </w:tc>
        <w:tc>
          <w:tcPr>
            <w:tcW w:w="2088" w:type="dxa"/>
            <w:shd w:val="clear" w:color="auto" w:fill="F4F7FB"/>
            <w:vAlign w:val="top"/>
          </w:tcPr>
          <w:p>
            <w:pPr>
              <w:pStyle w:val="TableText"/>
              <w:jc w:val="left"/>
            </w:pPr>
            <w:r>
              <w:t xml:space="preserve">100,000</w:t>
            </w:r>
          </w:p>
        </w:tc>
        <w:tc>
          <w:tcPr>
            <w:tcW w:w="2239" w:type="dxa"/>
            <w:shd w:val="clear" w:color="auto" w:fill="F4F7FB"/>
            <w:vAlign w:val="top"/>
          </w:tcPr>
          <w:p>
            <w:pPr>
              <w:pStyle w:val="TableText"/>
              <w:jc w:val="left"/>
            </w:pPr>
            <w:r>
              <w:t xml:space="preserve">6 million</w:t>
            </w:r>
          </w:p>
        </w:tc>
      </w:tr>
      <w:tr>
        <w:trPr>
          <w:cantSplit/>
        </w:trPr>
        <w:tc>
          <w:tcPr>
            <w:tcW w:w="2651" w:type="dxa"/>
            <w:vAlign w:val="top"/>
          </w:tcPr>
          <w:p>
            <w:pPr>
              <w:pStyle w:val="TableText"/>
              <w:jc w:val="left"/>
            </w:pPr>
            <w:r>
              <w:t xml:space="preserve">Ingestion</w:t>
            </w:r>
          </w:p>
        </w:tc>
        <w:tc>
          <w:tcPr>
            <w:tcW w:w="2049" w:type="dxa"/>
            <w:vAlign w:val="top"/>
          </w:tcPr>
          <w:p>
            <w:pPr>
              <w:pStyle w:val="TableText"/>
              <w:jc w:val="left"/>
            </w:pPr>
            <w:r>
              <w:t xml:space="preserve">5,000 records per batch</w:t>
            </w:r>
          </w:p>
        </w:tc>
        <w:tc>
          <w:tcPr>
            <w:tcW w:w="2088" w:type="dxa"/>
            <w:vAlign w:val="top"/>
          </w:tcPr>
          <w:p>
            <w:pPr>
              <w:pStyle w:val="TableText"/>
              <w:jc w:val="left"/>
            </w:pPr>
            <w:r>
              <w:t xml:space="preserve">Initial load within one day</w:t>
            </w:r>
          </w:p>
        </w:tc>
        <w:tc>
          <w:tcPr>
            <w:tcW w:w="2239" w:type="dxa"/>
            <w:vAlign w:val="top"/>
          </w:tcPr>
          <w:p>
            <w:pPr>
              <w:pStyle w:val="TableText"/>
              <w:jc w:val="left"/>
            </w:pPr>
            <w:r>
              <w:t xml:space="preserve">Full base within one weekend</w:t>
            </w:r>
          </w:p>
        </w:tc>
      </w:tr>
    </w:tbl>
    <w:p>
      <w:pPr>
        <w:pStyle w:val="BodyText"/>
        <w:spacing w:before="160"/>
      </w:pPr>
      <w:r>
        <w:t xml:space="preserve">The load smoke test was run on 08/10/2026 with one process and 25 concurrent clients: 3,063 requests, p95 195 ms against a 300 ms budget, with no errors. Full-scale capacity will be proven in pre-production during the scale phase (TGP-QA-03 Performance and Capacity Test Plan).</w:t>
      </w:r>
    </w:p>
    <w:p>
      <w:pPr>
        <w:pStyle w:val="BodyText"/>
      </w:pPr>
      <w:r>
        <w:t xml:space="preserve">The following changes are planned before the base grows beyond the pilot. None of them changes the public interfaces.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08"/>
        <w:gridCol w:w="2886"/>
        <w:gridCol w:w="4433"/>
      </w:tblGrid>
      <w:tr>
        <w:trPr>
          <w:cantSplit/>
          <w:tblHeader/>
        </w:trPr>
        <w:tc>
          <w:tcPr>
            <w:tcW w:w="1708" w:type="dxa"/>
            <w:shd w:val="clear" w:color="auto" w:fill="0F4761"/>
            <w:vAlign w:val="center"/>
          </w:tcPr>
          <w:p>
            <w:pPr>
              <w:pStyle w:val="TableHeading"/>
              <w:jc w:val="left"/>
            </w:pPr>
            <w:r>
              <w:rPr>
                <w:color w:val="FFFFFF"/>
              </w:rPr>
              <w:t xml:space="preserve">Concern</w:t>
            </w:r>
          </w:p>
        </w:tc>
        <w:tc>
          <w:tcPr>
            <w:tcW w:w="2886" w:type="dxa"/>
            <w:shd w:val="clear" w:color="auto" w:fill="0F4761"/>
            <w:vAlign w:val="center"/>
          </w:tcPr>
          <w:p>
            <w:pPr>
              <w:pStyle w:val="TableHeading"/>
              <w:jc w:val="left"/>
            </w:pPr>
            <w:r>
              <w:rPr>
                <w:color w:val="FFFFFF"/>
              </w:rPr>
              <w:t xml:space="preserve">Today</w:t>
            </w:r>
          </w:p>
        </w:tc>
        <w:tc>
          <w:tcPr>
            <w:tcW w:w="4433" w:type="dxa"/>
            <w:shd w:val="clear" w:color="auto" w:fill="0F4761"/>
            <w:vAlign w:val="center"/>
          </w:tcPr>
          <w:p>
            <w:pPr>
              <w:pStyle w:val="TableHeading"/>
              <w:jc w:val="left"/>
            </w:pPr>
            <w:r>
              <w:rPr>
                <w:color w:val="FFFFFF"/>
              </w:rPr>
              <w:t xml:space="preserve">Before full scale</w:t>
            </w:r>
          </w:p>
        </w:tc>
      </w:tr>
      <w:tr>
        <w:trPr>
          <w:cantSplit/>
        </w:trPr>
        <w:tc>
          <w:tcPr>
            <w:tcW w:w="1708" w:type="dxa"/>
            <w:vAlign w:val="top"/>
          </w:tcPr>
          <w:p>
            <w:pPr>
              <w:pStyle w:val="TableText"/>
              <w:jc w:val="left"/>
            </w:pPr>
            <w:r>
              <w:t xml:space="preserve">Golden record build</w:t>
            </w:r>
          </w:p>
        </w:tc>
        <w:tc>
          <w:tcPr>
            <w:tcW w:w="2886" w:type="dxa"/>
            <w:vAlign w:val="top"/>
          </w:tcPr>
          <w:p>
            <w:pPr>
              <w:pStyle w:val="TableText"/>
              <w:jc w:val="left"/>
            </w:pPr>
            <w:r>
              <w:t xml:space="preserve">Incremental rebuild by plate in 500-plate chunks</w:t>
            </w:r>
          </w:p>
        </w:tc>
        <w:tc>
          <w:tcPr>
            <w:tcW w:w="4433" w:type="dxa"/>
            <w:vAlign w:val="top"/>
          </w:tcPr>
          <w:p>
            <w:pPr>
              <w:pStyle w:val="TableText"/>
              <w:jc w:val="left"/>
            </w:pPr>
            <w:r>
              <w:t xml:space="preserve">Initial load through a staging table with parallel workers partitioned by plate hash</w:t>
            </w:r>
          </w:p>
        </w:tc>
      </w:tr>
      <w:tr>
        <w:trPr>
          <w:cantSplit/>
        </w:trPr>
        <w:tc>
          <w:tcPr>
            <w:tcW w:w="1708" w:type="dxa"/>
            <w:shd w:val="clear" w:color="auto" w:fill="F4F7FB"/>
            <w:vAlign w:val="top"/>
          </w:tcPr>
          <w:p>
            <w:pPr>
              <w:pStyle w:val="TableText"/>
              <w:jc w:val="left"/>
            </w:pPr>
            <w:r>
              <w:t xml:space="preserve">Nightly re-scoring</w:t>
            </w:r>
          </w:p>
        </w:tc>
        <w:tc>
          <w:tcPr>
            <w:tcW w:w="2886" w:type="dxa"/>
            <w:shd w:val="clear" w:color="auto" w:fill="F4F7FB"/>
            <w:vAlign w:val="top"/>
          </w:tcPr>
          <w:p>
            <w:pPr>
              <w:pStyle w:val="TableText"/>
              <w:jc w:val="left"/>
            </w:pPr>
            <w:r>
              <w:t xml:space="preserve">Offset paging over all leads</w:t>
            </w:r>
          </w:p>
        </w:tc>
        <w:tc>
          <w:tcPr>
            <w:tcW w:w="4433" w:type="dxa"/>
            <w:shd w:val="clear" w:color="auto" w:fill="F4F7FB"/>
            <w:vAlign w:val="top"/>
          </w:tcPr>
          <w:p>
            <w:pPr>
              <w:pStyle w:val="TableText"/>
              <w:jc w:val="left"/>
            </w:pPr>
            <w:r>
              <w:t xml:space="preserve">Keyset paging, sharded across workers, limited to profiles whose journey window changes</w:t>
            </w:r>
          </w:p>
        </w:tc>
      </w:tr>
      <w:tr>
        <w:trPr>
          <w:cantSplit/>
        </w:trPr>
        <w:tc>
          <w:tcPr>
            <w:tcW w:w="1708" w:type="dxa"/>
            <w:vAlign w:val="top"/>
          </w:tcPr>
          <w:p>
            <w:pPr>
              <w:pStyle w:val="TableText"/>
              <w:jc w:val="left"/>
            </w:pPr>
            <w:r>
              <w:t xml:space="preserve">Journey execution</w:t>
            </w:r>
          </w:p>
        </w:tc>
        <w:tc>
          <w:tcPr>
            <w:tcW w:w="2886" w:type="dxa"/>
            <w:vAlign w:val="top"/>
          </w:tcPr>
          <w:p>
            <w:pPr>
              <w:pStyle w:val="TableText"/>
              <w:jc w:val="left"/>
            </w:pPr>
            <w:r>
              <w:t xml:space="preserve">Pages through all due touchpoints; runs must not overlap</w:t>
            </w:r>
          </w:p>
        </w:tc>
        <w:tc>
          <w:tcPr>
            <w:tcW w:w="4433" w:type="dxa"/>
            <w:vAlign w:val="top"/>
          </w:tcPr>
          <w:p>
            <w:pPr>
              <w:pStyle w:val="TableText"/>
              <w:jc w:val="left"/>
            </w:pPr>
            <w:r>
              <w:t xml:space="preserve">Workers claim touchpoints with</w:t>
            </w:r>
            <w:r>
              <w:t xml:space="preserve"> </w:t>
            </w:r>
            <w:r>
              <w:rPr>
                <w:rStyle w:val="CodeChar"/>
              </w:rPr>
              <w:t xml:space="preserve">SKIP LOCKED</w:t>
            </w:r>
            <w:r>
              <w:t xml:space="preserve">; automated calls become asynchronous</w:t>
            </w:r>
          </w:p>
        </w:tc>
      </w:tr>
      <w:tr>
        <w:trPr>
          <w:cantSplit/>
        </w:trPr>
        <w:tc>
          <w:tcPr>
            <w:tcW w:w="1708" w:type="dxa"/>
            <w:shd w:val="clear" w:color="auto" w:fill="F4F7FB"/>
            <w:vAlign w:val="top"/>
          </w:tcPr>
          <w:p>
            <w:pPr>
              <w:pStyle w:val="TableText"/>
              <w:jc w:val="left"/>
            </w:pPr>
            <w:r>
              <w:t xml:space="preserve">Table growth</w:t>
            </w:r>
          </w:p>
        </w:tc>
        <w:tc>
          <w:tcPr>
            <w:tcW w:w="2886" w:type="dxa"/>
            <w:shd w:val="clear" w:color="auto" w:fill="F4F7FB"/>
            <w:vAlign w:val="top"/>
          </w:tcPr>
          <w:p>
            <w:pPr>
              <w:pStyle w:val="TableText"/>
              <w:jc w:val="left"/>
            </w:pPr>
            <w:r>
              <w:t xml:space="preserve">Indexed columns per collection</w:t>
            </w:r>
          </w:p>
        </w:tc>
        <w:tc>
          <w:tcPr>
            <w:tcW w:w="4433" w:type="dxa"/>
            <w:shd w:val="clear" w:color="auto" w:fill="F4F7FB"/>
            <w:vAlign w:val="top"/>
          </w:tcPr>
          <w:p>
            <w:pPr>
              <w:pStyle w:val="TableText"/>
              <w:jc w:val="left"/>
            </w:pPr>
            <w:r>
              <w:t xml:space="preserve">Monthly partitions for messages, touchpoints and events; purge of completed events after 30 days</w:t>
            </w:r>
          </w:p>
        </w:tc>
      </w:tr>
      <w:tr>
        <w:trPr>
          <w:cantSplit/>
        </w:trPr>
        <w:tc>
          <w:tcPr>
            <w:tcW w:w="1708" w:type="dxa"/>
            <w:vAlign w:val="top"/>
          </w:tcPr>
          <w:p>
            <w:pPr>
              <w:pStyle w:val="TableText"/>
              <w:jc w:val="left"/>
            </w:pPr>
            <w:r>
              <w:t xml:space="preserve">Reporting load</w:t>
            </w:r>
          </w:p>
        </w:tc>
        <w:tc>
          <w:tcPr>
            <w:tcW w:w="2886" w:type="dxa"/>
            <w:vAlign w:val="top"/>
          </w:tcPr>
          <w:p>
            <w:pPr>
              <w:pStyle w:val="TableText"/>
              <w:jc w:val="left"/>
            </w:pPr>
            <w:r>
              <w:t xml:space="preserve">Dashboards on the primary</w:t>
            </w:r>
          </w:p>
        </w:tc>
        <w:tc>
          <w:tcPr>
            <w:tcW w:w="4433" w:type="dxa"/>
            <w:vAlign w:val="top"/>
          </w:tcPr>
          <w:p>
            <w:pPr>
              <w:pStyle w:val="TableText"/>
              <w:jc w:val="left"/>
            </w:pPr>
            <w:r>
              <w:t xml:space="preserve">Dashboards and extracts on a read replica; incremental audit-chain verification</w:t>
            </w:r>
          </w:p>
        </w:tc>
      </w:tr>
      <w:tr>
        <w:trPr>
          <w:cantSplit/>
        </w:trPr>
        <w:tc>
          <w:tcPr>
            <w:tcW w:w="1708" w:type="dxa"/>
            <w:shd w:val="clear" w:color="auto" w:fill="F4F7FB"/>
            <w:vAlign w:val="top"/>
          </w:tcPr>
          <w:p>
            <w:pPr>
              <w:pStyle w:val="TableText"/>
              <w:jc w:val="left"/>
            </w:pPr>
            <w:r>
              <w:t xml:space="preserve">Outbound volume</w:t>
            </w:r>
          </w:p>
        </w:tc>
        <w:tc>
          <w:tcPr>
            <w:tcW w:w="2886" w:type="dxa"/>
            <w:shd w:val="clear" w:color="auto" w:fill="F4F7FB"/>
            <w:vAlign w:val="top"/>
          </w:tcPr>
          <w:p>
            <w:pPr>
              <w:pStyle w:val="TableText"/>
              <w:jc w:val="left"/>
            </w:pPr>
            <w:r>
              <w:t xml:space="preserve">One circuit breaker per channel</w:t>
            </w:r>
          </w:p>
        </w:tc>
        <w:tc>
          <w:tcPr>
            <w:tcW w:w="4433" w:type="dxa"/>
            <w:shd w:val="clear" w:color="auto" w:fill="F4F7FB"/>
            <w:vAlign w:val="top"/>
          </w:tcPr>
          <w:p>
            <w:pPr>
              <w:pStyle w:val="TableText"/>
              <w:jc w:val="left"/>
            </w:pPr>
            <w:r>
              <w:t xml:space="preserve">Per-channel queues with provider rate limits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4" w:name="_Toc300000030"/>
      <w:r>
        <w:rPr>
          <w:rStyle w:val="BookTitle"/>
          <w:bCs w:val="0"/>
          <w:i w:val="0"/>
          <w:iCs w:val="0"/>
          <w:spacing w:val="0"/>
        </w:rPr>
        <w:t xml:space="preserve">Constraints and assumptions</w:t>
      </w:r>
      <w:bookmarkEnd w:id="3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3"/>
        <w:gridCol w:w="3860"/>
        <w:gridCol w:w="2348"/>
        <w:gridCol w:w="1986"/>
      </w:tblGrid>
      <w:tr>
        <w:trPr>
          <w:cantSplit/>
          <w:tblHeader/>
        </w:trPr>
        <w:tc>
          <w:tcPr>
            <w:tcW w:w="833" w:type="dxa"/>
            <w:shd w:val="clear" w:color="auto" w:fill="0F4761"/>
            <w:vAlign w:val="center"/>
          </w:tcPr>
          <w:p>
            <w:pPr>
              <w:pStyle w:val="TableHeading"/>
              <w:jc w:val="left"/>
            </w:pPr>
            <w:r>
              <w:rPr>
                <w:color w:val="FFFFFF"/>
              </w:rPr>
              <w:t xml:space="preserve">ID</w:t>
            </w:r>
          </w:p>
        </w:tc>
        <w:tc>
          <w:tcPr>
            <w:tcW w:w="3860" w:type="dxa"/>
            <w:shd w:val="clear" w:color="auto" w:fill="0F4761"/>
            <w:vAlign w:val="center"/>
          </w:tcPr>
          <w:p>
            <w:pPr>
              <w:pStyle w:val="TableHeading"/>
              <w:jc w:val="left"/>
            </w:pPr>
            <w:r>
              <w:rPr>
                <w:color w:val="FFFFFF"/>
              </w:rPr>
              <w:t xml:space="preserve">Constraint or assumption</w:t>
            </w:r>
          </w:p>
        </w:tc>
        <w:tc>
          <w:tcPr>
            <w:tcW w:w="2348" w:type="dxa"/>
            <w:shd w:val="clear" w:color="auto" w:fill="0F4761"/>
            <w:vAlign w:val="center"/>
          </w:tcPr>
          <w:p>
            <w:pPr>
              <w:pStyle w:val="TableHeading"/>
              <w:jc w:val="left"/>
            </w:pPr>
            <w:r>
              <w:rPr>
                <w:color w:val="FFFFFF"/>
              </w:rPr>
              <w:t xml:space="preserve">Impact</w:t>
            </w:r>
          </w:p>
        </w:tc>
        <w:tc>
          <w:tcPr>
            <w:tcW w:w="1986" w:type="dxa"/>
            <w:shd w:val="clear" w:color="auto" w:fill="0F4761"/>
            <w:vAlign w:val="center"/>
          </w:tcPr>
          <w:p>
            <w:pPr>
              <w:pStyle w:val="TableHeading"/>
              <w:jc w:val="left"/>
            </w:pPr>
            <w:r>
              <w:rPr>
                <w:color w:val="FFFFFF"/>
              </w:rPr>
              <w:t xml:space="preserve">Owner</w:t>
            </w:r>
          </w:p>
        </w:tc>
      </w:tr>
      <w:tr>
        <w:trPr>
          <w:cantSplit/>
        </w:trPr>
        <w:tc>
          <w:tcPr>
            <w:tcW w:w="833" w:type="dxa"/>
            <w:noWrap/>
            <w:vAlign w:val="top"/>
          </w:tcPr>
          <w:p>
            <w:pPr>
              <w:pStyle w:val="TableText"/>
              <w:jc w:val="left"/>
            </w:pPr>
            <w:r>
              <w:t xml:space="preserve">CA-01</w:t>
            </w:r>
          </w:p>
        </w:tc>
        <w:tc>
          <w:tcPr>
            <w:tcW w:w="3860" w:type="dxa"/>
            <w:vAlign w:val="top"/>
          </w:tcPr>
          <w:p>
            <w:pPr>
              <w:pStyle w:val="TableText"/>
              <w:jc w:val="left"/>
            </w:pPr>
            <w:r>
              <w:t xml:space="preserve">TASCO core rating and catalogue paths in the production client are assumptions until TASCO’s interface specification arrives</w:t>
            </w:r>
          </w:p>
        </w:tc>
        <w:tc>
          <w:tcPr>
            <w:tcW w:w="2348" w:type="dxa"/>
            <w:vAlign w:val="top"/>
          </w:tcPr>
          <w:p>
            <w:pPr>
              <w:pStyle w:val="TableText"/>
              <w:jc w:val="left"/>
            </w:pPr>
            <w:r>
              <w:t xml:space="preserve">Only the adapter mapping changes</w:t>
            </w:r>
          </w:p>
        </w:tc>
        <w:tc>
          <w:tcPr>
            <w:tcW w:w="1986" w:type="dxa"/>
            <w:vAlign w:val="top"/>
          </w:tcPr>
          <w:p>
            <w:pPr>
              <w:pStyle w:val="TableText"/>
              <w:jc w:val="left"/>
            </w:pPr>
            <w:r>
              <w:t xml:space="preserve">TASCO IT Architecture</w:t>
            </w:r>
          </w:p>
        </w:tc>
      </w:tr>
      <w:tr>
        <w:trPr>
          <w:cantSplit/>
        </w:trPr>
        <w:tc>
          <w:tcPr>
            <w:tcW w:w="833" w:type="dxa"/>
            <w:shd w:val="clear" w:color="auto" w:fill="F4F7FB"/>
            <w:noWrap/>
            <w:vAlign w:val="top"/>
          </w:tcPr>
          <w:p>
            <w:pPr>
              <w:pStyle w:val="TableText"/>
              <w:jc w:val="left"/>
            </w:pPr>
            <w:r>
              <w:t xml:space="preserve">CA-02</w:t>
            </w:r>
          </w:p>
        </w:tc>
        <w:tc>
          <w:tcPr>
            <w:tcW w:w="3860" w:type="dxa"/>
            <w:shd w:val="clear" w:color="auto" w:fill="F4F7FB"/>
            <w:vAlign w:val="top"/>
          </w:tcPr>
          <w:p>
            <w:pPr>
              <w:pStyle w:val="TableText"/>
              <w:jc w:val="left"/>
            </w:pPr>
            <w:r>
              <w:t xml:space="preserve">Policy issuance, VETC wallet, push, Zalo ZNS, SMS and voice use sandbox adapters until provider test systems are available</w:t>
            </w:r>
          </w:p>
        </w:tc>
        <w:tc>
          <w:tcPr>
            <w:tcW w:w="2348" w:type="dxa"/>
            <w:shd w:val="clear" w:color="auto" w:fill="F4F7FB"/>
            <w:vAlign w:val="top"/>
          </w:tcPr>
          <w:p>
            <w:pPr>
              <w:pStyle w:val="TableText"/>
              <w:jc w:val="left"/>
            </w:pPr>
            <w:r>
              <w:t xml:space="preserve">Real adapters are built and tested in SIT</w:t>
            </w:r>
          </w:p>
        </w:tc>
        <w:tc>
          <w:tcPr>
            <w:tcW w:w="1986" w:type="dxa"/>
            <w:shd w:val="clear" w:color="auto" w:fill="F4F7FB"/>
            <w:vAlign w:val="top"/>
          </w:tcPr>
          <w:p>
            <w:pPr>
              <w:pStyle w:val="TableText"/>
              <w:jc w:val="left"/>
            </w:pPr>
            <w:r>
              <w:t xml:space="preserve">iorta TechNXT with each provider</w:t>
            </w:r>
          </w:p>
        </w:tc>
      </w:tr>
      <w:tr>
        <w:trPr>
          <w:cantSplit/>
        </w:trPr>
        <w:tc>
          <w:tcPr>
            <w:tcW w:w="833" w:type="dxa"/>
            <w:noWrap/>
            <w:vAlign w:val="top"/>
          </w:tcPr>
          <w:p>
            <w:pPr>
              <w:pStyle w:val="TableText"/>
              <w:jc w:val="left"/>
            </w:pPr>
            <w:r>
              <w:t xml:space="preserve">CA-03</w:t>
            </w:r>
          </w:p>
        </w:tc>
        <w:tc>
          <w:tcPr>
            <w:tcW w:w="3860" w:type="dxa"/>
            <w:vAlign w:val="top"/>
          </w:tcPr>
          <w:p>
            <w:pPr>
              <w:pStyle w:val="TableText"/>
              <w:jc w:val="left"/>
            </w:pPr>
            <w:r>
              <w:t xml:space="preserve">If TASCO core cannot expose a rating API in time, the platform rates from tariff tables synchronised from core and core re-rates at issue, rejecting any mismatch</w:t>
            </w:r>
          </w:p>
        </w:tc>
        <w:tc>
          <w:tcPr>
            <w:tcW w:w="2348" w:type="dxa"/>
            <w:vAlign w:val="top"/>
          </w:tcPr>
          <w:p>
            <w:pPr>
              <w:pStyle w:val="TableText"/>
              <w:jc w:val="left"/>
            </w:pPr>
            <w:r>
              <w:t xml:space="preserve">Interim path, confirmed in the first two weeks</w:t>
            </w:r>
          </w:p>
        </w:tc>
        <w:tc>
          <w:tcPr>
            <w:tcW w:w="1986" w:type="dxa"/>
            <w:vAlign w:val="top"/>
          </w:tcPr>
          <w:p>
            <w:pPr>
              <w:pStyle w:val="TableText"/>
              <w:jc w:val="left"/>
            </w:pPr>
            <w:r>
              <w:t xml:space="preserve">TASCO IT Architecture</w:t>
            </w:r>
          </w:p>
        </w:tc>
      </w:tr>
      <w:tr>
        <w:trPr>
          <w:cantSplit/>
        </w:trPr>
        <w:tc>
          <w:tcPr>
            <w:tcW w:w="833" w:type="dxa"/>
            <w:shd w:val="clear" w:color="auto" w:fill="F4F7FB"/>
            <w:noWrap/>
            <w:vAlign w:val="top"/>
          </w:tcPr>
          <w:p>
            <w:pPr>
              <w:pStyle w:val="TableText"/>
              <w:jc w:val="left"/>
            </w:pPr>
            <w:r>
              <w:t xml:space="preserve">CA-04</w:t>
            </w:r>
          </w:p>
        </w:tc>
        <w:tc>
          <w:tcPr>
            <w:tcW w:w="3860" w:type="dxa"/>
            <w:shd w:val="clear" w:color="auto" w:fill="F4F7FB"/>
            <w:vAlign w:val="top"/>
          </w:tcPr>
          <w:p>
            <w:pPr>
              <w:pStyle w:val="TableText"/>
              <w:jc w:val="left"/>
            </w:pPr>
            <w:r>
              <w:t xml:space="preserve">Production personal data is hosted and processed in Vietnam</w:t>
            </w:r>
          </w:p>
        </w:tc>
        <w:tc>
          <w:tcPr>
            <w:tcW w:w="2348" w:type="dxa"/>
            <w:shd w:val="clear" w:color="auto" w:fill="F4F7FB"/>
            <w:vAlign w:val="top"/>
          </w:tcPr>
          <w:p>
            <w:pPr>
              <w:pStyle w:val="TableText"/>
              <w:jc w:val="left"/>
            </w:pPr>
            <w:r>
              <w:t xml:space="preserve">Hosting choice; UAT on Railway holds synthetic data only</w:t>
            </w:r>
          </w:p>
        </w:tc>
        <w:tc>
          <w:tcPr>
            <w:tcW w:w="1986" w:type="dxa"/>
            <w:shd w:val="clear" w:color="auto" w:fill="F4F7FB"/>
            <w:vAlign w:val="top"/>
          </w:tcPr>
          <w:p>
            <w:pPr>
              <w:pStyle w:val="TableText"/>
              <w:jc w:val="left"/>
            </w:pPr>
            <w:r>
              <w:t xml:space="preserve">TASCO IT, to be confirmed by TASCO legal</w:t>
            </w:r>
          </w:p>
        </w:tc>
      </w:tr>
      <w:tr>
        <w:trPr>
          <w:cantSplit/>
        </w:trPr>
        <w:tc>
          <w:tcPr>
            <w:tcW w:w="833" w:type="dxa"/>
            <w:noWrap/>
            <w:vAlign w:val="top"/>
          </w:tcPr>
          <w:p>
            <w:pPr>
              <w:pStyle w:val="TableText"/>
              <w:jc w:val="left"/>
            </w:pPr>
            <w:r>
              <w:t xml:space="preserve">CA-05</w:t>
            </w:r>
          </w:p>
        </w:tc>
        <w:tc>
          <w:tcPr>
            <w:tcW w:w="3860" w:type="dxa"/>
            <w:vAlign w:val="top"/>
          </w:tcPr>
          <w:p>
            <w:pPr>
              <w:pStyle w:val="TableText"/>
              <w:jc w:val="left"/>
            </w:pPr>
            <w:r>
              <w:t xml:space="preserve">VETC confirms wallet debits with the wallet holder according to its payment rules</w:t>
            </w:r>
          </w:p>
        </w:tc>
        <w:tc>
          <w:tcPr>
            <w:tcW w:w="2348" w:type="dxa"/>
            <w:vAlign w:val="top"/>
          </w:tcPr>
          <w:p>
            <w:pPr>
              <w:pStyle w:val="TableText"/>
              <w:jc w:val="left"/>
            </w:pPr>
            <w:r>
              <w:t xml:space="preserve">May make payment confirmation asynchronous</w:t>
            </w:r>
          </w:p>
        </w:tc>
        <w:tc>
          <w:tcPr>
            <w:tcW w:w="1986" w:type="dxa"/>
            <w:vAlign w:val="top"/>
          </w:tcPr>
          <w:p>
            <w:pPr>
              <w:pStyle w:val="TableText"/>
              <w:jc w:val="left"/>
            </w:pPr>
            <w:r>
              <w:t xml:space="preserve">VETC</w:t>
            </w:r>
          </w:p>
        </w:tc>
      </w:tr>
      <w:tr>
        <w:trPr>
          <w:cantSplit/>
        </w:trPr>
        <w:tc>
          <w:tcPr>
            <w:tcW w:w="833" w:type="dxa"/>
            <w:shd w:val="clear" w:color="auto" w:fill="F4F7FB"/>
            <w:noWrap/>
            <w:vAlign w:val="top"/>
          </w:tcPr>
          <w:p>
            <w:pPr>
              <w:pStyle w:val="TableText"/>
              <w:jc w:val="left"/>
            </w:pPr>
            <w:r>
              <w:t xml:space="preserve">CA-06</w:t>
            </w:r>
          </w:p>
        </w:tc>
        <w:tc>
          <w:tcPr>
            <w:tcW w:w="3860" w:type="dxa"/>
            <w:shd w:val="clear" w:color="auto" w:fill="F4F7FB"/>
            <w:vAlign w:val="top"/>
          </w:tcPr>
          <w:p>
            <w:pPr>
              <w:pStyle w:val="TableText"/>
              <w:jc w:val="left"/>
            </w:pPr>
            <w:r>
              <w:t xml:space="preserve">Staff authenticate locally with MFA until the TASCO identity provider is integrated</w:t>
            </w:r>
          </w:p>
        </w:tc>
        <w:tc>
          <w:tcPr>
            <w:tcW w:w="2348" w:type="dxa"/>
            <w:shd w:val="clear" w:color="auto" w:fill="F4F7FB"/>
            <w:vAlign w:val="top"/>
          </w:tcPr>
          <w:p>
            <w:pPr>
              <w:pStyle w:val="TableText"/>
              <w:jc w:val="left"/>
            </w:pPr>
            <w:r>
              <w:t xml:space="preserve">OIDC federation in the scale phase (ADR-007)</w:t>
            </w:r>
          </w:p>
        </w:tc>
        <w:tc>
          <w:tcPr>
            <w:tcW w:w="1986" w:type="dxa"/>
            <w:shd w:val="clear" w:color="auto" w:fill="F4F7FB"/>
            <w:vAlign w:val="top"/>
          </w:tcPr>
          <w:p>
            <w:pPr>
              <w:pStyle w:val="TableText"/>
              <w:jc w:val="left"/>
            </w:pPr>
            <w:r>
              <w:t xml:space="preserve">TASCO IT</w:t>
            </w:r>
          </w:p>
        </w:tc>
      </w:tr>
      <w:tr>
        <w:trPr>
          <w:cantSplit/>
        </w:trPr>
        <w:tc>
          <w:tcPr>
            <w:tcW w:w="833" w:type="dxa"/>
            <w:noWrap/>
            <w:vAlign w:val="top"/>
          </w:tcPr>
          <w:p>
            <w:pPr>
              <w:pStyle w:val="TableText"/>
              <w:jc w:val="left"/>
            </w:pPr>
            <w:r>
              <w:t xml:space="preserve">CA-07</w:t>
            </w:r>
          </w:p>
        </w:tc>
        <w:tc>
          <w:tcPr>
            <w:tcW w:w="3860" w:type="dxa"/>
            <w:vAlign w:val="top"/>
          </w:tcPr>
          <w:p>
            <w:pPr>
              <w:pStyle w:val="TableText"/>
              <w:jc w:val="left"/>
            </w:pPr>
            <w:r>
              <w:t xml:space="preserve">Regulatory positions (TNDS premium, consent, call rules, data transfer) follow current law</w:t>
            </w:r>
          </w:p>
        </w:tc>
        <w:tc>
          <w:tcPr>
            <w:tcW w:w="2348" w:type="dxa"/>
            <w:vAlign w:val="top"/>
          </w:tcPr>
          <w:p>
            <w:pPr>
              <w:pStyle w:val="TableText"/>
              <w:jc w:val="left"/>
            </w:pPr>
            <w:r>
              <w:t xml:space="preserve">Positions applied as rule changes once confirmed</w:t>
            </w:r>
          </w:p>
        </w:tc>
        <w:tc>
          <w:tcPr>
            <w:tcW w:w="1986" w:type="dxa"/>
            <w:vAlign w:val="top"/>
          </w:tcPr>
          <w:p>
            <w:pPr>
              <w:pStyle w:val="TableText"/>
              <w:jc w:val="left"/>
            </w:pPr>
            <w:r>
              <w:t xml:space="preserve">To be confirmed by TASCO legal</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5" w:name="_Toc300000031"/>
      <w:r>
        <w:rPr>
          <w:rStyle w:val="BookTitle"/>
          <w:bCs w:val="0"/>
          <w:i w:val="0"/>
          <w:iCs w:val="0"/>
          <w:spacing w:val="0"/>
        </w:rPr>
        <w:t xml:space="preserve">Evolution path</w:t>
      </w:r>
      <w:bookmarkEnd w:id="35"/>
    </w:p>
    <w:p>
      <w:pPr>
        <w:pStyle w:val="FirstParagraph"/>
      </w:pPr>
      <w:r>
        <w:t xml:space="preserve">The platform is designed to grow in stages without changing its core structure.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64"/>
        <w:gridCol w:w="5201"/>
        <w:gridCol w:w="2062"/>
      </w:tblGrid>
      <w:tr>
        <w:trPr>
          <w:cantSplit/>
          <w:tblHeader/>
        </w:trPr>
        <w:tc>
          <w:tcPr>
            <w:tcW w:w="1764" w:type="dxa"/>
            <w:shd w:val="clear" w:color="auto" w:fill="0F4761"/>
            <w:vAlign w:val="center"/>
          </w:tcPr>
          <w:p>
            <w:pPr>
              <w:pStyle w:val="TableHeading"/>
              <w:jc w:val="left"/>
            </w:pPr>
            <w:r>
              <w:rPr>
                <w:color w:val="FFFFFF"/>
              </w:rPr>
              <w:t xml:space="preserve">Phase</w:t>
            </w:r>
          </w:p>
        </w:tc>
        <w:tc>
          <w:tcPr>
            <w:tcW w:w="5201" w:type="dxa"/>
            <w:shd w:val="clear" w:color="auto" w:fill="0F4761"/>
            <w:vAlign w:val="center"/>
          </w:tcPr>
          <w:p>
            <w:pPr>
              <w:pStyle w:val="TableHeading"/>
              <w:jc w:val="left"/>
            </w:pPr>
            <w:r>
              <w:rPr>
                <w:color w:val="FFFFFF"/>
              </w:rPr>
              <w:t xml:space="preserve">Main changes</w:t>
            </w:r>
          </w:p>
        </w:tc>
        <w:tc>
          <w:tcPr>
            <w:tcW w:w="2062" w:type="dxa"/>
            <w:shd w:val="clear" w:color="auto" w:fill="0F4761"/>
            <w:vAlign w:val="center"/>
          </w:tcPr>
          <w:p>
            <w:pPr>
              <w:pStyle w:val="TableHeading"/>
              <w:jc w:val="left"/>
            </w:pPr>
            <w:r>
              <w:rPr>
                <w:color w:val="FFFFFF"/>
              </w:rPr>
              <w:t xml:space="preserve">What stays the same</w:t>
            </w:r>
          </w:p>
        </w:tc>
      </w:tr>
      <w:tr>
        <w:trPr>
          <w:cantSplit/>
        </w:trPr>
        <w:tc>
          <w:tcPr>
            <w:tcW w:w="1764" w:type="dxa"/>
            <w:vAlign w:val="top"/>
          </w:tcPr>
          <w:p>
            <w:pPr>
              <w:pStyle w:val="TableText"/>
              <w:jc w:val="left"/>
            </w:pPr>
            <w:r>
              <w:t xml:space="preserve">Pilot and UAT (now)</w:t>
            </w:r>
          </w:p>
        </w:tc>
        <w:tc>
          <w:tcPr>
            <w:tcW w:w="5201" w:type="dxa"/>
            <w:vAlign w:val="top"/>
          </w:tcPr>
          <w:p>
            <w:pPr>
              <w:pStyle w:val="TableText"/>
              <w:jc w:val="left"/>
            </w:pPr>
            <w:r>
              <w:t xml:space="preserve">Sandbox adapters behind ports; local sign-in with TOTP; outbox in PostgreSQL; keyword intent matching for the voice assistant; Railway UAT</w:t>
            </w:r>
          </w:p>
        </w:tc>
        <w:tc>
          <w:tcPr>
            <w:tcW w:w="2062" w:type="dxa"/>
            <w:vAlign w:val="top"/>
          </w:tcPr>
          <w:p>
            <w:pPr>
              <w:pStyle w:val="TableText"/>
              <w:jc w:val="left"/>
            </w:pPr>
            <w:r>
              <w:t xml:space="preserve">Ports, rule kinds, data model</w:t>
            </w:r>
          </w:p>
        </w:tc>
      </w:tr>
      <w:tr>
        <w:trPr>
          <w:cantSplit/>
        </w:trPr>
        <w:tc>
          <w:tcPr>
            <w:tcW w:w="1764" w:type="dxa"/>
            <w:shd w:val="clear" w:color="auto" w:fill="F4F7FB"/>
            <w:vAlign w:val="top"/>
          </w:tcPr>
          <w:p>
            <w:pPr>
              <w:pStyle w:val="TableText"/>
              <w:jc w:val="left"/>
            </w:pPr>
            <w:r>
              <w:t xml:space="preserve">Production go-live</w:t>
            </w:r>
          </w:p>
        </w:tc>
        <w:tc>
          <w:tcPr>
            <w:tcW w:w="5201" w:type="dxa"/>
            <w:shd w:val="clear" w:color="auto" w:fill="F4F7FB"/>
            <w:vAlign w:val="top"/>
          </w:tcPr>
          <w:p>
            <w:pPr>
              <w:pStyle w:val="TableText"/>
              <w:jc w:val="left"/>
            </w:pPr>
            <w:r>
              <w:t xml:space="preserve">Real adapters for TASCO core, VETC wallet and push, Zalo ZNS, SMS and the voice vendor; Kubernetes in Vietnam; shared logout list and partner quotas at the gateway; automatic refund retry</w:t>
            </w:r>
          </w:p>
        </w:tc>
        <w:tc>
          <w:tcPr>
            <w:tcW w:w="2062" w:type="dxa"/>
            <w:shd w:val="clear" w:color="auto" w:fill="F4F7FB"/>
            <w:vAlign w:val="top"/>
          </w:tcPr>
          <w:p>
            <w:pPr>
              <w:pStyle w:val="TableText"/>
              <w:jc w:val="left"/>
            </w:pPr>
            <w:r>
              <w:t xml:space="preserve">Application and domain code</w:t>
            </w:r>
          </w:p>
        </w:tc>
      </w:tr>
      <w:tr>
        <w:trPr>
          <w:cantSplit/>
        </w:trPr>
        <w:tc>
          <w:tcPr>
            <w:tcW w:w="1764" w:type="dxa"/>
            <w:vAlign w:val="top"/>
          </w:tcPr>
          <w:p>
            <w:pPr>
              <w:pStyle w:val="TableText"/>
              <w:jc w:val="left"/>
            </w:pPr>
            <w:r>
              <w:t xml:space="preserve">Scale phase</w:t>
            </w:r>
          </w:p>
        </w:tc>
        <w:tc>
          <w:tcPr>
            <w:tcW w:w="5201" w:type="dxa"/>
            <w:vAlign w:val="top"/>
          </w:tcPr>
          <w:p>
            <w:pPr>
              <w:pStyle w:val="TableText"/>
              <w:jc w:val="left"/>
            </w:pPr>
            <w:r>
              <w:t xml:space="preserve">VETC CDC feed; monthly partitions and read replica; OIDC to the TASCO identity provider and VETC SSO; data warehouse feed; message broker behind the event bus port; tracing</w:t>
            </w:r>
          </w:p>
        </w:tc>
        <w:tc>
          <w:tcPr>
            <w:tcW w:w="2062" w:type="dxa"/>
            <w:vAlign w:val="top"/>
          </w:tcPr>
          <w:p>
            <w:pPr>
              <w:pStyle w:val="TableText"/>
              <w:jc w:val="left"/>
            </w:pPr>
            <w:r>
              <w:t xml:space="preserve">Event publishers and subscribers</w:t>
            </w:r>
          </w:p>
        </w:tc>
      </w:tr>
      <w:tr>
        <w:trPr>
          <w:cantSplit/>
        </w:trPr>
        <w:tc>
          <w:tcPr>
            <w:tcW w:w="1764" w:type="dxa"/>
            <w:shd w:val="clear" w:color="auto" w:fill="F4F7FB"/>
            <w:vAlign w:val="top"/>
          </w:tcPr>
          <w:p>
            <w:pPr>
              <w:pStyle w:val="TableText"/>
              <w:jc w:val="left"/>
            </w:pPr>
            <w:r>
              <w:t xml:space="preserve">Intelligence</w:t>
            </w:r>
          </w:p>
        </w:tc>
        <w:tc>
          <w:tcPr>
            <w:tcW w:w="5201" w:type="dxa"/>
            <w:shd w:val="clear" w:color="auto" w:fill="F4F7FB"/>
            <w:vAlign w:val="top"/>
          </w:tcPr>
          <w:p>
            <w:pPr>
              <w:pStyle w:val="TableText"/>
              <w:jc w:val="left"/>
            </w:pPr>
            <w:r>
              <w:t xml:space="preserve">Optional language-model intent classifier behind the classifier port; propensity model alongside the rules-based score, with fairness and drift monitoring (TGP-ARC-06 AI Governance)</w:t>
            </w:r>
          </w:p>
        </w:tc>
        <w:tc>
          <w:tcPr>
            <w:tcW w:w="2062" w:type="dxa"/>
            <w:shd w:val="clear" w:color="auto" w:fill="F4F7FB"/>
            <w:vAlign w:val="top"/>
          </w:tcPr>
          <w:p>
            <w:pPr>
              <w:pStyle w:val="TableText"/>
              <w:jc w:val="left"/>
            </w:pPr>
            <w:r>
              <w:t xml:space="preserve">Governed script and dialogue state machine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6" w:name="_Toc300000032"/>
      <w:r>
        <w:rPr>
          <w:rStyle w:val="BookTitle"/>
          <w:bCs w:val="0"/>
          <w:i w:val="0"/>
          <w:iCs w:val="0"/>
          <w:spacing w:val="0"/>
        </w:rPr>
        <w:t xml:space="preserve">Appendix</w:t>
      </w:r>
      <w:bookmarkEnd w:id="36"/>
    </w:p>
    <w:p>
      <w:pPr>
        <w:pStyle w:val="Heading2"/>
      </w:pPr>
      <w:bookmarkStart w:id="37" w:name="_Toc300000033"/>
      <w:r>
        <w:t xml:space="preserve">Source map</w:t>
      </w:r>
      <w:bookmarkEnd w:id="3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82"/>
        <w:gridCol w:w="3708"/>
        <w:gridCol w:w="3537"/>
      </w:tblGrid>
      <w:tr>
        <w:trPr>
          <w:cantSplit/>
          <w:tblHeader/>
        </w:trPr>
        <w:tc>
          <w:tcPr>
            <w:tcW w:w="1782" w:type="dxa"/>
            <w:shd w:val="clear" w:color="auto" w:fill="0F4761"/>
            <w:vAlign w:val="center"/>
          </w:tcPr>
          <w:p>
            <w:pPr>
              <w:pStyle w:val="TableHeading"/>
              <w:jc w:val="left"/>
            </w:pPr>
            <w:r>
              <w:rPr>
                <w:color w:val="FFFFFF"/>
              </w:rPr>
              <w:t xml:space="preserve">Layer</w:t>
            </w:r>
          </w:p>
        </w:tc>
        <w:tc>
          <w:tcPr>
            <w:tcW w:w="3708" w:type="dxa"/>
            <w:shd w:val="clear" w:color="auto" w:fill="0F4761"/>
            <w:vAlign w:val="center"/>
          </w:tcPr>
          <w:p>
            <w:pPr>
              <w:pStyle w:val="TableHeading"/>
              <w:jc w:val="left"/>
            </w:pPr>
            <w:r>
              <w:rPr>
                <w:color w:val="FFFFFF"/>
              </w:rPr>
              <w:t xml:space="preserve">Path</w:t>
            </w:r>
          </w:p>
        </w:tc>
        <w:tc>
          <w:tcPr>
            <w:tcW w:w="3537" w:type="dxa"/>
            <w:shd w:val="clear" w:color="auto" w:fill="0F4761"/>
            <w:vAlign w:val="center"/>
          </w:tcPr>
          <w:p>
            <w:pPr>
              <w:pStyle w:val="TableHeading"/>
              <w:jc w:val="left"/>
            </w:pPr>
            <w:r>
              <w:rPr>
                <w:color w:val="FFFFFF"/>
              </w:rPr>
              <w:t xml:space="preserve">Contents</w:t>
            </w:r>
          </w:p>
        </w:tc>
      </w:tr>
      <w:tr>
        <w:trPr>
          <w:cantSplit/>
        </w:trPr>
        <w:tc>
          <w:tcPr>
            <w:tcW w:w="1782" w:type="dxa"/>
            <w:vAlign w:val="top"/>
          </w:tcPr>
          <w:p>
            <w:pPr>
              <w:pStyle w:val="TableText"/>
              <w:jc w:val="left"/>
            </w:pPr>
            <w:r>
              <w:t xml:space="preserve">Shared kernel</w:t>
            </w:r>
          </w:p>
        </w:tc>
        <w:tc>
          <w:tcPr>
            <w:tcW w:w="3708" w:type="dxa"/>
            <w:vAlign w:val="top"/>
          </w:tcPr>
          <w:p>
            <w:pPr>
              <w:pStyle w:val="TableText"/>
              <w:jc w:val="left"/>
            </w:pPr>
            <w:r>
              <w:rPr>
                <w:rStyle w:val="CodeChar"/>
              </w:rPr>
              <w:t xml:space="preserve">src/shared/</w:t>
            </w:r>
          </w:p>
        </w:tc>
        <w:tc>
          <w:tcPr>
            <w:tcW w:w="3537" w:type="dxa"/>
            <w:vAlign w:val="top"/>
          </w:tcPr>
          <w:p>
            <w:pPr>
              <w:pStyle w:val="TableText"/>
              <w:jc w:val="left"/>
            </w:pPr>
            <w:r>
              <w:t xml:space="preserve">Configuration, logger with PII redaction, cryptography, validation, resilience, metrics, errors, clock</w:t>
            </w:r>
          </w:p>
        </w:tc>
      </w:tr>
      <w:tr>
        <w:trPr>
          <w:cantSplit/>
        </w:trPr>
        <w:tc>
          <w:tcPr>
            <w:tcW w:w="1782" w:type="dxa"/>
            <w:shd w:val="clear" w:color="auto" w:fill="F4F7FB"/>
            <w:vAlign w:val="top"/>
          </w:tcPr>
          <w:p>
            <w:pPr>
              <w:pStyle w:val="TableText"/>
              <w:jc w:val="left"/>
            </w:pPr>
            <w:r>
              <w:t xml:space="preserve">Rules engine</w:t>
            </w:r>
          </w:p>
        </w:tc>
        <w:tc>
          <w:tcPr>
            <w:tcW w:w="3708" w:type="dxa"/>
            <w:shd w:val="clear" w:color="auto" w:fill="F4F7FB"/>
            <w:vAlign w:val="top"/>
          </w:tcPr>
          <w:p>
            <w:pPr>
              <w:pStyle w:val="TableText"/>
              <w:jc w:val="left"/>
            </w:pPr>
            <w:r>
              <w:rPr>
                <w:rStyle w:val="CodeChar"/>
              </w:rPr>
              <w:t xml:space="preserve">src/rules/</w:t>
            </w:r>
          </w:p>
        </w:tc>
        <w:tc>
          <w:tcPr>
            <w:tcW w:w="3537" w:type="dxa"/>
            <w:shd w:val="clear" w:color="auto" w:fill="F4F7FB"/>
            <w:vAlign w:val="top"/>
          </w:tcPr>
          <w:p>
            <w:pPr>
              <w:pStyle w:val="TableText"/>
              <w:jc w:val="left"/>
            </w:pPr>
            <w:r>
              <w:t xml:space="preserve">JSON Logic subset, decision tables, per-kind validators</w:t>
            </w:r>
          </w:p>
        </w:tc>
      </w:tr>
      <w:tr>
        <w:trPr>
          <w:cantSplit/>
        </w:trPr>
        <w:tc>
          <w:tcPr>
            <w:tcW w:w="1782" w:type="dxa"/>
            <w:vAlign w:val="top"/>
          </w:tcPr>
          <w:p>
            <w:pPr>
              <w:pStyle w:val="TableText"/>
              <w:jc w:val="left"/>
            </w:pPr>
            <w:r>
              <w:t xml:space="preserve">Domain</w:t>
            </w:r>
          </w:p>
        </w:tc>
        <w:tc>
          <w:tcPr>
            <w:tcW w:w="3708" w:type="dxa"/>
            <w:vAlign w:val="top"/>
          </w:tcPr>
          <w:p>
            <w:pPr>
              <w:pStyle w:val="TableText"/>
              <w:jc w:val="left"/>
            </w:pPr>
            <w:r>
              <w:rPr>
                <w:rStyle w:val="CodeChar"/>
              </w:rPr>
              <w:t xml:space="preserve">src/domain/</w:t>
            </w:r>
          </w:p>
        </w:tc>
        <w:tc>
          <w:tcPr>
            <w:tcW w:w="3537" w:type="dxa"/>
            <w:vAlign w:val="top"/>
          </w:tcPr>
          <w:p>
            <w:pPr>
              <w:pStyle w:val="TableText"/>
              <w:jc w:val="left"/>
            </w:pPr>
            <w:r>
              <w:t xml:space="preserve">Identity, enrichment, leads, rating, contact policy, voice dialogue</w:t>
            </w:r>
          </w:p>
        </w:tc>
      </w:tr>
      <w:tr>
        <w:trPr>
          <w:cantSplit/>
        </w:trPr>
        <w:tc>
          <w:tcPr>
            <w:tcW w:w="1782" w:type="dxa"/>
            <w:shd w:val="clear" w:color="auto" w:fill="F4F7FB"/>
            <w:vAlign w:val="top"/>
          </w:tcPr>
          <w:p>
            <w:pPr>
              <w:pStyle w:val="TableText"/>
              <w:jc w:val="left"/>
            </w:pPr>
            <w:r>
              <w:t xml:space="preserve">Application</w:t>
            </w:r>
          </w:p>
        </w:tc>
        <w:tc>
          <w:tcPr>
            <w:tcW w:w="3708" w:type="dxa"/>
            <w:shd w:val="clear" w:color="auto" w:fill="F4F7FB"/>
            <w:vAlign w:val="top"/>
          </w:tcPr>
          <w:p>
            <w:pPr>
              <w:pStyle w:val="TableText"/>
              <w:jc w:val="left"/>
            </w:pPr>
            <w:r>
              <w:rPr>
                <w:rStyle w:val="CodeChar"/>
              </w:rPr>
              <w:t xml:space="preserve">src/application/</w:t>
            </w:r>
          </w:p>
        </w:tc>
        <w:tc>
          <w:tcPr>
            <w:tcW w:w="3537" w:type="dxa"/>
            <w:shd w:val="clear" w:color="auto" w:fill="F4F7FB"/>
            <w:vAlign w:val="top"/>
          </w:tcPr>
          <w:p>
            <w:pPr>
              <w:pStyle w:val="TableText"/>
              <w:jc w:val="left"/>
            </w:pPr>
            <w:r>
              <w:t xml:space="preserve">One service per use-case area, access policy, rules service</w:t>
            </w:r>
          </w:p>
        </w:tc>
      </w:tr>
      <w:tr>
        <w:trPr>
          <w:cantSplit/>
        </w:trPr>
        <w:tc>
          <w:tcPr>
            <w:tcW w:w="1782" w:type="dxa"/>
            <w:vAlign w:val="top"/>
          </w:tcPr>
          <w:p>
            <w:pPr>
              <w:pStyle w:val="TableText"/>
              <w:jc w:val="left"/>
            </w:pPr>
            <w:r>
              <w:t xml:space="preserve">Composition root</w:t>
            </w:r>
          </w:p>
        </w:tc>
        <w:tc>
          <w:tcPr>
            <w:tcW w:w="3708" w:type="dxa"/>
            <w:vAlign w:val="top"/>
          </w:tcPr>
          <w:p>
            <w:pPr>
              <w:pStyle w:val="TableText"/>
              <w:jc w:val="left"/>
            </w:pPr>
            <w:r>
              <w:rPr>
                <w:rStyle w:val="CodeChar"/>
              </w:rPr>
              <w:t xml:space="preserve">src/bootstrap/container.js</w:t>
            </w:r>
          </w:p>
        </w:tc>
        <w:tc>
          <w:tcPr>
            <w:tcW w:w="3537" w:type="dxa"/>
            <w:vAlign w:val="top"/>
          </w:tcPr>
          <w:p>
            <w:pPr>
              <w:pStyle w:val="TableText"/>
              <w:jc w:val="left"/>
            </w:pPr>
            <w:r>
              <w:t xml:space="preserve">Adapter selection, wiring, event subscribers</w:t>
            </w:r>
          </w:p>
        </w:tc>
      </w:tr>
      <w:tr>
        <w:trPr>
          <w:cantSplit/>
        </w:trPr>
        <w:tc>
          <w:tcPr>
            <w:tcW w:w="1782" w:type="dxa"/>
            <w:shd w:val="clear" w:color="auto" w:fill="F4F7FB"/>
            <w:vAlign w:val="top"/>
          </w:tcPr>
          <w:p>
            <w:pPr>
              <w:pStyle w:val="TableText"/>
              <w:jc w:val="left"/>
            </w:pPr>
            <w:r>
              <w:t xml:space="preserve">Persistence</w:t>
            </w:r>
          </w:p>
        </w:tc>
        <w:tc>
          <w:tcPr>
            <w:tcW w:w="3708" w:type="dxa"/>
            <w:shd w:val="clear" w:color="auto" w:fill="F4F7FB"/>
            <w:vAlign w:val="top"/>
          </w:tcPr>
          <w:p>
            <w:pPr>
              <w:pStyle w:val="TableText"/>
              <w:jc w:val="left"/>
            </w:pPr>
            <w:r>
              <w:rPr>
                <w:rStyle w:val="CodeChar"/>
              </w:rPr>
              <w:t xml:space="preserve">src/adapters/persistence/</w:t>
            </w:r>
          </w:p>
        </w:tc>
        <w:tc>
          <w:tcPr>
            <w:tcW w:w="3537" w:type="dxa"/>
            <w:shd w:val="clear" w:color="auto" w:fill="F4F7FB"/>
            <w:vAlign w:val="top"/>
          </w:tcPr>
          <w:p>
            <w:pPr>
              <w:pStyle w:val="TableText"/>
              <w:jc w:val="left"/>
            </w:pPr>
            <w:r>
              <w:t xml:space="preserve">Collection registry, codec, PostgreSQL and in-memory stores, audit chain</w:t>
            </w:r>
          </w:p>
        </w:tc>
      </w:tr>
      <w:tr>
        <w:trPr>
          <w:cantSplit/>
        </w:trPr>
        <w:tc>
          <w:tcPr>
            <w:tcW w:w="1782" w:type="dxa"/>
            <w:vAlign w:val="top"/>
          </w:tcPr>
          <w:p>
            <w:pPr>
              <w:pStyle w:val="TableText"/>
              <w:jc w:val="left"/>
            </w:pPr>
            <w:r>
              <w:t xml:space="preserve">Messaging</w:t>
            </w:r>
          </w:p>
        </w:tc>
        <w:tc>
          <w:tcPr>
            <w:tcW w:w="3708" w:type="dxa"/>
            <w:vAlign w:val="top"/>
          </w:tcPr>
          <w:p>
            <w:pPr>
              <w:pStyle w:val="TableText"/>
              <w:jc w:val="left"/>
            </w:pPr>
            <w:r>
              <w:rPr>
                <w:rStyle w:val="CodeChar"/>
              </w:rPr>
              <w:t xml:space="preserve">src/adapters/messaging/</w:t>
            </w:r>
          </w:p>
        </w:tc>
        <w:tc>
          <w:tcPr>
            <w:tcW w:w="3537" w:type="dxa"/>
            <w:vAlign w:val="top"/>
          </w:tcPr>
          <w:p>
            <w:pPr>
              <w:pStyle w:val="TableText"/>
              <w:jc w:val="left"/>
            </w:pPr>
            <w:r>
              <w:t xml:space="preserve">Outbox event bus</w:t>
            </w:r>
          </w:p>
        </w:tc>
      </w:tr>
      <w:tr>
        <w:trPr>
          <w:cantSplit/>
        </w:trPr>
        <w:tc>
          <w:tcPr>
            <w:tcW w:w="1782" w:type="dxa"/>
            <w:shd w:val="clear" w:color="auto" w:fill="F4F7FB"/>
            <w:vAlign w:val="top"/>
          </w:tcPr>
          <w:p>
            <w:pPr>
              <w:pStyle w:val="TableText"/>
              <w:jc w:val="left"/>
            </w:pPr>
            <w:r>
              <w:t xml:space="preserve">Integrations</w:t>
            </w:r>
          </w:p>
        </w:tc>
        <w:tc>
          <w:tcPr>
            <w:tcW w:w="3708" w:type="dxa"/>
            <w:shd w:val="clear" w:color="auto" w:fill="F4F7FB"/>
            <w:vAlign w:val="top"/>
          </w:tcPr>
          <w:p>
            <w:pPr>
              <w:pStyle w:val="TableText"/>
              <w:jc w:val="left"/>
            </w:pPr>
            <w:r>
              <w:rPr>
                <w:rStyle w:val="CodeChar"/>
              </w:rPr>
              <w:t xml:space="preserve">src/adapters/integrations/</w:t>
            </w:r>
          </w:p>
        </w:tc>
        <w:tc>
          <w:tcPr>
            <w:tcW w:w="3537" w:type="dxa"/>
            <w:shd w:val="clear" w:color="auto" w:fill="F4F7FB"/>
            <w:vAlign w:val="top"/>
          </w:tcPr>
          <w:p>
            <w:pPr>
              <w:pStyle w:val="TableText"/>
              <w:jc w:val="left"/>
            </w:pPr>
            <w:r>
              <w:t xml:space="preserve">TASCO core REST client, simulated core, sandbox gateways, simulated caller, synthetic VETC source</w:t>
            </w:r>
          </w:p>
        </w:tc>
      </w:tr>
      <w:tr>
        <w:trPr>
          <w:cantSplit/>
        </w:trPr>
        <w:tc>
          <w:tcPr>
            <w:tcW w:w="1782" w:type="dxa"/>
            <w:vAlign w:val="top"/>
          </w:tcPr>
          <w:p>
            <w:pPr>
              <w:pStyle w:val="TableText"/>
              <w:jc w:val="left"/>
            </w:pPr>
            <w:r>
              <w:t xml:space="preserve">HTTP</w:t>
            </w:r>
          </w:p>
        </w:tc>
        <w:tc>
          <w:tcPr>
            <w:tcW w:w="3708" w:type="dxa"/>
            <w:vAlign w:val="top"/>
          </w:tcPr>
          <w:p>
            <w:pPr>
              <w:pStyle w:val="TableText"/>
              <w:jc w:val="left"/>
            </w:pPr>
            <w:r>
              <w:rPr>
                <w:rStyle w:val="CodeChar"/>
              </w:rPr>
              <w:t xml:space="preserve">src/adapters/http/</w:t>
            </w:r>
          </w:p>
        </w:tc>
        <w:tc>
          <w:tcPr>
            <w:tcW w:w="3537" w:type="dxa"/>
            <w:vAlign w:val="top"/>
          </w:tcPr>
          <w:p>
            <w:pPr>
              <w:pStyle w:val="TableText"/>
              <w:jc w:val="left"/>
            </w:pPr>
            <w:r>
              <w:t xml:space="preserve">Request pipeline, route table, router, OpenAPI generator, security headers</w:t>
            </w:r>
          </w:p>
        </w:tc>
      </w:tr>
      <w:tr>
        <w:trPr>
          <w:cantSplit/>
        </w:trPr>
        <w:tc>
          <w:tcPr>
            <w:tcW w:w="1782" w:type="dxa"/>
            <w:shd w:val="clear" w:color="auto" w:fill="F4F7FB"/>
            <w:vAlign w:val="top"/>
          </w:tcPr>
          <w:p>
            <w:pPr>
              <w:pStyle w:val="TableText"/>
              <w:jc w:val="left"/>
            </w:pPr>
            <w:r>
              <w:t xml:space="preserve">Processes</w:t>
            </w:r>
          </w:p>
        </w:tc>
        <w:tc>
          <w:tcPr>
            <w:tcW w:w="3708" w:type="dxa"/>
            <w:shd w:val="clear" w:color="auto" w:fill="F4F7FB"/>
            <w:vAlign w:val="top"/>
          </w:tcPr>
          <w:p>
            <w:pPr>
              <w:pStyle w:val="TableText"/>
              <w:jc w:val="left"/>
            </w:pPr>
            <w:r>
              <w:rPr>
                <w:rStyle w:val="CodeChar"/>
              </w:rPr>
              <w:t xml:space="preserve">src/server.js</w:t>
            </w:r>
            <w:r>
              <w:t xml:space="preserve">,</w:t>
            </w:r>
            <w:r>
              <w:t xml:space="preserve"> </w:t>
            </w:r>
            <w:r>
              <w:rPr>
                <w:rStyle w:val="CodeChar"/>
              </w:rPr>
              <w:t xml:space="preserve">src/jobs/cli.js</w:t>
            </w:r>
          </w:p>
        </w:tc>
        <w:tc>
          <w:tcPr>
            <w:tcW w:w="3537" w:type="dxa"/>
            <w:shd w:val="clear" w:color="auto" w:fill="F4F7FB"/>
            <w:vAlign w:val="top"/>
          </w:tcPr>
          <w:p>
            <w:pPr>
              <w:pStyle w:val="TableText"/>
              <w:jc w:val="left"/>
            </w:pPr>
            <w:r>
              <w:t xml:space="preserve">API server and batch jobs</w:t>
            </w:r>
          </w:p>
        </w:tc>
      </w:tr>
      <w:tr>
        <w:trPr>
          <w:cantSplit/>
        </w:trPr>
        <w:tc>
          <w:tcPr>
            <w:tcW w:w="1782" w:type="dxa"/>
            <w:vAlign w:val="top"/>
          </w:tcPr>
          <w:p>
            <w:pPr>
              <w:pStyle w:val="TableText"/>
              <w:jc w:val="left"/>
            </w:pPr>
            <w:r>
              <w:t xml:space="preserve">Configuration</w:t>
            </w:r>
          </w:p>
        </w:tc>
        <w:tc>
          <w:tcPr>
            <w:tcW w:w="3708" w:type="dxa"/>
            <w:vAlign w:val="top"/>
          </w:tcPr>
          <w:p>
            <w:pPr>
              <w:pStyle w:val="TableText"/>
              <w:jc w:val="left"/>
            </w:pPr>
            <w:r>
              <w:rPr>
                <w:rStyle w:val="CodeChar"/>
              </w:rPr>
              <w:t xml:space="preserve">config/rules/</w:t>
            </w:r>
            <w:r>
              <w:t xml:space="preserve">,</w:t>
            </w:r>
            <w:r>
              <w:t xml:space="preserve"> </w:t>
            </w:r>
            <w:r>
              <w:rPr>
                <w:rStyle w:val="CodeChar"/>
              </w:rPr>
              <w:t xml:space="preserve">config/security/rbac.json</w:t>
            </w:r>
          </w:p>
        </w:tc>
        <w:tc>
          <w:tcPr>
            <w:tcW w:w="3537" w:type="dxa"/>
            <w:vAlign w:val="top"/>
          </w:tcPr>
          <w:p>
            <w:pPr>
              <w:pStyle w:val="TableText"/>
              <w:jc w:val="left"/>
            </w:pPr>
            <w:r>
              <w:t xml:space="preserve">Rule kinds; roles, separation of duties, restricted rule kinds</w:t>
            </w:r>
          </w:p>
        </w:tc>
      </w:tr>
      <w:tr>
        <w:trPr>
          <w:cantSplit/>
        </w:trPr>
        <w:tc>
          <w:tcPr>
            <w:tcW w:w="1782" w:type="dxa"/>
            <w:shd w:val="clear" w:color="auto" w:fill="F4F7FB"/>
            <w:vAlign w:val="top"/>
          </w:tcPr>
          <w:p>
            <w:pPr>
              <w:pStyle w:val="TableText"/>
              <w:jc w:val="left"/>
            </w:pPr>
            <w:r>
              <w:t xml:space="preserve">Schema</w:t>
            </w:r>
          </w:p>
        </w:tc>
        <w:tc>
          <w:tcPr>
            <w:tcW w:w="3708" w:type="dxa"/>
            <w:shd w:val="clear" w:color="auto" w:fill="F4F7FB"/>
            <w:vAlign w:val="top"/>
          </w:tcPr>
          <w:p>
            <w:pPr>
              <w:pStyle w:val="TableText"/>
              <w:jc w:val="left"/>
            </w:pPr>
            <w:r>
              <w:rPr>
                <w:rStyle w:val="CodeChar"/>
              </w:rPr>
              <w:t xml:space="preserve">db/migrations/</w:t>
            </w:r>
          </w:p>
        </w:tc>
        <w:tc>
          <w:tcPr>
            <w:tcW w:w="3537" w:type="dxa"/>
            <w:shd w:val="clear" w:color="auto" w:fill="F4F7FB"/>
            <w:vAlign w:val="top"/>
          </w:tcPr>
          <w:p>
            <w:pPr>
              <w:pStyle w:val="TableText"/>
              <w:jc w:val="left"/>
            </w:pPr>
            <w:r>
              <w:t xml:space="preserve">Collection tables, audit log, integrity hardening</w:t>
            </w:r>
          </w:p>
        </w:tc>
      </w:tr>
      <w:tr>
        <w:trPr>
          <w:cantSplit/>
        </w:trPr>
        <w:tc>
          <w:tcPr>
            <w:tcW w:w="1782" w:type="dxa"/>
            <w:vAlign w:val="top"/>
          </w:tcPr>
          <w:p>
            <w:pPr>
              <w:pStyle w:val="TableText"/>
              <w:jc w:val="left"/>
            </w:pPr>
            <w:r>
              <w:t xml:space="preserve">Deployment</w:t>
            </w:r>
          </w:p>
        </w:tc>
        <w:tc>
          <w:tcPr>
            <w:tcW w:w="3708" w:type="dxa"/>
            <w:vAlign w:val="top"/>
          </w:tcPr>
          <w:p>
            <w:pPr>
              <w:pStyle w:val="TableText"/>
              <w:jc w:val="left"/>
            </w:pPr>
            <w:r>
              <w:rPr>
                <w:rStyle w:val="CodeChar"/>
              </w:rPr>
              <w:t xml:space="preserve">Dockerfile</w:t>
            </w:r>
            <w:r>
              <w:t xml:space="preserve">,</w:t>
            </w:r>
            <w:r>
              <w:t xml:space="preserve"> </w:t>
            </w:r>
            <w:r>
              <w:rPr>
                <w:rStyle w:val="CodeChar"/>
              </w:rPr>
              <w:t xml:space="preserve">deploy/k8s/</w:t>
            </w:r>
            <w:r>
              <w:t xml:space="preserve">,</w:t>
            </w:r>
            <w:r>
              <w:t xml:space="preserve"> </w:t>
            </w:r>
            <w:r>
              <w:rPr>
                <w:rStyle w:val="CodeChar"/>
              </w:rPr>
              <w:t xml:space="preserve">railway.json</w:t>
            </w:r>
            <w:r>
              <w:t xml:space="preserve">,</w:t>
            </w:r>
            <w:r>
              <w:t xml:space="preserve"> </w:t>
            </w:r>
            <w:r>
              <w:rPr>
                <w:rStyle w:val="CodeChar"/>
              </w:rPr>
              <w:t xml:space="preserve">.github/workflows/ci.yml</w:t>
            </w:r>
          </w:p>
        </w:tc>
        <w:tc>
          <w:tcPr>
            <w:tcW w:w="3537" w:type="dxa"/>
            <w:vAlign w:val="top"/>
          </w:tcPr>
          <w:p>
            <w:pPr>
              <w:pStyle w:val="TableText"/>
              <w:jc w:val="left"/>
            </w:pPr>
            <w:r>
              <w:t xml:space="preserve">Image, manifests, UAT hosting, pipeline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38" w:name="_Toc300000034"/>
      <w:r>
        <w:rPr>
          <w:rStyle w:val="BookTitle"/>
          <w:bCs w:val="0"/>
          <w:i w:val="0"/>
          <w:iCs w:val="0"/>
          <w:spacing w:val="0"/>
        </w:rPr>
        <w:t xml:space="preserve">Sign-Off</w:t>
      </w:r>
      <w:bookmarkEnd w:id="3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583"/>
        <w:gridCol w:w="2500"/>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583"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500"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58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Rating mode for TASCO core outages (core only or core with indicative fallback)</w:t>
            </w:r>
          </w:p>
        </w:tc>
        <w:tc>
          <w:tcPr>
            <w:tcW w:w="250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 and Underwriting</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58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TASCO core interface specification for rating, catalogue, issuance and policy extract</w:t>
            </w:r>
          </w:p>
        </w:tc>
        <w:tc>
          <w:tcPr>
            <w:tcW w:w="250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58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Hosting provider in Vietnam and data-residency position</w:t>
            </w:r>
          </w:p>
        </w:tc>
        <w:tc>
          <w:tcPr>
            <w:tcW w:w="250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and 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458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Classification of licence plates as personal data</w:t>
            </w:r>
          </w:p>
        </w:tc>
        <w:tc>
          <w:tcPr>
            <w:tcW w:w="250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 and DPO</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73"/>
        <w:gridCol w:w="1690"/>
        <w:gridCol w:w="2648"/>
        <w:gridCol w:w="3616"/>
      </w:tblGrid>
      <w:tr w:rsidR="002B183A" w14:paraId="731A77C7" w14:textId="77777777" w:rsidTr="002923F3">
        <w:trPr>
          <w:cantSplit/>
          <w:trHeight w:val="440"/>
          <w:tblHeader/>
        </w:trPr>
        <w:tc>
          <w:tcPr>
            <w:tcW w:w="1073"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90"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48"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16"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Architecture</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Solution Architecture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 Id="rIdG4" Type="http://schemas.openxmlformats.org/officeDocument/2006/relationships/image" Target="media/body_004.png"/><Relationship Id="rIdG5" Type="http://schemas.openxmlformats.org/officeDocument/2006/relationships/image" Target="media/body_005.png"/><Relationship Id="rIdG6" Type="http://schemas.openxmlformats.org/officeDocument/2006/relationships/image" Target="media/body_006.png"/><Relationship Id="rIdG7" Type="http://schemas.openxmlformats.org/officeDocument/2006/relationships/image" Target="media/body_007.png"/><Relationship Id="rIdG8" Type="http://schemas.openxmlformats.org/officeDocument/2006/relationships/image" Target="media/body_008.png"/><Relationship Id="rIdG9" Type="http://schemas.openxmlformats.org/officeDocument/2006/relationships/image" Target="media/body_009.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TGP-ARC-01</dc:subject>
  <dc:creator>iorta TechNXT</dc:creator>
  <cp:keywords>TGP-ARC-01; TASCO Insurance; iorta TechNXT</cp:keywords>
  <dc:description>TASCO Motor Insurance Growth Platform</dc:description>
  <cp:lastModifiedBy>iorta TechNXT</cp:lastModifiedBy>
  <cp:revision>1</cp:revision>
  <dcterms:created xsi:type="dcterms:W3CDTF">2026-10-08T02:23:06Z</dcterms:created>
  <dcterms:modified xsi:type="dcterms:W3CDTF">2026-10-08T02:23:06Z</dcterms:modified>
</cp:coreProperties>
</file>