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TGP-ARC-04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Security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1"/>
      </w:pPr>
      <w:hyperlink w:anchor="_Toc300000008" w:history="1">
        <w:r>
          <w:rPr>
            <w:noProof/>
          </w:rPr>
          <w:t>4.</w:t>
        </w:r>
        <w:r>
          <w:rPr>
            <w:noProof/>
          </w:rPr>
          <w:tab/>
        </w:r>
        <w:r>
          <w:rPr>
            <w:noProof/>
          </w:rPr>
          <w:t xml:space="preserve">Assets and security objectives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1"/>
      </w:pPr>
      <w:hyperlink w:anchor="_Toc300000009" w:history="1">
        <w:r>
          <w:rPr>
            <w:noProof/>
          </w:rPr>
          <w:t>5.</w:t>
        </w:r>
        <w:r>
          <w:rPr>
            <w:noProof/>
          </w:rPr>
          <w:tab/>
        </w:r>
        <w:r>
          <w:rPr>
            <w:noProof/>
          </w:rPr>
          <w:t xml:space="preserve">Trust boundaries and zero trust</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2"/>
      </w:pPr>
      <w:hyperlink w:anchor="_Toc300000010" w:history="1">
        <w:r>
          <w:rPr>
            <w:noProof/>
          </w:rPr>
          <w:t>5.1.</w:t>
        </w:r>
        <w:r>
          <w:rPr>
            <w:noProof/>
          </w:rPr>
          <w:tab/>
        </w:r>
        <w:r>
          <w:rPr>
            <w:noProof/>
          </w:rPr>
          <w:t xml:space="preserve">Trust boundaries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w:t>
        </w:r>
        <w:r>
          <w:rPr>
            <w:noProof/>
            <w:webHidden/>
          </w:rPr>
          <w:fldChar w:fldCharType="end"/>
        </w:r>
      </w:hyperlink>
    </w:p>
    <w:p>
      <w:pPr>
        <w:pStyle w:val="TOC2"/>
      </w:pPr>
      <w:hyperlink w:anchor="_Toc300000011" w:history="1">
        <w:r>
          <w:rPr>
            <w:noProof/>
          </w:rPr>
          <w:t>5.2.</w:t>
        </w:r>
        <w:r>
          <w:rPr>
            <w:noProof/>
          </w:rPr>
          <w:tab/>
        </w:r>
        <w:r>
          <w:rPr>
            <w:noProof/>
          </w:rPr>
          <w:t xml:space="preserve">Zero-trust controls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7</w:t>
        </w:r>
        <w:r>
          <w:rPr>
            <w:noProof/>
            <w:webHidden/>
          </w:rPr>
          <w:fldChar w:fldCharType="end"/>
        </w:r>
      </w:hyperlink>
    </w:p>
    <w:p>
      <w:pPr>
        <w:pStyle w:val="TOC1"/>
      </w:pPr>
      <w:hyperlink w:anchor="_Toc300000012" w:history="1">
        <w:r>
          <w:rPr>
            <w:noProof/>
          </w:rPr>
          <w:t>6.</w:t>
        </w:r>
        <w:r>
          <w:rPr>
            <w:noProof/>
          </w:rPr>
          <w:tab/>
        </w:r>
        <w:r>
          <w:rPr>
            <w:noProof/>
          </w:rPr>
          <w:t xml:space="preserve">Threat model</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1"/>
      </w:pPr>
      <w:hyperlink w:anchor="_Toc300000013" w:history="1">
        <w:r>
          <w:rPr>
            <w:noProof/>
          </w:rPr>
          <w:t>7.</w:t>
        </w:r>
        <w:r>
          <w:rPr>
            <w:noProof/>
          </w:rPr>
          <w:tab/>
        </w:r>
        <w:r>
          <w:rPr>
            <w:noProof/>
          </w:rPr>
          <w:t xml:space="preserve">Identity and authentication</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9</w:t>
        </w:r>
        <w:r>
          <w:rPr>
            <w:noProof/>
            <w:webHidden/>
          </w:rPr>
          <w:fldChar w:fldCharType="end"/>
        </w:r>
      </w:hyperlink>
    </w:p>
    <w:p>
      <w:pPr>
        <w:pStyle w:val="TOC1"/>
      </w:pPr>
      <w:hyperlink w:anchor="_Toc300000014" w:history="1">
        <w:r>
          <w:rPr>
            <w:noProof/>
          </w:rPr>
          <w:t>8.</w:t>
        </w:r>
        <w:r>
          <w:rPr>
            <w:noProof/>
          </w:rPr>
          <w:tab/>
        </w:r>
        <w:r>
          <w:rPr>
            <w:noProof/>
          </w:rPr>
          <w:t xml:space="preserve">Authorisation</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2"/>
      </w:pPr>
      <w:hyperlink w:anchor="_Toc300000015" w:history="1">
        <w:r>
          <w:rPr>
            <w:noProof/>
          </w:rPr>
          <w:t>8.1.</w:t>
        </w:r>
        <w:r>
          <w:rPr>
            <w:noProof/>
          </w:rPr>
          <w:tab/>
        </w:r>
        <w:r>
          <w:rPr>
            <w:noProof/>
          </w:rPr>
          <w:t xml:space="preserve">Roles and capabilities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10</w:t>
        </w:r>
        <w:r>
          <w:rPr>
            <w:noProof/>
            <w:webHidden/>
          </w:rPr>
          <w:fldChar w:fldCharType="end"/>
        </w:r>
      </w:hyperlink>
    </w:p>
    <w:p>
      <w:pPr>
        <w:pStyle w:val="TOC2"/>
      </w:pPr>
      <w:hyperlink w:anchor="_Toc300000016" w:history="1">
        <w:r>
          <w:rPr>
            <w:noProof/>
          </w:rPr>
          <w:t>8.2.</w:t>
        </w:r>
        <w:r>
          <w:rPr>
            <w:noProof/>
          </w:rPr>
          <w:tab/>
        </w:r>
        <w:r>
          <w:rPr>
            <w:noProof/>
          </w:rPr>
          <w:t xml:space="preserve">Permissions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2"/>
      </w:pPr>
      <w:hyperlink w:anchor="_Toc300000017" w:history="1">
        <w:r>
          <w:rPr>
            <w:noProof/>
          </w:rPr>
          <w:t>8.3.</w:t>
        </w:r>
        <w:r>
          <w:rPr>
            <w:noProof/>
          </w:rPr>
          <w:tab/>
        </w:r>
        <w:r>
          <w:rPr>
            <w:noProof/>
          </w:rPr>
          <w:t xml:space="preserve">Separation of duties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11</w:t>
        </w:r>
        <w:r>
          <w:rPr>
            <w:noProof/>
            <w:webHidden/>
          </w:rPr>
          <w:fldChar w:fldCharType="end"/>
        </w:r>
      </w:hyperlink>
    </w:p>
    <w:p>
      <w:pPr>
        <w:pStyle w:val="TOC2"/>
      </w:pPr>
      <w:hyperlink w:anchor="_Toc300000018" w:history="1">
        <w:r>
          <w:rPr>
            <w:noProof/>
          </w:rPr>
          <w:t>8.4.</w:t>
        </w:r>
        <w:r>
          <w:rPr>
            <w:noProof/>
          </w:rPr>
          <w:tab/>
        </w:r>
        <w:r>
          <w:rPr>
            <w:noProof/>
          </w:rPr>
          <w:t xml:space="preserve">Attribute-based policies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12</w:t>
        </w:r>
        <w:r>
          <w:rPr>
            <w:noProof/>
            <w:webHidden/>
          </w:rPr>
          <w:fldChar w:fldCharType="end"/>
        </w:r>
      </w:hyperlink>
    </w:p>
    <w:p>
      <w:pPr>
        <w:pStyle w:val="TOC2"/>
      </w:pPr>
      <w:hyperlink w:anchor="_Toc300000019" w:history="1">
        <w:r>
          <w:rPr>
            <w:noProof/>
          </w:rPr>
          <w:t>8.5.</w:t>
        </w:r>
        <w:r>
          <w:rPr>
            <w:noProof/>
          </w:rPr>
          <w:tab/>
        </w:r>
        <w:r>
          <w:rPr>
            <w:noProof/>
          </w:rPr>
          <w:t xml:space="preserve">Masking</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12</w:t>
        </w:r>
        <w:r>
          <w:rPr>
            <w:noProof/>
            <w:webHidden/>
          </w:rPr>
          <w:fldChar w:fldCharType="end"/>
        </w:r>
      </w:hyperlink>
    </w:p>
    <w:p>
      <w:pPr>
        <w:pStyle w:val="TOC1"/>
      </w:pPr>
      <w:hyperlink w:anchor="_Toc300000020" w:history="1">
        <w:r>
          <w:rPr>
            <w:noProof/>
          </w:rPr>
          <w:t>9.</w:t>
        </w:r>
        <w:r>
          <w:rPr>
            <w:noProof/>
          </w:rPr>
          <w:tab/>
        </w:r>
        <w:r>
          <w:rPr>
            <w:noProof/>
          </w:rPr>
          <w:t xml:space="preserve">Data protection and cryptography</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12</w:t>
        </w:r>
        <w:r>
          <w:rPr>
            <w:noProof/>
            <w:webHidden/>
          </w:rPr>
          <w:fldChar w:fldCharType="end"/>
        </w:r>
      </w:hyperlink>
    </w:p>
    <w:p>
      <w:pPr>
        <w:pStyle w:val="TOC1"/>
      </w:pPr>
      <w:hyperlink w:anchor="_Toc300000021" w:history="1">
        <w:r>
          <w:rPr>
            <w:noProof/>
          </w:rPr>
          <w:t>10.</w:t>
        </w:r>
        <w:r>
          <w:rPr>
            <w:noProof/>
          </w:rPr>
          <w:tab/>
        </w:r>
        <w:r>
          <w:rPr>
            <w:noProof/>
          </w:rPr>
          <w:t xml:space="preserve">Application security</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13</w:t>
        </w:r>
        <w:r>
          <w:rPr>
            <w:noProof/>
            <w:webHidden/>
          </w:rPr>
          <w:fldChar w:fldCharType="end"/>
        </w:r>
      </w:hyperlink>
    </w:p>
    <w:p>
      <w:pPr>
        <w:pStyle w:val="TOC2"/>
      </w:pPr>
      <w:hyperlink w:anchor="_Toc300000022" w:history="1">
        <w:r>
          <w:rPr>
            <w:noProof/>
          </w:rPr>
          <w:t>10.1.</w:t>
        </w:r>
        <w:r>
          <w:rPr>
            <w:noProof/>
          </w:rPr>
          <w:tab/>
        </w:r>
        <w:r>
          <w:rPr>
            <w:noProof/>
          </w:rPr>
          <w:t xml:space="preserve">Input, data access and output</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13</w:t>
        </w:r>
        <w:r>
          <w:rPr>
            <w:noProof/>
            <w:webHidden/>
          </w:rPr>
          <w:fldChar w:fldCharType="end"/>
        </w:r>
      </w:hyperlink>
    </w:p>
    <w:p>
      <w:pPr>
        <w:pStyle w:val="TOC2"/>
      </w:pPr>
      <w:hyperlink w:anchor="_Toc300000023" w:history="1">
        <w:r>
          <w:rPr>
            <w:noProof/>
          </w:rPr>
          <w:t>10.2.</w:t>
        </w:r>
        <w:r>
          <w:rPr>
            <w:noProof/>
          </w:rPr>
          <w:tab/>
        </w:r>
        <w:r>
          <w:rPr>
            <w:noProof/>
          </w:rPr>
          <w:t xml:space="preserve">OWASP Top 10 (2021)</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13</w:t>
        </w:r>
        <w:r>
          <w:rPr>
            <w:noProof/>
            <w:webHidden/>
          </w:rPr>
          <w:fldChar w:fldCharType="end"/>
        </w:r>
      </w:hyperlink>
    </w:p>
    <w:p>
      <w:pPr>
        <w:pStyle w:val="TOC2"/>
      </w:pPr>
      <w:hyperlink w:anchor="_Toc300000024" w:history="1">
        <w:r>
          <w:rPr>
            <w:noProof/>
          </w:rPr>
          <w:t>10.3.</w:t>
        </w:r>
        <w:r>
          <w:rPr>
            <w:noProof/>
          </w:rPr>
          <w:tab/>
        </w:r>
        <w:r>
          <w:rPr>
            <w:noProof/>
          </w:rPr>
          <w:t xml:space="preserve">OWASP ASVS Level 2 summary</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14</w:t>
        </w:r>
        <w:r>
          <w:rPr>
            <w:noProof/>
            <w:webHidden/>
          </w:rPr>
          <w:fldChar w:fldCharType="end"/>
        </w:r>
      </w:hyperlink>
    </w:p>
    <w:p>
      <w:pPr>
        <w:pStyle w:val="TOC1"/>
      </w:pPr>
      <w:hyperlink w:anchor="_Toc300000025" w:history="1">
        <w:r>
          <w:rPr>
            <w:noProof/>
          </w:rPr>
          <w:t>11.</w:t>
        </w:r>
        <w:r>
          <w:rPr>
            <w:noProof/>
          </w:rPr>
          <w:tab/>
        </w:r>
        <w:r>
          <w:rPr>
            <w:noProof/>
          </w:rPr>
          <w:t xml:space="preserve">Security logging, monitoring and audit</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15</w:t>
        </w:r>
        <w:r>
          <w:rPr>
            <w:noProof/>
            <w:webHidden/>
          </w:rPr>
          <w:fldChar w:fldCharType="end"/>
        </w:r>
      </w:hyperlink>
    </w:p>
    <w:p>
      <w:pPr>
        <w:pStyle w:val="TOC1"/>
      </w:pPr>
      <w:hyperlink w:anchor="_Toc300000026" w:history="1">
        <w:r>
          <w:rPr>
            <w:noProof/>
          </w:rPr>
          <w:t>12.</w:t>
        </w:r>
        <w:r>
          <w:rPr>
            <w:noProof/>
          </w:rPr>
          <w:tab/>
        </w:r>
        <w:r>
          <w:rPr>
            <w:noProof/>
          </w:rPr>
          <w:t xml:space="preserve">Secure delivery pipeline</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16</w:t>
        </w:r>
        <w:r>
          <w:rPr>
            <w:noProof/>
            <w:webHidden/>
          </w:rPr>
          <w:fldChar w:fldCharType="end"/>
        </w:r>
      </w:hyperlink>
    </w:p>
    <w:p>
      <w:pPr>
        <w:pStyle w:val="TOC1"/>
      </w:pPr>
      <w:hyperlink w:anchor="_Toc300000027" w:history="1">
        <w:r>
          <w:rPr>
            <w:noProof/>
          </w:rPr>
          <w:t>13.</w:t>
        </w:r>
        <w:r>
          <w:rPr>
            <w:noProof/>
          </w:rPr>
          <w:tab/>
        </w:r>
        <w:r>
          <w:rPr>
            <w:noProof/>
          </w:rPr>
          <w:t xml:space="preserve">Security controls and residual risks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17</w:t>
        </w:r>
        <w:r>
          <w:rPr>
            <w:noProof/>
            <w:webHidden/>
          </w:rPr>
          <w:fldChar w:fldCharType="end"/>
        </w:r>
      </w:hyperlink>
    </w:p>
    <w:p>
      <w:pPr>
        <w:pStyle w:val="TOC1"/>
      </w:pPr>
      <w:hyperlink w:anchor="_Toc300000028" w:history="1">
        <w:r>
          <w:rPr>
            <w:noProof/>
          </w:rPr>
          <w:t>14.</w:t>
        </w:r>
        <w:r>
          <w:rPr>
            <w:noProof/>
          </w:rPr>
          <w:tab/>
        </w:r>
        <w:r>
          <w:rPr>
            <w:noProof/>
          </w:rPr>
          <w:t xml:space="preserve">Penetration test readiness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19</w:t>
        </w:r>
        <w:r>
          <w:rPr>
            <w:noProof/>
            <w:webHidden/>
          </w:rPr>
          <w:fldChar w:fldCharType="end"/>
        </w:r>
      </w:hyperlink>
    </w:p>
    <w:p>
      <w:pPr>
        <w:pStyle w:val="TOC1"/>
      </w:pPr>
      <w:hyperlink w:anchor="_Toc300000029" w:history="1">
        <w:r>
          <w:rPr>
            <w:noProof/>
          </w:rPr>
          <w:t>15.</w:t>
        </w:r>
        <w:r>
          <w:rPr>
            <w:noProof/>
          </w:rPr>
          <w:tab/>
        </w:r>
        <w:r>
          <w:rPr>
            <w:noProof/>
          </w:rPr>
          <w:t xml:space="preserve">Security incident response</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19</w:t>
        </w:r>
        <w:r>
          <w:rPr>
            <w:noProof/>
            <w:webHidden/>
          </w:rPr>
          <w:fldChar w:fldCharType="end"/>
        </w:r>
      </w:hyperlink>
    </w:p>
    <w:p>
      <w:pPr>
        <w:pStyle w:val="TOC1"/>
      </w:pPr>
      <w:hyperlink w:anchor="_Toc300000030" w:history="1">
        <w:r>
          <w:rPr>
            <w:noProof/>
          </w:rPr>
          <w:t>16.</w:t>
        </w:r>
        <w:r>
          <w:rPr>
            <w:noProof/>
          </w:rPr>
          <w:tab/>
        </w:r>
        <w:r>
          <w:rPr>
            <w:noProof/>
          </w:rPr>
          <w:t xml:space="preserve">Appendix</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20</w:t>
        </w:r>
        <w:r>
          <w:rPr>
            <w:noProof/>
            <w:webHidden/>
          </w:rPr>
          <w:fldChar w:fldCharType="end"/>
        </w:r>
      </w:hyperlink>
    </w:p>
    <w:p>
      <w:pPr>
        <w:pStyle w:val="TOC2"/>
      </w:pPr>
      <w:hyperlink w:anchor="_Toc300000031" w:history="1">
        <w:r>
          <w:rPr>
            <w:noProof/>
          </w:rPr>
          <w:t>16.1.</w:t>
        </w:r>
        <w:r>
          <w:rPr>
            <w:noProof/>
          </w:rPr>
          <w:tab/>
        </w:r>
        <w:r>
          <w:rPr>
            <w:noProof/>
          </w:rPr>
          <w:t xml:space="preserve">Regulatory references</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20</w:t>
        </w:r>
        <w:r>
          <w:rPr>
            <w:noProof/>
            <w:webHidden/>
          </w:rPr>
          <w:fldChar w:fldCharType="end"/>
        </w:r>
      </w:hyperlink>
    </w:p>
    <w:p>
      <w:pPr>
        <w:pStyle w:val="TOC1"/>
      </w:pPr>
      <w:hyperlink w:anchor="_Toc300000032" w:history="1">
        <w:r>
          <w:rPr>
            <w:noProof/>
          </w:rPr>
          <w:t>17.</w:t>
        </w:r>
        <w:r>
          <w:rPr>
            <w:noProof/>
          </w:rPr>
          <w:tab/>
        </w:r>
        <w:r>
          <w:rPr>
            <w:noProof/>
          </w:rPr>
          <w:t xml:space="preserve">Sign-Off</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21</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175"/>
        <w:gridCol w:w="905"/>
        <w:gridCol w:w="1663"/>
        <w:gridCol w:w="2152"/>
        <w:gridCol w:w="1956"/>
        <w:gridCol w:w="1176"/>
      </w:tblGrid>
      <w:tr w:rsidR="002B183A" w14:paraId="4E198CD6" w14:textId="77777777" w:rsidTr="002923F3">
        <w:trPr>
          <w:cantSplit/>
          <w:trHeight w:val="440"/>
          <w:tblHeader/>
        </w:trPr>
        <w:tc>
          <w:tcPr>
            <w:tcW w:w="1175"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05"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663"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2152"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956"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176"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175"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05"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663"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Solution Architecture</w:t>
            </w:r>
          </w:p>
        </w:tc>
        <w:tc>
          <w:tcPr>
            <w:tcW w:w="2152"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Information Security</w:t>
            </w:r>
          </w:p>
        </w:tc>
        <w:tc>
          <w:tcPr>
            <w:tcW w:w="1956"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176"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311"/>
        <w:gridCol w:w="7716"/>
      </w:tblGrid>
      <w:tr w:rsidR="002B183A" w14:paraId="388F227F" w14:textId="77777777" w:rsidTr="002923F3">
        <w:trPr>
          <w:cantSplit/>
          <w:trHeight w:val="440"/>
          <w:tblHeader/>
        </w:trPr>
        <w:tc>
          <w:tcPr>
            <w:tcW w:w="1311"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716"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AI</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Artificial intelligence</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ASVS</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 Application Security Verification Standard</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CA</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Certificate authority</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CI/CD</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 and continuous delivery</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CSP</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Content Security Policy</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DSAR</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subject access request</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HSTS</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 Strict Transport Security</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IV</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Initialisation vector</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KMS</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management service</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LTS</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Long-term support</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mTLS</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Mutual Transport Layer Security</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OIDC</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OpenID Connect</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PKCE</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Proof Key for Code Exchange</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RBAC</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Role-based access control</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RFC</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Request for Comments (IETF standard)</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SBOM</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Software bill of materials</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SIEM</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Security information and event management</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SSRF</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Server-side request forgery</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STRIDE</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Spoofing, tampering, repudiation, information disclosure, denial of service, elevation of privilege</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TOTP</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Time-based one-time password</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URL</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Uniform resource locator</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 Electronic Toll Collection</w:t>
            </w:r>
          </w:p>
        </w:tc>
      </w:tr>
      <w:tr w:rsidR="002B183A" w:rsidRPr="00BB346A" w14:paraId="73CFB63E" w14:textId="77777777" w:rsidTr="002923F3">
        <w:trPr>
          <w:cantSplit/>
          <w:trHeight w:val="449"/>
        </w:trPr>
        <w:tc>
          <w:tcPr>
            <w:tcW w:w="131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WAF</w:t>
            </w:r>
          </w:p>
        </w:tc>
        <w:tc>
          <w:tcPr>
            <w:tcW w:w="771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application firewall</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describes how the TASCO Growth Platform protects personal data, money movement, regulated rules and the audit trail. It sets out the assets and threats, the trust boundaries and zero-trust controls, identity and access control, cryptography and secrets, application security, monitoring, the secure delivery pipeline and the residual risks with their treatment.</w:t>
      </w:r>
    </w:p>
    <w:p>
      <w:pPr>
        <w:pStyle w:val="Heading2"/>
      </w:pPr>
      <w:bookmarkStart w:id="9" w:name="_Toc300000005"/>
      <w:r>
        <w:t xml:space="preserve">Scope</w:t>
      </w:r>
      <w:bookmarkEnd w:id="9"/>
    </w:p>
    <w:p>
      <w:pPr>
        <w:pStyle w:val="FirstParagraph"/>
      </w:pPr>
      <w:r>
        <w:t xml:space="preserve">The application, its data and its integrations, and the infrastructure controls it relies on in production. Controls delivered by Kubernetes, the WAF, managed PostgreSQL and the CI pipeline are marked as infrastructure controls. Regulatory references are to be confirmed by TASCO legal.</w:t>
      </w:r>
    </w:p>
    <w:p>
      <w:pPr>
        <w:pStyle w:val="Heading2"/>
      </w:pPr>
      <w:bookmarkStart w:id="10" w:name="_Toc300000006"/>
      <w:r>
        <w:t xml:space="preserve">Audience</w:t>
      </w:r>
      <w:bookmarkEnd w:id="10"/>
    </w:p>
    <w:p>
      <w:pPr>
        <w:pStyle w:val="FirstParagraph"/>
      </w:pPr>
      <w:r>
        <w:t xml:space="preserve">TASCO Insurance Chief Information Security Officer and information security team, VETC security, penetration testers and internal audit.</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67"/>
        <w:gridCol w:w="3256"/>
        <w:gridCol w:w="4304"/>
      </w:tblGrid>
      <w:tr>
        <w:trPr>
          <w:cantSplit/>
          <w:tblHeader/>
        </w:trPr>
        <w:tc>
          <w:tcPr>
            <w:tcW w:w="1467" w:type="dxa"/>
            <w:shd w:val="clear" w:color="auto" w:fill="0F4761"/>
            <w:vAlign w:val="center"/>
          </w:tcPr>
          <w:p>
            <w:pPr>
              <w:pStyle w:val="TableHeading"/>
              <w:jc w:val="left"/>
            </w:pPr>
            <w:r>
              <w:rPr>
                <w:color w:val="FFFFFF"/>
              </w:rPr>
              <w:t xml:space="preserve">ID</w:t>
            </w:r>
          </w:p>
        </w:tc>
        <w:tc>
          <w:tcPr>
            <w:tcW w:w="3256" w:type="dxa"/>
            <w:shd w:val="clear" w:color="auto" w:fill="0F4761"/>
            <w:vAlign w:val="center"/>
          </w:tcPr>
          <w:p>
            <w:pPr>
              <w:pStyle w:val="TableHeading"/>
              <w:jc w:val="left"/>
            </w:pPr>
            <w:r>
              <w:rPr>
                <w:color w:val="FFFFFF"/>
              </w:rPr>
              <w:t xml:space="preserve">Title</w:t>
            </w:r>
          </w:p>
        </w:tc>
        <w:tc>
          <w:tcPr>
            <w:tcW w:w="4304" w:type="dxa"/>
            <w:shd w:val="clear" w:color="auto" w:fill="0F4761"/>
            <w:vAlign w:val="center"/>
          </w:tcPr>
          <w:p>
            <w:pPr>
              <w:pStyle w:val="TableHeading"/>
              <w:jc w:val="left"/>
            </w:pPr>
            <w:r>
              <w:rPr>
                <w:color w:val="FFFFFF"/>
              </w:rPr>
              <w:t xml:space="preserve">Relationship</w:t>
            </w:r>
          </w:p>
        </w:tc>
      </w:tr>
      <w:tr>
        <w:trPr>
          <w:cantSplit/>
        </w:trPr>
        <w:tc>
          <w:tcPr>
            <w:tcW w:w="1467" w:type="dxa"/>
            <w:noWrap/>
            <w:vAlign w:val="top"/>
          </w:tcPr>
          <w:p>
            <w:pPr>
              <w:pStyle w:val="TableText"/>
              <w:jc w:val="left"/>
            </w:pPr>
            <w:r>
              <w:t xml:space="preserve">TGP-ARC-01</w:t>
            </w:r>
          </w:p>
        </w:tc>
        <w:tc>
          <w:tcPr>
            <w:tcW w:w="3256" w:type="dxa"/>
            <w:vAlign w:val="top"/>
          </w:tcPr>
          <w:p>
            <w:pPr>
              <w:pStyle w:val="TableText"/>
              <w:jc w:val="left"/>
            </w:pPr>
            <w:r>
              <w:t xml:space="preserve">Solution Architecture</w:t>
            </w:r>
          </w:p>
        </w:tc>
        <w:tc>
          <w:tcPr>
            <w:tcW w:w="4304" w:type="dxa"/>
            <w:vAlign w:val="top"/>
          </w:tcPr>
          <w:p>
            <w:pPr>
              <w:pStyle w:val="TableText"/>
              <w:jc w:val="left"/>
            </w:pPr>
            <w:r>
              <w:t xml:space="preserve">Structure and principles</w:t>
            </w:r>
          </w:p>
        </w:tc>
      </w:tr>
      <w:tr>
        <w:trPr>
          <w:cantSplit/>
        </w:trPr>
        <w:tc>
          <w:tcPr>
            <w:tcW w:w="1467" w:type="dxa"/>
            <w:shd w:val="clear" w:color="auto" w:fill="F4F7FB"/>
            <w:noWrap/>
            <w:vAlign w:val="top"/>
          </w:tcPr>
          <w:p>
            <w:pPr>
              <w:pStyle w:val="TableText"/>
              <w:jc w:val="left"/>
            </w:pPr>
            <w:r>
              <w:t xml:space="preserve">TGP-ARC-02</w:t>
            </w:r>
          </w:p>
        </w:tc>
        <w:tc>
          <w:tcPr>
            <w:tcW w:w="3256" w:type="dxa"/>
            <w:shd w:val="clear" w:color="auto" w:fill="F4F7FB"/>
            <w:vAlign w:val="top"/>
          </w:tcPr>
          <w:p>
            <w:pPr>
              <w:pStyle w:val="TableText"/>
              <w:jc w:val="left"/>
            </w:pPr>
            <w:r>
              <w:t xml:space="preserve">Integration Architecture</w:t>
            </w:r>
          </w:p>
        </w:tc>
        <w:tc>
          <w:tcPr>
            <w:tcW w:w="4304" w:type="dxa"/>
            <w:shd w:val="clear" w:color="auto" w:fill="F4F7FB"/>
            <w:vAlign w:val="top"/>
          </w:tcPr>
          <w:p>
            <w:pPr>
              <w:pStyle w:val="TableText"/>
              <w:jc w:val="left"/>
            </w:pPr>
            <w:r>
              <w:t xml:space="preserve">Integration security and data minimisation per provider</w:t>
            </w:r>
          </w:p>
        </w:tc>
      </w:tr>
      <w:tr>
        <w:trPr>
          <w:cantSplit/>
        </w:trPr>
        <w:tc>
          <w:tcPr>
            <w:tcW w:w="1467" w:type="dxa"/>
            <w:noWrap/>
            <w:vAlign w:val="top"/>
          </w:tcPr>
          <w:p>
            <w:pPr>
              <w:pStyle w:val="TableText"/>
              <w:jc w:val="left"/>
            </w:pPr>
            <w:r>
              <w:t xml:space="preserve">TGP-ARC-03</w:t>
            </w:r>
          </w:p>
        </w:tc>
        <w:tc>
          <w:tcPr>
            <w:tcW w:w="3256" w:type="dxa"/>
            <w:vAlign w:val="top"/>
          </w:tcPr>
          <w:p>
            <w:pPr>
              <w:pStyle w:val="TableText"/>
              <w:jc w:val="left"/>
            </w:pPr>
            <w:r>
              <w:t xml:space="preserve">Data Architecture</w:t>
            </w:r>
          </w:p>
        </w:tc>
        <w:tc>
          <w:tcPr>
            <w:tcW w:w="4304" w:type="dxa"/>
            <w:vAlign w:val="top"/>
          </w:tcPr>
          <w:p>
            <w:pPr>
              <w:pStyle w:val="TableText"/>
              <w:jc w:val="left"/>
            </w:pPr>
            <w:r>
              <w:t xml:space="preserve">Classification, encryption, retention, erasure</w:t>
            </w:r>
          </w:p>
        </w:tc>
      </w:tr>
      <w:tr>
        <w:trPr>
          <w:cantSplit/>
        </w:trPr>
        <w:tc>
          <w:tcPr>
            <w:tcW w:w="1467" w:type="dxa"/>
            <w:shd w:val="clear" w:color="auto" w:fill="F4F7FB"/>
            <w:noWrap/>
            <w:vAlign w:val="top"/>
          </w:tcPr>
          <w:p>
            <w:pPr>
              <w:pStyle w:val="TableText"/>
              <w:jc w:val="left"/>
            </w:pPr>
            <w:r>
              <w:t xml:space="preserve">TGP-ARC-05</w:t>
            </w:r>
          </w:p>
        </w:tc>
        <w:tc>
          <w:tcPr>
            <w:tcW w:w="3256" w:type="dxa"/>
            <w:shd w:val="clear" w:color="auto" w:fill="F4F7FB"/>
            <w:vAlign w:val="top"/>
          </w:tcPr>
          <w:p>
            <w:pPr>
              <w:pStyle w:val="TableText"/>
              <w:jc w:val="left"/>
            </w:pPr>
            <w:r>
              <w:t xml:space="preserve">Deployment and Infrastructure Architecture</w:t>
            </w:r>
          </w:p>
        </w:tc>
        <w:tc>
          <w:tcPr>
            <w:tcW w:w="4304" w:type="dxa"/>
            <w:shd w:val="clear" w:color="auto" w:fill="F4F7FB"/>
            <w:vAlign w:val="top"/>
          </w:tcPr>
          <w:p>
            <w:pPr>
              <w:pStyle w:val="TableText"/>
              <w:jc w:val="left"/>
            </w:pPr>
            <w:r>
              <w:t xml:space="preserve">Network policy, secrets delivery, CI/CD gates</w:t>
            </w:r>
          </w:p>
        </w:tc>
      </w:tr>
      <w:tr>
        <w:trPr>
          <w:cantSplit/>
        </w:trPr>
        <w:tc>
          <w:tcPr>
            <w:tcW w:w="1467" w:type="dxa"/>
            <w:noWrap/>
            <w:vAlign w:val="top"/>
          </w:tcPr>
          <w:p>
            <w:pPr>
              <w:pStyle w:val="TableText"/>
              <w:jc w:val="left"/>
            </w:pPr>
            <w:r>
              <w:t xml:space="preserve">TGP-ARC-07</w:t>
            </w:r>
          </w:p>
        </w:tc>
        <w:tc>
          <w:tcPr>
            <w:tcW w:w="3256" w:type="dxa"/>
            <w:vAlign w:val="top"/>
          </w:tcPr>
          <w:p>
            <w:pPr>
              <w:pStyle w:val="TableText"/>
              <w:jc w:val="left"/>
            </w:pPr>
            <w:r>
              <w:t xml:space="preserve">Architecture Decision Records</w:t>
            </w:r>
          </w:p>
        </w:tc>
        <w:tc>
          <w:tcPr>
            <w:tcW w:w="4304" w:type="dxa"/>
            <w:vAlign w:val="top"/>
          </w:tcPr>
          <w:p>
            <w:pPr>
              <w:pStyle w:val="TableText"/>
              <w:jc w:val="left"/>
            </w:pPr>
            <w:r>
              <w:t xml:space="preserve">ADR-006 encryption, ADR-007 identity, ADR-008 audit</w:t>
            </w:r>
          </w:p>
        </w:tc>
      </w:tr>
      <w:tr>
        <w:trPr>
          <w:cantSplit/>
        </w:trPr>
        <w:tc>
          <w:tcPr>
            <w:tcW w:w="1467" w:type="dxa"/>
            <w:shd w:val="clear" w:color="auto" w:fill="F4F7FB"/>
            <w:noWrap/>
            <w:vAlign w:val="top"/>
          </w:tcPr>
          <w:p>
            <w:pPr>
              <w:pStyle w:val="TableText"/>
              <w:jc w:val="left"/>
            </w:pPr>
            <w:r>
              <w:t xml:space="preserve">TGP-OPS-02</w:t>
            </w:r>
          </w:p>
        </w:tc>
        <w:tc>
          <w:tcPr>
            <w:tcW w:w="3256" w:type="dxa"/>
            <w:shd w:val="clear" w:color="auto" w:fill="F4F7FB"/>
            <w:vAlign w:val="top"/>
          </w:tcPr>
          <w:p>
            <w:pPr>
              <w:pStyle w:val="TableText"/>
              <w:jc w:val="left"/>
            </w:pPr>
            <w:r>
              <w:t xml:space="preserve">Monitoring and Alerting</w:t>
            </w:r>
          </w:p>
        </w:tc>
        <w:tc>
          <w:tcPr>
            <w:tcW w:w="4304" w:type="dxa"/>
            <w:shd w:val="clear" w:color="auto" w:fill="F4F7FB"/>
            <w:vAlign w:val="top"/>
          </w:tcPr>
          <w:p>
            <w:pPr>
              <w:pStyle w:val="TableText"/>
              <w:jc w:val="left"/>
            </w:pPr>
            <w:r>
              <w:t xml:space="preserve">Security alert rules</w:t>
            </w:r>
          </w:p>
        </w:tc>
      </w:tr>
      <w:tr>
        <w:trPr>
          <w:cantSplit/>
        </w:trPr>
        <w:tc>
          <w:tcPr>
            <w:tcW w:w="1467" w:type="dxa"/>
            <w:noWrap/>
            <w:vAlign w:val="top"/>
          </w:tcPr>
          <w:p>
            <w:pPr>
              <w:pStyle w:val="TableText"/>
              <w:jc w:val="left"/>
            </w:pPr>
            <w:r>
              <w:t xml:space="preserve">TGP-DEL-04</w:t>
            </w:r>
          </w:p>
        </w:tc>
        <w:tc>
          <w:tcPr>
            <w:tcW w:w="3256" w:type="dxa"/>
            <w:vAlign w:val="top"/>
          </w:tcPr>
          <w:p>
            <w:pPr>
              <w:pStyle w:val="TableText"/>
              <w:jc w:val="left"/>
            </w:pPr>
            <w:r>
              <w:t xml:space="preserve">Risk Register</w:t>
            </w:r>
          </w:p>
        </w:tc>
        <w:tc>
          <w:tcPr>
            <w:tcW w:w="4304" w:type="dxa"/>
            <w:vAlign w:val="top"/>
          </w:tcPr>
          <w:p>
            <w:pPr>
              <w:pStyle w:val="TableText"/>
              <w:jc w:val="left"/>
            </w:pPr>
            <w:r>
              <w:t xml:space="preserve">Programme-level risks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Assets and security objectives</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124"/>
        <w:gridCol w:w="3355"/>
        <w:gridCol w:w="2548"/>
      </w:tblGrid>
      <w:tr>
        <w:trPr>
          <w:cantSplit/>
          <w:tblHeader/>
        </w:trPr>
        <w:tc>
          <w:tcPr>
            <w:tcW w:w="3124" w:type="dxa"/>
            <w:shd w:val="clear" w:color="auto" w:fill="0F4761"/>
            <w:vAlign w:val="center"/>
          </w:tcPr>
          <w:p>
            <w:pPr>
              <w:pStyle w:val="TableHeading"/>
              <w:jc w:val="left"/>
            </w:pPr>
            <w:r>
              <w:rPr>
                <w:color w:val="FFFFFF"/>
              </w:rPr>
              <w:t xml:space="preserve">Asset</w:t>
            </w:r>
          </w:p>
        </w:tc>
        <w:tc>
          <w:tcPr>
            <w:tcW w:w="3355" w:type="dxa"/>
            <w:shd w:val="clear" w:color="auto" w:fill="0F4761"/>
            <w:vAlign w:val="center"/>
          </w:tcPr>
          <w:p>
            <w:pPr>
              <w:pStyle w:val="TableHeading"/>
              <w:jc w:val="left"/>
            </w:pPr>
            <w:r>
              <w:rPr>
                <w:color w:val="FFFFFF"/>
              </w:rPr>
              <w:t xml:space="preserve">Why it matters</w:t>
            </w:r>
          </w:p>
        </w:tc>
        <w:tc>
          <w:tcPr>
            <w:tcW w:w="2548" w:type="dxa"/>
            <w:shd w:val="clear" w:color="auto" w:fill="0F4761"/>
            <w:vAlign w:val="center"/>
          </w:tcPr>
          <w:p>
            <w:pPr>
              <w:pStyle w:val="TableHeading"/>
              <w:jc w:val="left"/>
            </w:pPr>
            <w:r>
              <w:rPr>
                <w:color w:val="FFFFFF"/>
              </w:rPr>
              <w:t xml:space="preserve">Primary objective</w:t>
            </w:r>
          </w:p>
        </w:tc>
      </w:tr>
      <w:tr>
        <w:trPr>
          <w:cantSplit/>
        </w:trPr>
        <w:tc>
          <w:tcPr>
            <w:tcW w:w="3124" w:type="dxa"/>
            <w:vAlign w:val="top"/>
          </w:tcPr>
          <w:p>
            <w:pPr>
              <w:pStyle w:val="TableText"/>
              <w:jc w:val="left"/>
            </w:pPr>
            <w:r>
              <w:t xml:space="preserve">Personal data of about 6 million vehicle owners</w:t>
            </w:r>
          </w:p>
        </w:tc>
        <w:tc>
          <w:tcPr>
            <w:tcW w:w="3355" w:type="dxa"/>
            <w:vAlign w:val="top"/>
          </w:tcPr>
          <w:p>
            <w:pPr>
              <w:pStyle w:val="TableText"/>
              <w:jc w:val="left"/>
            </w:pPr>
            <w:r>
              <w:t xml:space="preserve">Personal data protection law and customer trust (to be confirmed by TASCO legal)</w:t>
            </w:r>
          </w:p>
        </w:tc>
        <w:tc>
          <w:tcPr>
            <w:tcW w:w="2548" w:type="dxa"/>
            <w:vAlign w:val="top"/>
          </w:tcPr>
          <w:p>
            <w:pPr>
              <w:pStyle w:val="TableText"/>
              <w:jc w:val="left"/>
            </w:pPr>
            <w:r>
              <w:t xml:space="preserve">Confidentiality, lawful processing</w:t>
            </w:r>
          </w:p>
        </w:tc>
      </w:tr>
      <w:tr>
        <w:trPr>
          <w:cantSplit/>
        </w:trPr>
        <w:tc>
          <w:tcPr>
            <w:tcW w:w="3124" w:type="dxa"/>
            <w:shd w:val="clear" w:color="auto" w:fill="F4F7FB"/>
            <w:vAlign w:val="top"/>
          </w:tcPr>
          <w:p>
            <w:pPr>
              <w:pStyle w:val="TableText"/>
              <w:jc w:val="left"/>
            </w:pPr>
            <w:r>
              <w:t xml:space="preserve">Money movement: wallet debits, refunds, partner commission</w:t>
            </w:r>
          </w:p>
        </w:tc>
        <w:tc>
          <w:tcPr>
            <w:tcW w:w="3355" w:type="dxa"/>
            <w:shd w:val="clear" w:color="auto" w:fill="F4F7FB"/>
            <w:vAlign w:val="top"/>
          </w:tcPr>
          <w:p>
            <w:pPr>
              <w:pStyle w:val="TableText"/>
              <w:jc w:val="left"/>
            </w:pPr>
            <w:r>
              <w:t xml:space="preserve">Fraud and double charging</w:t>
            </w:r>
          </w:p>
        </w:tc>
        <w:tc>
          <w:tcPr>
            <w:tcW w:w="2548" w:type="dxa"/>
            <w:shd w:val="clear" w:color="auto" w:fill="F4F7FB"/>
            <w:vAlign w:val="top"/>
          </w:tcPr>
          <w:p>
            <w:pPr>
              <w:pStyle w:val="TableText"/>
              <w:jc w:val="left"/>
            </w:pPr>
            <w:r>
              <w:t xml:space="preserve">Integrity, non-repudiation</w:t>
            </w:r>
          </w:p>
        </w:tc>
      </w:tr>
      <w:tr>
        <w:trPr>
          <w:cantSplit/>
        </w:trPr>
        <w:tc>
          <w:tcPr>
            <w:tcW w:w="3124" w:type="dxa"/>
            <w:vAlign w:val="top"/>
          </w:tcPr>
          <w:p>
            <w:pPr>
              <w:pStyle w:val="TableText"/>
              <w:jc w:val="left"/>
            </w:pPr>
            <w:r>
              <w:t xml:space="preserve">Regulated rules: tariffs, copy guard, commission caps, consent policy</w:t>
            </w:r>
          </w:p>
        </w:tc>
        <w:tc>
          <w:tcPr>
            <w:tcW w:w="3355" w:type="dxa"/>
            <w:vAlign w:val="top"/>
          </w:tcPr>
          <w:p>
            <w:pPr>
              <w:pStyle w:val="TableText"/>
              <w:jc w:val="left"/>
            </w:pPr>
            <w:r>
              <w:t xml:space="preserve">Mis-selling and unlawful discounts on compulsory cover</w:t>
            </w:r>
          </w:p>
        </w:tc>
        <w:tc>
          <w:tcPr>
            <w:tcW w:w="2548" w:type="dxa"/>
            <w:vAlign w:val="top"/>
          </w:tcPr>
          <w:p>
            <w:pPr>
              <w:pStyle w:val="TableText"/>
              <w:jc w:val="left"/>
            </w:pPr>
            <w:r>
              <w:t xml:space="preserve">Integrity, four-eyes control</w:t>
            </w:r>
          </w:p>
        </w:tc>
      </w:tr>
      <w:tr>
        <w:trPr>
          <w:cantSplit/>
        </w:trPr>
        <w:tc>
          <w:tcPr>
            <w:tcW w:w="3124" w:type="dxa"/>
            <w:shd w:val="clear" w:color="auto" w:fill="F4F7FB"/>
            <w:vAlign w:val="top"/>
          </w:tcPr>
          <w:p>
            <w:pPr>
              <w:pStyle w:val="TableText"/>
              <w:jc w:val="left"/>
            </w:pPr>
            <w:r>
              <w:t xml:space="preserve">Policies and e-certificates</w:t>
            </w:r>
          </w:p>
        </w:tc>
        <w:tc>
          <w:tcPr>
            <w:tcW w:w="3355" w:type="dxa"/>
            <w:shd w:val="clear" w:color="auto" w:fill="F4F7FB"/>
            <w:vAlign w:val="top"/>
          </w:tcPr>
          <w:p>
            <w:pPr>
              <w:pStyle w:val="TableText"/>
              <w:jc w:val="left"/>
            </w:pPr>
            <w:r>
              <w:t xml:space="preserve">Legal proof of compulsory cover</w:t>
            </w:r>
          </w:p>
        </w:tc>
        <w:tc>
          <w:tcPr>
            <w:tcW w:w="2548" w:type="dxa"/>
            <w:shd w:val="clear" w:color="auto" w:fill="F4F7FB"/>
            <w:vAlign w:val="top"/>
          </w:tcPr>
          <w:p>
            <w:pPr>
              <w:pStyle w:val="TableText"/>
              <w:jc w:val="left"/>
            </w:pPr>
            <w:r>
              <w:t xml:space="preserve">Integrity, availability</w:t>
            </w:r>
          </w:p>
        </w:tc>
      </w:tr>
      <w:tr>
        <w:trPr>
          <w:cantSplit/>
        </w:trPr>
        <w:tc>
          <w:tcPr>
            <w:tcW w:w="3124" w:type="dxa"/>
            <w:vAlign w:val="top"/>
          </w:tcPr>
          <w:p>
            <w:pPr>
              <w:pStyle w:val="TableText"/>
              <w:jc w:val="left"/>
            </w:pPr>
            <w:r>
              <w:t xml:space="preserve">Audit trail</w:t>
            </w:r>
          </w:p>
        </w:tc>
        <w:tc>
          <w:tcPr>
            <w:tcW w:w="3355" w:type="dxa"/>
            <w:vAlign w:val="top"/>
          </w:tcPr>
          <w:p>
            <w:pPr>
              <w:pStyle w:val="TableText"/>
              <w:jc w:val="left"/>
            </w:pPr>
            <w:r>
              <w:t xml:space="preserve">Accountability to regulators and auditors</w:t>
            </w:r>
          </w:p>
        </w:tc>
        <w:tc>
          <w:tcPr>
            <w:tcW w:w="2548" w:type="dxa"/>
            <w:vAlign w:val="top"/>
          </w:tcPr>
          <w:p>
            <w:pPr>
              <w:pStyle w:val="TableText"/>
              <w:jc w:val="left"/>
            </w:pPr>
            <w:r>
              <w:t xml:space="preserve">Tamper evidence</w:t>
            </w:r>
          </w:p>
        </w:tc>
      </w:tr>
      <w:tr>
        <w:trPr>
          <w:cantSplit/>
        </w:trPr>
        <w:tc>
          <w:tcPr>
            <w:tcW w:w="3124" w:type="dxa"/>
            <w:shd w:val="clear" w:color="auto" w:fill="F4F7FB"/>
            <w:vAlign w:val="top"/>
          </w:tcPr>
          <w:p>
            <w:pPr>
              <w:pStyle w:val="TableText"/>
              <w:jc w:val="left"/>
            </w:pPr>
            <w:r>
              <w:t xml:space="preserve">Credentials and keys</w:t>
            </w:r>
          </w:p>
        </w:tc>
        <w:tc>
          <w:tcPr>
            <w:tcW w:w="3355" w:type="dxa"/>
            <w:shd w:val="clear" w:color="auto" w:fill="F4F7FB"/>
            <w:vAlign w:val="top"/>
          </w:tcPr>
          <w:p>
            <w:pPr>
              <w:pStyle w:val="TableText"/>
              <w:jc w:val="left"/>
            </w:pPr>
            <w:r>
              <w:t xml:space="preserve">Compromise means full breach</w:t>
            </w:r>
          </w:p>
        </w:tc>
        <w:tc>
          <w:tcPr>
            <w:tcW w:w="2548" w:type="dxa"/>
            <w:shd w:val="clear" w:color="auto" w:fill="F4F7FB"/>
            <w:vAlign w:val="top"/>
          </w:tcPr>
          <w:p>
            <w:pPr>
              <w:pStyle w:val="TableText"/>
              <w:jc w:val="left"/>
            </w:pPr>
            <w:r>
              <w:t xml:space="preserve">Confidentiality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Trust boundaries and zero trust</w:t>
      </w:r>
      <w:bookmarkEnd w:id="13"/>
    </w:p>
    <w:p>
      <w:pPr>
        <w:pStyle w:val="Heading2"/>
      </w:pPr>
      <w:bookmarkStart w:id="14" w:name="_Toc300000010"/>
      <w:r>
        <w:t xml:space="preserve">Trust boundaries</w:t>
      </w:r>
      <w:bookmarkEnd w:id="14"/>
    </w:p>
    <w:p>
      <w:pPr>
        <w:pStyle w:val="FirstParagraph"/>
      </w:pPr>
      <w:r>
        <w:t xml:space="preserve">Every request that crosses a trust boundary is authenticated, validated and minimised. The diagram shows the boundaries and the credential used at each crossing.</w:t>
      </w:r>
    </w:p>
    <w:p xmlns:a="http://schemas.openxmlformats.org/drawingml/2006/main" xmlns:pic="http://schemas.openxmlformats.org/drawingml/2006/picture">
      <w:pPr>
        <w:pStyle w:val="Figure"/>
      </w:pPr>
      <w:r>
        <w:drawing>
          <wp:inline>
            <wp:extent cx="5727700" cy="4922350"/>
            <wp:effectExtent b="0" l="0" r="0" t="0"/>
            <wp:docPr descr="Trust boundaries and the credential used at each crossing" title="" id="5002" name="Picture"/>
            <a:graphic>
              <a:graphicData uri="http://schemas.openxmlformats.org/drawingml/2006/picture">
                <pic:pic>
                  <pic:nvPicPr>
                    <pic:cNvPr descr="/tmp/claude-0/-home-user-TASCO/19e5534d-12b5-5956-9b60-3e77efde0f49/scratchpad/gen/.cache/mermaid/4b12daefd9b26e1e.png" id="28" name="Picture"/>
                    <pic:cNvPicPr>
                      <a:picLocks noChangeArrowheads="1" noChangeAspect="1"/>
                    </pic:cNvPicPr>
                  </pic:nvPicPr>
                  <pic:blipFill>
                    <a:blip r:embed="rIdG1"/>
                    <a:stretch>
                      <a:fillRect/>
                    </a:stretch>
                  </pic:blipFill>
                  <pic:spPr bwMode="auto">
                    <a:xfrm>
                      <a:off x="0" y="0"/>
                      <a:ext cx="5727700" cy="4922350"/>
                    </a:xfrm>
                    <a:prstGeom prst="rect">
                      <a:avLst/>
                    </a:prstGeom>
                    <a:noFill/>
                    <a:ln w="9525">
                      <a:noFill/>
                      <a:headEnd/>
                      <a:tailEnd/>
                    </a:ln>
                  </pic:spPr>
                </pic:pic>
              </a:graphicData>
            </a:graphic>
          </wp:inline>
        </w:drawing>
      </w:r>
    </w:p>
    <w:p>
      <w:pPr>
        <w:pStyle w:val="Caption"/>
      </w:pPr>
      <w:r>
        <w:t xml:space="preserve">Figure 1 – Trust boundaries and the credential used at each crossing</w:t>
      </w:r>
    </w:p>
    <w:p>
      <w:pPr>
        <w:pStyle w:val="BodyText"/>
      </w:pPr>
      <w:r>
        <w:t xml:space="preserve">Personal data crosses into third parties only where a provider needs it: phone numbers to the messaging and voice providers, plate and holder name to TASCO core at issuance, and inbound records from VETC. The public certificate check returns a masked plate and no personal data.</w:t>
      </w:r>
    </w:p>
    <w:p>
      <w:pPr>
        <w:pStyle w:val="Heading2"/>
      </w:pPr>
      <w:bookmarkStart w:id="15" w:name="_Toc300000011"/>
      <w:r>
        <w:t xml:space="preserve">Zero-trust controls</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88"/>
        <w:gridCol w:w="5113"/>
        <w:gridCol w:w="2226"/>
      </w:tblGrid>
      <w:tr>
        <w:trPr>
          <w:cantSplit/>
          <w:tblHeader/>
        </w:trPr>
        <w:tc>
          <w:tcPr>
            <w:tcW w:w="1688" w:type="dxa"/>
            <w:shd w:val="clear" w:color="auto" w:fill="0F4761"/>
            <w:vAlign w:val="center"/>
          </w:tcPr>
          <w:p>
            <w:pPr>
              <w:pStyle w:val="TableHeading"/>
              <w:jc w:val="left"/>
            </w:pPr>
            <w:r>
              <w:rPr>
                <w:color w:val="FFFFFF"/>
              </w:rPr>
              <w:t xml:space="preserve">Principle</w:t>
            </w:r>
          </w:p>
        </w:tc>
        <w:tc>
          <w:tcPr>
            <w:tcW w:w="5113" w:type="dxa"/>
            <w:shd w:val="clear" w:color="auto" w:fill="0F4761"/>
            <w:vAlign w:val="center"/>
          </w:tcPr>
          <w:p>
            <w:pPr>
              <w:pStyle w:val="TableHeading"/>
              <w:jc w:val="left"/>
            </w:pPr>
            <w:r>
              <w:rPr>
                <w:color w:val="FFFFFF"/>
              </w:rPr>
              <w:t xml:space="preserve">Control</w:t>
            </w:r>
          </w:p>
        </w:tc>
        <w:tc>
          <w:tcPr>
            <w:tcW w:w="2226" w:type="dxa"/>
            <w:shd w:val="clear" w:color="auto" w:fill="0F4761"/>
            <w:vAlign w:val="center"/>
          </w:tcPr>
          <w:p>
            <w:pPr>
              <w:pStyle w:val="TableHeading"/>
              <w:jc w:val="left"/>
            </w:pPr>
            <w:r>
              <w:rPr>
                <w:color w:val="FFFFFF"/>
              </w:rPr>
              <w:t xml:space="preserve">Status</w:t>
            </w:r>
          </w:p>
        </w:tc>
      </w:tr>
      <w:tr>
        <w:trPr>
          <w:cantSplit/>
        </w:trPr>
        <w:tc>
          <w:tcPr>
            <w:tcW w:w="1688" w:type="dxa"/>
            <w:vAlign w:val="top"/>
          </w:tcPr>
          <w:p>
            <w:pPr>
              <w:pStyle w:val="TableText"/>
              <w:jc w:val="left"/>
            </w:pPr>
            <w:r>
              <w:t xml:space="preserve">Verify explicitly</w:t>
            </w:r>
          </w:p>
        </w:tc>
        <w:tc>
          <w:tcPr>
            <w:tcW w:w="5113" w:type="dxa"/>
            <w:vAlign w:val="top"/>
          </w:tcPr>
          <w:p>
            <w:pPr>
              <w:pStyle w:val="TableText"/>
              <w:jc w:val="left"/>
            </w:pPr>
            <w:r>
              <w:t xml:space="preserve">Token verified on every request; the staff user is reloaded on every request, so a password, role, status or region change applies at once. Partner key and partner status are checked per request.</w:t>
            </w:r>
          </w:p>
        </w:tc>
        <w:tc>
          <w:tcPr>
            <w:tcW w:w="2226" w:type="dxa"/>
            <w:vAlign w:val="top"/>
          </w:tcPr>
          <w:p>
            <w:pPr>
              <w:pStyle w:val="TableText"/>
              <w:jc w:val="left"/>
            </w:pPr>
            <w:r>
              <w:t xml:space="preserve">Built</w:t>
            </w:r>
          </w:p>
        </w:tc>
      </w:tr>
      <w:tr>
        <w:trPr>
          <w:cantSplit/>
        </w:trPr>
        <w:tc>
          <w:tcPr>
            <w:tcW w:w="1688" w:type="dxa"/>
            <w:shd w:val="clear" w:color="auto" w:fill="F4F7FB"/>
            <w:vAlign w:val="top"/>
          </w:tcPr>
          <w:p>
            <w:pPr>
              <w:pStyle w:val="TableText"/>
              <w:jc w:val="left"/>
            </w:pPr>
            <w:r>
              <w:t xml:space="preserve">Least privilege</w:t>
            </w:r>
          </w:p>
        </w:tc>
        <w:tc>
          <w:tcPr>
            <w:tcW w:w="5113" w:type="dxa"/>
            <w:shd w:val="clear" w:color="auto" w:fill="F4F7FB"/>
            <w:vAlign w:val="top"/>
          </w:tcPr>
          <w:p>
            <w:pPr>
              <w:pStyle w:val="TableText"/>
              <w:jc w:val="left"/>
            </w:pPr>
            <w:r>
              <w:t xml:space="preserve">29 permissions across 15 roles; attribute-based checks on region and ownership; personal data masked without explicit permission; database application role without schema rights</w:t>
            </w:r>
          </w:p>
        </w:tc>
        <w:tc>
          <w:tcPr>
            <w:tcW w:w="2226" w:type="dxa"/>
            <w:shd w:val="clear" w:color="auto" w:fill="F4F7FB"/>
            <w:vAlign w:val="top"/>
          </w:tcPr>
          <w:p>
            <w:pPr>
              <w:pStyle w:val="TableText"/>
              <w:jc w:val="left"/>
            </w:pPr>
            <w:r>
              <w:t xml:space="preserve">Built and infrastructure</w:t>
            </w:r>
          </w:p>
        </w:tc>
      </w:tr>
      <w:tr>
        <w:trPr>
          <w:cantSplit/>
        </w:trPr>
        <w:tc>
          <w:tcPr>
            <w:tcW w:w="1688" w:type="dxa"/>
            <w:vAlign w:val="top"/>
          </w:tcPr>
          <w:p>
            <w:pPr>
              <w:pStyle w:val="TableText"/>
              <w:jc w:val="left"/>
            </w:pPr>
            <w:r>
              <w:t xml:space="preserve">Assume breach</w:t>
            </w:r>
          </w:p>
        </w:tc>
        <w:tc>
          <w:tcPr>
            <w:tcW w:w="5113" w:type="dxa"/>
            <w:vAlign w:val="top"/>
          </w:tcPr>
          <w:p>
            <w:pPr>
              <w:pStyle w:val="TableText"/>
              <w:jc w:val="left"/>
            </w:pPr>
            <w:r>
              <w:t xml:space="preserve">Field-level encryption, so a database or backup theft yields ciphertext; hash-chained audit trail; default-deny network policy; 30-minute staff tokens; separate keys for encryption and search</w:t>
            </w:r>
          </w:p>
        </w:tc>
        <w:tc>
          <w:tcPr>
            <w:tcW w:w="2226" w:type="dxa"/>
            <w:vAlign w:val="top"/>
          </w:tcPr>
          <w:p>
            <w:pPr>
              <w:pStyle w:val="TableText"/>
              <w:jc w:val="left"/>
            </w:pPr>
            <w:r>
              <w:t xml:space="preserve">Built and infrastructure</w:t>
            </w:r>
          </w:p>
        </w:tc>
      </w:tr>
      <w:tr>
        <w:trPr>
          <w:cantSplit/>
        </w:trPr>
        <w:tc>
          <w:tcPr>
            <w:tcW w:w="1688" w:type="dxa"/>
            <w:shd w:val="clear" w:color="auto" w:fill="F4F7FB"/>
            <w:vAlign w:val="top"/>
          </w:tcPr>
          <w:p>
            <w:pPr>
              <w:pStyle w:val="TableText"/>
              <w:jc w:val="left"/>
            </w:pPr>
            <w:r>
              <w:t xml:space="preserve">No implicit network trust</w:t>
            </w:r>
          </w:p>
        </w:tc>
        <w:tc>
          <w:tcPr>
            <w:tcW w:w="5113" w:type="dxa"/>
            <w:shd w:val="clear" w:color="auto" w:fill="F4F7FB"/>
            <w:vAlign w:val="top"/>
          </w:tcPr>
          <w:p>
            <w:pPr>
              <w:pStyle w:val="TableText"/>
              <w:jc w:val="left"/>
            </w:pPr>
            <w:r>
              <w:t xml:space="preserve">TLS to the database with certificate verification; mTLS to providers; metrics endpoint protected by a bearer token and network rules</w:t>
            </w:r>
          </w:p>
        </w:tc>
        <w:tc>
          <w:tcPr>
            <w:tcW w:w="2226" w:type="dxa"/>
            <w:shd w:val="clear" w:color="auto" w:fill="F4F7FB"/>
            <w:vAlign w:val="top"/>
          </w:tcPr>
          <w:p>
            <w:pPr>
              <w:pStyle w:val="TableText"/>
              <w:jc w:val="left"/>
            </w:pPr>
            <w:r>
              <w:t xml:space="preserve">Partly built; mTLS with real adapters</w:t>
            </w:r>
          </w:p>
        </w:tc>
      </w:tr>
      <w:tr>
        <w:trPr>
          <w:cantSplit/>
        </w:trPr>
        <w:tc>
          <w:tcPr>
            <w:tcW w:w="1688" w:type="dxa"/>
            <w:vAlign w:val="top"/>
          </w:tcPr>
          <w:p>
            <w:pPr>
              <w:pStyle w:val="TableText"/>
              <w:jc w:val="left"/>
            </w:pPr>
            <w:r>
              <w:t xml:space="preserve">Device and session posture</w:t>
            </w:r>
          </w:p>
        </w:tc>
        <w:tc>
          <w:tcPr>
            <w:tcW w:w="5113" w:type="dxa"/>
            <w:vAlign w:val="top"/>
          </w:tcPr>
          <w:p>
            <w:pPr>
              <w:pStyle w:val="TableText"/>
              <w:jc w:val="left"/>
            </w:pPr>
            <w:r>
              <w:t xml:space="preserve">Managed devices for roles that see personal data, through identity provider conditional access</w:t>
            </w:r>
          </w:p>
        </w:tc>
        <w:tc>
          <w:tcPr>
            <w:tcW w:w="2226" w:type="dxa"/>
            <w:vAlign w:val="top"/>
          </w:tcPr>
          <w:p>
            <w:pPr>
              <w:pStyle w:val="TableText"/>
              <w:jc w:val="left"/>
            </w:pPr>
            <w:r>
              <w:t xml:space="preserve">Planned with OIDC (ADR-007)</w:t>
            </w:r>
          </w:p>
        </w:tc>
      </w:tr>
      <w:tr>
        <w:trPr>
          <w:cantSplit/>
        </w:trPr>
        <w:tc>
          <w:tcPr>
            <w:tcW w:w="1688" w:type="dxa"/>
            <w:shd w:val="clear" w:color="auto" w:fill="F4F7FB"/>
            <w:vAlign w:val="top"/>
          </w:tcPr>
          <w:p>
            <w:pPr>
              <w:pStyle w:val="TableText"/>
              <w:jc w:val="left"/>
            </w:pPr>
            <w:r>
              <w:t xml:space="preserve">Continuous monitoring</w:t>
            </w:r>
          </w:p>
        </w:tc>
        <w:tc>
          <w:tcPr>
            <w:tcW w:w="5113" w:type="dxa"/>
            <w:shd w:val="clear" w:color="auto" w:fill="F4F7FB"/>
            <w:vAlign w:val="top"/>
          </w:tcPr>
          <w:p>
            <w:pPr>
              <w:pStyle w:val="TableText"/>
              <w:jc w:val="left"/>
            </w:pPr>
            <w:r>
              <w:t xml:space="preserve">Audit trail, metrics, security alerts</w:t>
            </w:r>
          </w:p>
        </w:tc>
        <w:tc>
          <w:tcPr>
            <w:tcW w:w="2226" w:type="dxa"/>
            <w:shd w:val="clear" w:color="auto" w:fill="F4F7FB"/>
            <w:vAlign w:val="top"/>
          </w:tcPr>
          <w:p>
            <w:pPr>
              <w:pStyle w:val="TableText"/>
              <w:jc w:val="left"/>
            </w:pPr>
            <w:r>
              <w:t xml:space="preserve">Built and infrastructure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Threat model</w:t>
      </w:r>
      <w:bookmarkEnd w:id="16"/>
    </w:p>
    <w:p>
      <w:pPr>
        <w:pStyle w:val="FirstParagraph"/>
      </w:pPr>
      <w:r>
        <w:t xml:space="preserve">The threat model follows STRIDE. The table lists the main threats per component, the key controls and the residual risk after those controls. Residual risks rated Medium are tracked in section 11.</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37"/>
        <w:gridCol w:w="2459"/>
        <w:gridCol w:w="3081"/>
        <w:gridCol w:w="1650"/>
      </w:tblGrid>
      <w:tr>
        <w:trPr>
          <w:cantSplit/>
          <w:tblHeader/>
        </w:trPr>
        <w:tc>
          <w:tcPr>
            <w:tcW w:w="1837" w:type="dxa"/>
            <w:shd w:val="clear" w:color="auto" w:fill="0F4761"/>
            <w:vAlign w:val="center"/>
          </w:tcPr>
          <w:p>
            <w:pPr>
              <w:pStyle w:val="TableHeading"/>
              <w:jc w:val="left"/>
            </w:pPr>
            <w:r>
              <w:rPr>
                <w:color w:val="FFFFFF"/>
              </w:rPr>
              <w:t xml:space="preserve">Component</w:t>
            </w:r>
          </w:p>
        </w:tc>
        <w:tc>
          <w:tcPr>
            <w:tcW w:w="2459" w:type="dxa"/>
            <w:shd w:val="clear" w:color="auto" w:fill="0F4761"/>
            <w:vAlign w:val="center"/>
          </w:tcPr>
          <w:p>
            <w:pPr>
              <w:pStyle w:val="TableHeading"/>
              <w:jc w:val="left"/>
            </w:pPr>
            <w:r>
              <w:rPr>
                <w:color w:val="FFFFFF"/>
              </w:rPr>
              <w:t xml:space="preserve">Main threats</w:t>
            </w:r>
          </w:p>
        </w:tc>
        <w:tc>
          <w:tcPr>
            <w:tcW w:w="3081" w:type="dxa"/>
            <w:shd w:val="clear" w:color="auto" w:fill="0F4761"/>
            <w:vAlign w:val="center"/>
          </w:tcPr>
          <w:p>
            <w:pPr>
              <w:pStyle w:val="TableHeading"/>
              <w:jc w:val="left"/>
            </w:pPr>
            <w:r>
              <w:rPr>
                <w:color w:val="FFFFFF"/>
              </w:rPr>
              <w:t xml:space="preserve">Key controls</w:t>
            </w:r>
          </w:p>
        </w:tc>
        <w:tc>
          <w:tcPr>
            <w:tcW w:w="1650" w:type="dxa"/>
            <w:shd w:val="clear" w:color="auto" w:fill="0F4761"/>
            <w:vAlign w:val="center"/>
          </w:tcPr>
          <w:p>
            <w:pPr>
              <w:pStyle w:val="TableHeading"/>
              <w:jc w:val="left"/>
            </w:pPr>
            <w:r>
              <w:rPr>
                <w:color w:val="FFFFFF"/>
              </w:rPr>
              <w:t xml:space="preserve">Residual risk</w:t>
            </w:r>
          </w:p>
        </w:tc>
      </w:tr>
      <w:tr>
        <w:trPr>
          <w:cantSplit/>
        </w:trPr>
        <w:tc>
          <w:tcPr>
            <w:tcW w:w="1837" w:type="dxa"/>
            <w:vAlign w:val="top"/>
          </w:tcPr>
          <w:p>
            <w:pPr>
              <w:pStyle w:val="TableText"/>
              <w:jc w:val="left"/>
            </w:pPr>
            <w:r>
              <w:t xml:space="preserve">Edge and HTTP pipeline</w:t>
            </w:r>
          </w:p>
        </w:tc>
        <w:tc>
          <w:tcPr>
            <w:tcW w:w="2459" w:type="dxa"/>
            <w:vAlign w:val="top"/>
          </w:tcPr>
          <w:p>
            <w:pPr>
              <w:pStyle w:val="TableText"/>
              <w:jc w:val="left"/>
            </w:pPr>
            <w:r>
              <w:t xml:space="preserve">IP spoofing against rate limits; oversized or malformed requests; error leakage</w:t>
            </w:r>
          </w:p>
        </w:tc>
        <w:tc>
          <w:tcPr>
            <w:tcW w:w="3081" w:type="dxa"/>
            <w:vAlign w:val="top"/>
          </w:tcPr>
          <w:p>
            <w:pPr>
              <w:pStyle w:val="TableText"/>
              <w:jc w:val="left"/>
            </w:pPr>
            <w:r>
              <w:t xml:space="preserve">Client IP from the right-most trusted proxy hop; JSON only, 1 MiB limit; malformed path parameters rejected; generic errors with a request id</w:t>
            </w:r>
          </w:p>
        </w:tc>
        <w:tc>
          <w:tcPr>
            <w:tcW w:w="1650" w:type="dxa"/>
            <w:vAlign w:val="top"/>
          </w:tcPr>
          <w:p>
            <w:pPr>
              <w:pStyle w:val="TableText"/>
              <w:jc w:val="left"/>
            </w:pPr>
            <w:r>
              <w:t xml:space="preserve">Low; per-replica limiter (SR-02)</w:t>
            </w:r>
          </w:p>
        </w:tc>
      </w:tr>
      <w:tr>
        <w:trPr>
          <w:cantSplit/>
        </w:trPr>
        <w:tc>
          <w:tcPr>
            <w:tcW w:w="1837" w:type="dxa"/>
            <w:shd w:val="clear" w:color="auto" w:fill="F4F7FB"/>
            <w:vAlign w:val="top"/>
          </w:tcPr>
          <w:p>
            <w:pPr>
              <w:pStyle w:val="TableText"/>
              <w:jc w:val="left"/>
            </w:pPr>
            <w:r>
              <w:t xml:space="preserve">Staff identity</w:t>
            </w:r>
          </w:p>
        </w:tc>
        <w:tc>
          <w:tcPr>
            <w:tcW w:w="2459" w:type="dxa"/>
            <w:shd w:val="clear" w:color="auto" w:fill="F4F7FB"/>
            <w:vAlign w:val="top"/>
          </w:tcPr>
          <w:p>
            <w:pPr>
              <w:pStyle w:val="TableText"/>
              <w:jc w:val="left"/>
            </w:pPr>
            <w:r>
              <w:t xml:space="preserve">Password guessing; code replay; privilege escalation</w:t>
            </w:r>
          </w:p>
        </w:tc>
        <w:tc>
          <w:tcPr>
            <w:tcW w:w="3081" w:type="dxa"/>
            <w:shd w:val="clear" w:color="auto" w:fill="F4F7FB"/>
            <w:vAlign w:val="top"/>
          </w:tcPr>
          <w:p>
            <w:pPr>
              <w:pStyle w:val="TableText"/>
              <w:jc w:val="left"/>
            </w:pPr>
            <w:r>
              <w:t xml:space="preserve">Password and TOTP for privileged roles; lockout covers both steps; codes cannot be reused; no self role or status change; separation of duties</w:t>
            </w:r>
          </w:p>
        </w:tc>
        <w:tc>
          <w:tcPr>
            <w:tcW w:w="1650" w:type="dxa"/>
            <w:shd w:val="clear" w:color="auto" w:fill="F4F7FB"/>
            <w:vAlign w:val="top"/>
          </w:tcPr>
          <w:p>
            <w:pPr>
              <w:pStyle w:val="TableText"/>
              <w:jc w:val="left"/>
            </w:pPr>
            <w:r>
              <w:t xml:space="preserve">Medium (SR-01)</w:t>
            </w:r>
          </w:p>
        </w:tc>
      </w:tr>
      <w:tr>
        <w:trPr>
          <w:cantSplit/>
        </w:trPr>
        <w:tc>
          <w:tcPr>
            <w:tcW w:w="1837" w:type="dxa"/>
            <w:vAlign w:val="top"/>
          </w:tcPr>
          <w:p>
            <w:pPr>
              <w:pStyle w:val="TableText"/>
              <w:jc w:val="left"/>
            </w:pPr>
            <w:r>
              <w:t xml:space="preserve">Customer session</w:t>
            </w:r>
          </w:p>
        </w:tc>
        <w:tc>
          <w:tcPr>
            <w:tcW w:w="2459" w:type="dxa"/>
            <w:vAlign w:val="top"/>
          </w:tcPr>
          <w:p>
            <w:pPr>
              <w:pStyle w:val="TableText"/>
              <w:jc w:val="left"/>
            </w:pPr>
            <w:r>
              <w:t xml:space="preserve">Link forgery; link reuse; session after erasure</w:t>
            </w:r>
          </w:p>
        </w:tc>
        <w:tc>
          <w:tcPr>
            <w:tcW w:w="3081" w:type="dxa"/>
            <w:vAlign w:val="top"/>
          </w:tcPr>
          <w:p>
            <w:pPr>
              <w:pStyle w:val="TableText"/>
              <w:jc w:val="left"/>
            </w:pPr>
            <w:r>
              <w:t xml:space="preserve">HMAC-signed links that expire after 30 days; customer tokens cannot reach staff routes; erased customers lose sessions</w:t>
            </w:r>
          </w:p>
        </w:tc>
        <w:tc>
          <w:tcPr>
            <w:tcW w:w="1650" w:type="dxa"/>
            <w:vAlign w:val="top"/>
          </w:tcPr>
          <w:p>
            <w:pPr>
              <w:pStyle w:val="TableText"/>
              <w:jc w:val="left"/>
            </w:pPr>
            <w:r>
              <w:t xml:space="preserve">Medium (SR-05)</w:t>
            </w:r>
          </w:p>
        </w:tc>
      </w:tr>
      <w:tr>
        <w:trPr>
          <w:cantSplit/>
        </w:trPr>
        <w:tc>
          <w:tcPr>
            <w:tcW w:w="1837" w:type="dxa"/>
            <w:shd w:val="clear" w:color="auto" w:fill="F4F7FB"/>
            <w:vAlign w:val="top"/>
          </w:tcPr>
          <w:p>
            <w:pPr>
              <w:pStyle w:val="TableText"/>
              <w:jc w:val="left"/>
            </w:pPr>
            <w:r>
              <w:t xml:space="preserve">Partner API</w:t>
            </w:r>
          </w:p>
        </w:tc>
        <w:tc>
          <w:tcPr>
            <w:tcW w:w="2459" w:type="dxa"/>
            <w:shd w:val="clear" w:color="auto" w:fill="F4F7FB"/>
            <w:vAlign w:val="top"/>
          </w:tcPr>
          <w:p>
            <w:pPr>
              <w:pStyle w:val="TableText"/>
              <w:jc w:val="left"/>
            </w:pPr>
            <w:r>
              <w:t xml:space="preserve">Stolen key; scope abuse; data exposure; data poisoning</w:t>
            </w:r>
          </w:p>
        </w:tc>
        <w:tc>
          <w:tcPr>
            <w:tcW w:w="3081" w:type="dxa"/>
            <w:shd w:val="clear" w:color="auto" w:fill="F4F7FB"/>
            <w:vAlign w:val="top"/>
          </w:tcPr>
          <w:p>
            <w:pPr>
              <w:pStyle w:val="TableText"/>
              <w:jc w:val="left"/>
            </w:pPr>
            <w:r>
              <w:t xml:space="preserve">Hashed keys, scopes per route, ownership checks, partner status check; partner data at lower trust</w:t>
            </w:r>
          </w:p>
        </w:tc>
        <w:tc>
          <w:tcPr>
            <w:tcW w:w="1650" w:type="dxa"/>
            <w:shd w:val="clear" w:color="auto" w:fill="F4F7FB"/>
            <w:vAlign w:val="top"/>
          </w:tcPr>
          <w:p>
            <w:pPr>
              <w:pStyle w:val="TableText"/>
              <w:jc w:val="left"/>
            </w:pPr>
            <w:r>
              <w:t xml:space="preserve">Medium (SR-03)</w:t>
            </w:r>
          </w:p>
        </w:tc>
      </w:tr>
      <w:tr>
        <w:trPr>
          <w:cantSplit/>
        </w:trPr>
        <w:tc>
          <w:tcPr>
            <w:tcW w:w="1837" w:type="dxa"/>
            <w:vAlign w:val="top"/>
          </w:tcPr>
          <w:p>
            <w:pPr>
              <w:pStyle w:val="TableText"/>
              <w:jc w:val="left"/>
            </w:pPr>
            <w:r>
              <w:t xml:space="preserve">Rules engine</w:t>
            </w:r>
          </w:p>
        </w:tc>
        <w:tc>
          <w:tcPr>
            <w:tcW w:w="2459" w:type="dxa"/>
            <w:vAlign w:val="top"/>
          </w:tcPr>
          <w:p>
            <w:pPr>
              <w:pStyle w:val="TableText"/>
              <w:jc w:val="left"/>
            </w:pPr>
            <w:r>
              <w:t xml:space="preserve">Code injection through rules; approving one’s own change</w:t>
            </w:r>
          </w:p>
        </w:tc>
        <w:tc>
          <w:tcPr>
            <w:tcW w:w="3081" w:type="dxa"/>
            <w:vAlign w:val="top"/>
          </w:tcPr>
          <w:p>
            <w:pPr>
              <w:pStyle w:val="TableText"/>
              <w:jc w:val="left"/>
            </w:pPr>
            <w:r>
              <w:t xml:space="preserve">No code evaluation, operator allow-list, prototype keys forbidden; four-eyes approval; restricted kinds need a compliance officer; transactional activation</w:t>
            </w:r>
          </w:p>
        </w:tc>
        <w:tc>
          <w:tcPr>
            <w:tcW w:w="1650" w:type="dxa"/>
            <w:vAlign w:val="top"/>
          </w:tcPr>
          <w:p>
            <w:pPr>
              <w:pStyle w:val="TableText"/>
              <w:jc w:val="left"/>
            </w:pPr>
            <w:r>
              <w:t xml:space="preserve">Low (SR-09)</w:t>
            </w:r>
          </w:p>
        </w:tc>
      </w:tr>
      <w:tr>
        <w:trPr>
          <w:cantSplit/>
        </w:trPr>
        <w:tc>
          <w:tcPr>
            <w:tcW w:w="1837" w:type="dxa"/>
            <w:shd w:val="clear" w:color="auto" w:fill="F4F7FB"/>
            <w:vAlign w:val="top"/>
          </w:tcPr>
          <w:p>
            <w:pPr>
              <w:pStyle w:val="TableText"/>
              <w:jc w:val="left"/>
            </w:pPr>
            <w:r>
              <w:t xml:space="preserve">Sales and payment</w:t>
            </w:r>
          </w:p>
        </w:tc>
        <w:tc>
          <w:tcPr>
            <w:tcW w:w="2459" w:type="dxa"/>
            <w:shd w:val="clear" w:color="auto" w:fill="F4F7FB"/>
            <w:vAlign w:val="top"/>
          </w:tcPr>
          <w:p>
            <w:pPr>
              <w:pStyle w:val="TableText"/>
              <w:jc w:val="left"/>
            </w:pPr>
            <w:r>
              <w:t xml:space="preserve">Staff debiting a wallet; double charging; paying an unconfirmed price</w:t>
            </w:r>
          </w:p>
        </w:tc>
        <w:tc>
          <w:tcPr>
            <w:tcW w:w="3081" w:type="dxa"/>
            <w:shd w:val="clear" w:color="auto" w:fill="F4F7FB"/>
            <w:vAlign w:val="top"/>
          </w:tcPr>
          <w:p>
            <w:pPr>
              <w:pStyle w:val="TableText"/>
              <w:jc w:val="left"/>
            </w:pPr>
            <w:r>
              <w:t xml:space="preserve">Only the customer can pay; atomic quote claim; idempotent orders; indicative quotes blocked; saga refund</w:t>
            </w:r>
          </w:p>
        </w:tc>
        <w:tc>
          <w:tcPr>
            <w:tcW w:w="1650" w:type="dxa"/>
            <w:shd w:val="clear" w:color="auto" w:fill="F4F7FB"/>
            <w:vAlign w:val="top"/>
          </w:tcPr>
          <w:p>
            <w:pPr>
              <w:pStyle w:val="TableText"/>
              <w:jc w:val="left"/>
            </w:pPr>
            <w:r>
              <w:t xml:space="preserve">Low (SR-11)</w:t>
            </w:r>
          </w:p>
        </w:tc>
      </w:tr>
      <w:tr>
        <w:trPr>
          <w:cantSplit/>
        </w:trPr>
        <w:tc>
          <w:tcPr>
            <w:tcW w:w="1837" w:type="dxa"/>
            <w:vAlign w:val="top"/>
          </w:tcPr>
          <w:p>
            <w:pPr>
              <w:pStyle w:val="TableText"/>
              <w:jc w:val="left"/>
            </w:pPr>
            <w:r>
              <w:t xml:space="preserve">Journeys and messaging</w:t>
            </w:r>
          </w:p>
        </w:tc>
        <w:tc>
          <w:tcPr>
            <w:tcW w:w="2459" w:type="dxa"/>
            <w:vAlign w:val="top"/>
          </w:tcPr>
          <w:p>
            <w:pPr>
              <w:pStyle w:val="TableText"/>
              <w:jc w:val="left"/>
            </w:pPr>
            <w:r>
              <w:t xml:space="preserve">Unlawful or misleading messages; double sends</w:t>
            </w:r>
          </w:p>
        </w:tc>
        <w:tc>
          <w:tcPr>
            <w:tcW w:w="3081" w:type="dxa"/>
            <w:vAlign w:val="top"/>
          </w:tcPr>
          <w:p>
            <w:pPr>
              <w:pStyle w:val="TableText"/>
              <w:jc w:val="left"/>
            </w:pPr>
            <w:r>
              <w:t xml:space="preserve">Contact policy, consent and caps; copy guard at approval and at send; overlapping runs prevented</w:t>
            </w:r>
          </w:p>
        </w:tc>
        <w:tc>
          <w:tcPr>
            <w:tcW w:w="1650" w:type="dxa"/>
            <w:vAlign w:val="top"/>
          </w:tcPr>
          <w:p>
            <w:pPr>
              <w:pStyle w:val="TableText"/>
              <w:jc w:val="left"/>
            </w:pPr>
            <w:r>
              <w:t xml:space="preserve">Low (SR-10)</w:t>
            </w:r>
          </w:p>
        </w:tc>
      </w:tr>
      <w:tr>
        <w:trPr>
          <w:cantSplit/>
        </w:trPr>
        <w:tc>
          <w:tcPr>
            <w:tcW w:w="1837" w:type="dxa"/>
            <w:shd w:val="clear" w:color="auto" w:fill="F4F7FB"/>
            <w:vAlign w:val="top"/>
          </w:tcPr>
          <w:p>
            <w:pPr>
              <w:pStyle w:val="TableText"/>
              <w:jc w:val="left"/>
            </w:pPr>
            <w:r>
              <w:t xml:space="preserve">Voice assistant</w:t>
            </w:r>
          </w:p>
        </w:tc>
        <w:tc>
          <w:tcPr>
            <w:tcW w:w="2459" w:type="dxa"/>
            <w:shd w:val="clear" w:color="auto" w:fill="F4F7FB"/>
            <w:vAlign w:val="top"/>
          </w:tcPr>
          <w:p>
            <w:pPr>
              <w:pStyle w:val="TableText"/>
              <w:jc w:val="left"/>
            </w:pPr>
            <w:r>
              <w:t xml:space="preserve">Vishing; disclosure of customer data on a call</w:t>
            </w:r>
          </w:p>
        </w:tc>
        <w:tc>
          <w:tcPr>
            <w:tcW w:w="3081" w:type="dxa"/>
            <w:shd w:val="clear" w:color="auto" w:fill="F4F7FB"/>
            <w:vAlign w:val="top"/>
          </w:tcPr>
          <w:p>
            <w:pPr>
              <w:pStyle w:val="TableText"/>
              <w:jc w:val="left"/>
            </w:pPr>
            <w:r>
              <w:t xml:space="preserve">Customer says the plate, bot never reads data; disclosure and trust line; transcript encrypted</w:t>
            </w:r>
          </w:p>
        </w:tc>
        <w:tc>
          <w:tcPr>
            <w:tcW w:w="1650" w:type="dxa"/>
            <w:shd w:val="clear" w:color="auto" w:fill="F4F7FB"/>
            <w:vAlign w:val="top"/>
          </w:tcPr>
          <w:p>
            <w:pPr>
              <w:pStyle w:val="TableText"/>
              <w:jc w:val="left"/>
            </w:pPr>
            <w:r>
              <w:t xml:space="preserve">Medium (SR-07)</w:t>
            </w:r>
          </w:p>
        </w:tc>
      </w:tr>
      <w:tr>
        <w:trPr>
          <w:cantSplit/>
        </w:trPr>
        <w:tc>
          <w:tcPr>
            <w:tcW w:w="1837" w:type="dxa"/>
            <w:vAlign w:val="top"/>
          </w:tcPr>
          <w:p>
            <w:pPr>
              <w:pStyle w:val="TableText"/>
              <w:jc w:val="left"/>
            </w:pPr>
            <w:r>
              <w:t xml:space="preserve">Persistence</w:t>
            </w:r>
          </w:p>
        </w:tc>
        <w:tc>
          <w:tcPr>
            <w:tcW w:w="2459" w:type="dxa"/>
            <w:vAlign w:val="top"/>
          </w:tcPr>
          <w:p>
            <w:pPr>
              <w:pStyle w:val="TableText"/>
              <w:jc w:val="left"/>
            </w:pPr>
            <w:r>
              <w:t xml:space="preserve">SQL injection; data theft from database or backups</w:t>
            </w:r>
          </w:p>
        </w:tc>
        <w:tc>
          <w:tcPr>
            <w:tcW w:w="3081" w:type="dxa"/>
            <w:vAlign w:val="top"/>
          </w:tcPr>
          <w:p>
            <w:pPr>
              <w:pStyle w:val="TableText"/>
              <w:jc w:val="left"/>
            </w:pPr>
            <w:r>
              <w:t xml:space="preserve">Parameterised SQL only, column allow-list, field encryption, TLS with certificate verification</w:t>
            </w:r>
          </w:p>
        </w:tc>
        <w:tc>
          <w:tcPr>
            <w:tcW w:w="1650" w:type="dxa"/>
            <w:vAlign w:val="top"/>
          </w:tcPr>
          <w:p>
            <w:pPr>
              <w:pStyle w:val="TableText"/>
              <w:jc w:val="left"/>
            </w:pPr>
            <w:r>
              <w:t xml:space="preserve">Low</w:t>
            </w:r>
          </w:p>
        </w:tc>
      </w:tr>
      <w:tr>
        <w:trPr>
          <w:cantSplit/>
        </w:trPr>
        <w:tc>
          <w:tcPr>
            <w:tcW w:w="1837" w:type="dxa"/>
            <w:shd w:val="clear" w:color="auto" w:fill="F4F7FB"/>
            <w:vAlign w:val="top"/>
          </w:tcPr>
          <w:p>
            <w:pPr>
              <w:pStyle w:val="TableText"/>
              <w:jc w:val="left"/>
            </w:pPr>
            <w:r>
              <w:t xml:space="preserve">Audit trail</w:t>
            </w:r>
          </w:p>
        </w:tc>
        <w:tc>
          <w:tcPr>
            <w:tcW w:w="2459" w:type="dxa"/>
            <w:shd w:val="clear" w:color="auto" w:fill="F4F7FB"/>
            <w:vAlign w:val="top"/>
          </w:tcPr>
          <w:p>
            <w:pPr>
              <w:pStyle w:val="TableText"/>
              <w:jc w:val="left"/>
            </w:pPr>
            <w:r>
              <w:t xml:space="preserve">Tampering or deletion</w:t>
            </w:r>
          </w:p>
        </w:tc>
        <w:tc>
          <w:tcPr>
            <w:tcW w:w="3081" w:type="dxa"/>
            <w:shd w:val="clear" w:color="auto" w:fill="F4F7FB"/>
            <w:vAlign w:val="top"/>
          </w:tcPr>
          <w:p>
            <w:pPr>
              <w:pStyle w:val="TableText"/>
              <w:jc w:val="left"/>
            </w:pPr>
            <w:r>
              <w:t xml:space="preserve">Hash chain; triggers block update, delete and truncate; verification on demand</w:t>
            </w:r>
          </w:p>
        </w:tc>
        <w:tc>
          <w:tcPr>
            <w:tcW w:w="1650" w:type="dxa"/>
            <w:shd w:val="clear" w:color="auto" w:fill="F4F7FB"/>
            <w:vAlign w:val="top"/>
          </w:tcPr>
          <w:p>
            <w:pPr>
              <w:pStyle w:val="TableText"/>
              <w:jc w:val="left"/>
            </w:pPr>
            <w:r>
              <w:t xml:space="preserve">Medium (SR-06)</w:t>
            </w:r>
          </w:p>
        </w:tc>
      </w:tr>
      <w:tr>
        <w:trPr>
          <w:cantSplit/>
        </w:trPr>
        <w:tc>
          <w:tcPr>
            <w:tcW w:w="1837" w:type="dxa"/>
            <w:vAlign w:val="top"/>
          </w:tcPr>
          <w:p>
            <w:pPr>
              <w:pStyle w:val="TableText"/>
              <w:jc w:val="left"/>
            </w:pPr>
            <w:r>
              <w:t xml:space="preserve">Outbound integrations</w:t>
            </w:r>
          </w:p>
        </w:tc>
        <w:tc>
          <w:tcPr>
            <w:tcW w:w="2459" w:type="dxa"/>
            <w:vAlign w:val="top"/>
          </w:tcPr>
          <w:p>
            <w:pPr>
              <w:pStyle w:val="TableText"/>
              <w:jc w:val="left"/>
            </w:pPr>
            <w:r>
              <w:t xml:space="preserve">Provider impersonation; duplicate side effects; slow providers</w:t>
            </w:r>
          </w:p>
        </w:tc>
        <w:tc>
          <w:tcPr>
            <w:tcW w:w="3081" w:type="dxa"/>
            <w:vAlign w:val="top"/>
          </w:tcPr>
          <w:p>
            <w:pPr>
              <w:pStyle w:val="TableText"/>
              <w:jc w:val="left"/>
            </w:pPr>
            <w:r>
              <w:t xml:space="preserve">TLS and mTLS through the egress proxy; idempotency keys; timeouts and circuit breakers</w:t>
            </w:r>
          </w:p>
        </w:tc>
        <w:tc>
          <w:tcPr>
            <w:tcW w:w="1650" w:type="dxa"/>
            <w:vAlign w:val="top"/>
          </w:tcPr>
          <w:p>
            <w:pPr>
              <w:pStyle w:val="TableText"/>
              <w:jc w:val="left"/>
            </w:pPr>
            <w:r>
              <w:t xml:space="preserve">Low (SR-12)</w:t>
            </w:r>
          </w:p>
        </w:tc>
      </w:tr>
      <w:tr>
        <w:trPr>
          <w:cantSplit/>
        </w:trPr>
        <w:tc>
          <w:tcPr>
            <w:tcW w:w="1837" w:type="dxa"/>
            <w:shd w:val="clear" w:color="auto" w:fill="F4F7FB"/>
            <w:vAlign w:val="top"/>
          </w:tcPr>
          <w:p>
            <w:pPr>
              <w:pStyle w:val="TableText"/>
              <w:jc w:val="left"/>
            </w:pPr>
            <w:r>
              <w:t xml:space="preserve">Front end</w:t>
            </w:r>
          </w:p>
        </w:tc>
        <w:tc>
          <w:tcPr>
            <w:tcW w:w="2459" w:type="dxa"/>
            <w:shd w:val="clear" w:color="auto" w:fill="F4F7FB"/>
            <w:vAlign w:val="top"/>
          </w:tcPr>
          <w:p>
            <w:pPr>
              <w:pStyle w:val="TableText"/>
              <w:jc w:val="left"/>
            </w:pPr>
            <w:r>
              <w:t xml:space="preserve">Cross-site scripting; clickjacking</w:t>
            </w:r>
          </w:p>
        </w:tc>
        <w:tc>
          <w:tcPr>
            <w:tcW w:w="3081" w:type="dxa"/>
            <w:shd w:val="clear" w:color="auto" w:fill="F4F7FB"/>
            <w:vAlign w:val="top"/>
          </w:tcPr>
          <w:p>
            <w:pPr>
              <w:pStyle w:val="TableText"/>
              <w:jc w:val="left"/>
            </w:pPr>
            <w:r>
              <w:t xml:space="preserve">Strict CSP with no inline script, rendering by text content only, frame embedding denied</w:t>
            </w:r>
          </w:p>
        </w:tc>
        <w:tc>
          <w:tcPr>
            <w:tcW w:w="1650" w:type="dxa"/>
            <w:shd w:val="clear" w:color="auto" w:fill="F4F7FB"/>
            <w:vAlign w:val="top"/>
          </w:tcPr>
          <w:p>
            <w:pPr>
              <w:pStyle w:val="TableText"/>
              <w:jc w:val="left"/>
            </w:pPr>
            <w:r>
              <w:t xml:space="preserve">Low</w:t>
            </w:r>
          </w:p>
        </w:tc>
      </w:tr>
      <w:tr>
        <w:trPr>
          <w:cantSplit/>
        </w:trPr>
        <w:tc>
          <w:tcPr>
            <w:tcW w:w="1837" w:type="dxa"/>
            <w:vAlign w:val="top"/>
          </w:tcPr>
          <w:p>
            <w:pPr>
              <w:pStyle w:val="TableText"/>
              <w:jc w:val="left"/>
            </w:pPr>
            <w:r>
              <w:t xml:space="preserve">Configuration</w:t>
            </w:r>
          </w:p>
        </w:tc>
        <w:tc>
          <w:tcPr>
            <w:tcW w:w="2459" w:type="dxa"/>
            <w:vAlign w:val="top"/>
          </w:tcPr>
          <w:p>
            <w:pPr>
              <w:pStyle w:val="TableText"/>
              <w:jc w:val="left"/>
            </w:pPr>
            <w:r>
              <w:t xml:space="preserve">Running production with demo features or missing secrets</w:t>
            </w:r>
          </w:p>
        </w:tc>
        <w:tc>
          <w:tcPr>
            <w:tcW w:w="3081" w:type="dxa"/>
            <w:vAlign w:val="top"/>
          </w:tcPr>
          <w:p>
            <w:pPr>
              <w:pStyle w:val="TableText"/>
              <w:jc w:val="left"/>
            </w:pPr>
            <w:r>
              <w:t xml:space="preserve">Production refuses to start without secrets or a database, or with demo mode on</w:t>
            </w:r>
          </w:p>
        </w:tc>
        <w:tc>
          <w:tcPr>
            <w:tcW w:w="1650" w:type="dxa"/>
            <w:vAlign w:val="top"/>
          </w:tcPr>
          <w:p>
            <w:pPr>
              <w:pStyle w:val="TableText"/>
              <w:jc w:val="left"/>
            </w:pPr>
            <w:r>
              <w:t xml:space="preserve">Low</w:t>
            </w:r>
          </w:p>
        </w:tc>
      </w:tr>
      <w:tr>
        <w:trPr>
          <w:cantSplit/>
        </w:trPr>
        <w:tc>
          <w:tcPr>
            <w:tcW w:w="1837" w:type="dxa"/>
            <w:shd w:val="clear" w:color="auto" w:fill="F4F7FB"/>
            <w:vAlign w:val="top"/>
          </w:tcPr>
          <w:p>
            <w:pPr>
              <w:pStyle w:val="TableText"/>
              <w:jc w:val="left"/>
            </w:pPr>
            <w:r>
              <w:t xml:space="preserve">Supply chain</w:t>
            </w:r>
          </w:p>
        </w:tc>
        <w:tc>
          <w:tcPr>
            <w:tcW w:w="2459" w:type="dxa"/>
            <w:shd w:val="clear" w:color="auto" w:fill="F4F7FB"/>
            <w:vAlign w:val="top"/>
          </w:tcPr>
          <w:p>
            <w:pPr>
              <w:pStyle w:val="TableText"/>
              <w:jc w:val="left"/>
            </w:pPr>
            <w:r>
              <w:t xml:space="preserve">Malicious or vulnerable dependency</w:t>
            </w:r>
          </w:p>
        </w:tc>
        <w:tc>
          <w:tcPr>
            <w:tcW w:w="3081" w:type="dxa"/>
            <w:shd w:val="clear" w:color="auto" w:fill="F4F7FB"/>
            <w:vAlign w:val="top"/>
          </w:tcPr>
          <w:p>
            <w:pPr>
              <w:pStyle w:val="TableText"/>
              <w:jc w:val="left"/>
            </w:pPr>
            <w:r>
              <w:t xml:space="preserve">One runtime dependency; lockfile; dependency, secret and container scanning; SBOM</w:t>
            </w:r>
          </w:p>
        </w:tc>
        <w:tc>
          <w:tcPr>
            <w:tcW w:w="1650" w:type="dxa"/>
            <w:shd w:val="clear" w:color="auto" w:fill="F4F7FB"/>
            <w:vAlign w:val="top"/>
          </w:tcPr>
          <w:p>
            <w:pPr>
              <w:pStyle w:val="TableText"/>
              <w:jc w:val="left"/>
            </w:pPr>
            <w:r>
              <w:t xml:space="preserve">Medium (SR-13)</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Identity and authentication</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90"/>
        <w:gridCol w:w="4744"/>
        <w:gridCol w:w="2593"/>
      </w:tblGrid>
      <w:tr>
        <w:trPr>
          <w:cantSplit/>
          <w:tblHeader/>
        </w:trPr>
        <w:tc>
          <w:tcPr>
            <w:tcW w:w="1690" w:type="dxa"/>
            <w:shd w:val="clear" w:color="auto" w:fill="0F4761"/>
            <w:vAlign w:val="center"/>
          </w:tcPr>
          <w:p>
            <w:pPr>
              <w:pStyle w:val="TableHeading"/>
              <w:jc w:val="left"/>
            </w:pPr>
            <w:r>
              <w:rPr>
                <w:color w:val="FFFFFF"/>
              </w:rPr>
              <w:t xml:space="preserve">Item</w:t>
            </w:r>
          </w:p>
        </w:tc>
        <w:tc>
          <w:tcPr>
            <w:tcW w:w="4744" w:type="dxa"/>
            <w:shd w:val="clear" w:color="auto" w:fill="0F4761"/>
            <w:vAlign w:val="center"/>
          </w:tcPr>
          <w:p>
            <w:pPr>
              <w:pStyle w:val="TableHeading"/>
              <w:jc w:val="left"/>
            </w:pPr>
            <w:r>
              <w:rPr>
                <w:color w:val="FFFFFF"/>
              </w:rPr>
              <w:t xml:space="preserve">Current design</w:t>
            </w:r>
          </w:p>
        </w:tc>
        <w:tc>
          <w:tcPr>
            <w:tcW w:w="2593" w:type="dxa"/>
            <w:shd w:val="clear" w:color="auto" w:fill="0F4761"/>
            <w:vAlign w:val="center"/>
          </w:tcPr>
          <w:p>
            <w:pPr>
              <w:pStyle w:val="TableHeading"/>
              <w:jc w:val="left"/>
            </w:pPr>
            <w:r>
              <w:rPr>
                <w:color w:val="FFFFFF"/>
              </w:rPr>
              <w:t xml:space="preserve">Target</w:t>
            </w:r>
          </w:p>
        </w:tc>
      </w:tr>
      <w:tr>
        <w:trPr>
          <w:cantSplit/>
        </w:trPr>
        <w:tc>
          <w:tcPr>
            <w:tcW w:w="1690" w:type="dxa"/>
            <w:vAlign w:val="top"/>
          </w:tcPr>
          <w:p>
            <w:pPr>
              <w:pStyle w:val="TableText"/>
              <w:jc w:val="left"/>
            </w:pPr>
            <w:r>
              <w:t xml:space="preserve">Staff sign-in</w:t>
            </w:r>
          </w:p>
        </w:tc>
        <w:tc>
          <w:tcPr>
            <w:tcW w:w="4744" w:type="dxa"/>
            <w:vAlign w:val="top"/>
          </w:tcPr>
          <w:p>
            <w:pPr>
              <w:pStyle w:val="TableText"/>
              <w:jc w:val="left"/>
            </w:pPr>
            <w:r>
              <w:t xml:space="preserve">Username and password (scrypt), then a TOTP code for privileged roles (administrator, rule approver, compliance officer, data steward) and any enrolled user. Users created by an administrator must change their password at first sign-in.</w:t>
            </w:r>
          </w:p>
        </w:tc>
        <w:tc>
          <w:tcPr>
            <w:tcW w:w="2593" w:type="dxa"/>
            <w:vAlign w:val="top"/>
          </w:tcPr>
          <w:p>
            <w:pPr>
              <w:pStyle w:val="TableText"/>
              <w:jc w:val="left"/>
            </w:pPr>
            <w:r>
              <w:t xml:space="preserve">OIDC with PKCE to the TASCO identity provider; MFA by conditional access</w:t>
            </w:r>
          </w:p>
        </w:tc>
      </w:tr>
      <w:tr>
        <w:trPr>
          <w:cantSplit/>
        </w:trPr>
        <w:tc>
          <w:tcPr>
            <w:tcW w:w="1690" w:type="dxa"/>
            <w:shd w:val="clear" w:color="auto" w:fill="F4F7FB"/>
            <w:vAlign w:val="top"/>
          </w:tcPr>
          <w:p>
            <w:pPr>
              <w:pStyle w:val="TableText"/>
              <w:jc w:val="left"/>
            </w:pPr>
            <w:r>
              <w:t xml:space="preserve">MFA enrolment</w:t>
            </w:r>
          </w:p>
        </w:tc>
        <w:tc>
          <w:tcPr>
            <w:tcW w:w="4744" w:type="dxa"/>
            <w:shd w:val="clear" w:color="auto" w:fill="F4F7FB"/>
            <w:vAlign w:val="top"/>
          </w:tcPr>
          <w:p>
            <w:pPr>
              <w:pStyle w:val="TableText"/>
              <w:jc w:val="left"/>
            </w:pPr>
            <w:r>
              <w:t xml:space="preserve">Self-enrolment at first sign-in: the QR code is shown only to the user who has just proved the password. Administrators never see authenticator seeds and can force re-enrolment.</w:t>
            </w:r>
          </w:p>
        </w:tc>
        <w:tc>
          <w:tcPr>
            <w:tcW w:w="2593" w:type="dxa"/>
            <w:shd w:val="clear" w:color="auto" w:fill="F4F7FB"/>
            <w:vAlign w:val="top"/>
          </w:tcPr>
          <w:p>
            <w:pPr>
              <w:pStyle w:val="TableText"/>
              <w:jc w:val="left"/>
            </w:pPr>
            <w:r>
              <w:t xml:space="preserve">WebAuthn for administrators</w:t>
            </w:r>
          </w:p>
        </w:tc>
      </w:tr>
      <w:tr>
        <w:trPr>
          <w:cantSplit/>
        </w:trPr>
        <w:tc>
          <w:tcPr>
            <w:tcW w:w="1690" w:type="dxa"/>
            <w:vAlign w:val="top"/>
          </w:tcPr>
          <w:p>
            <w:pPr>
              <w:pStyle w:val="TableText"/>
              <w:jc w:val="left"/>
            </w:pPr>
            <w:r>
              <w:t xml:space="preserve">Code verification</w:t>
            </w:r>
          </w:p>
        </w:tc>
        <w:tc>
          <w:tcPr>
            <w:tcW w:w="4744" w:type="dxa"/>
            <w:vAlign w:val="top"/>
          </w:tcPr>
          <w:p>
            <w:pPr>
              <w:pStyle w:val="TableText"/>
              <w:jc w:val="left"/>
            </w:pPr>
            <w:r>
              <w:t xml:space="preserve">6-digit TOTP with one step of tolerance; a code cannot be reused; failures count towards lockout</w:t>
            </w:r>
          </w:p>
        </w:tc>
        <w:tc>
          <w:tcPr>
            <w:tcW w:w="2593" w:type="dxa"/>
            <w:vAlign w:val="top"/>
          </w:tcPr>
          <w:p>
            <w:pPr>
              <w:pStyle w:val="TableText"/>
              <w:jc w:val="left"/>
            </w:pPr>
            <w:r>
              <w:t xml:space="preserve">Single-use MFA step token</w:t>
            </w:r>
          </w:p>
        </w:tc>
      </w:tr>
      <w:tr>
        <w:trPr>
          <w:cantSplit/>
        </w:trPr>
        <w:tc>
          <w:tcPr>
            <w:tcW w:w="1690" w:type="dxa"/>
            <w:shd w:val="clear" w:color="auto" w:fill="F4F7FB"/>
            <w:vAlign w:val="top"/>
          </w:tcPr>
          <w:p>
            <w:pPr>
              <w:pStyle w:val="TableText"/>
              <w:jc w:val="left"/>
            </w:pPr>
            <w:r>
              <w:t xml:space="preserve">Lockout</w:t>
            </w:r>
          </w:p>
        </w:tc>
        <w:tc>
          <w:tcPr>
            <w:tcW w:w="4744" w:type="dxa"/>
            <w:shd w:val="clear" w:color="auto" w:fill="F4F7FB"/>
            <w:vAlign w:val="top"/>
          </w:tcPr>
          <w:p>
            <w:pPr>
              <w:pStyle w:val="TableText"/>
              <w:jc w:val="left"/>
            </w:pPr>
            <w:r>
              <w:t xml:space="preserve">5 failures lock the account for 15 minutes, covering password and code; audited. The service desk can unlock; nobody can unlock their own account.</w:t>
            </w:r>
          </w:p>
        </w:tc>
        <w:tc>
          <w:tcPr>
            <w:tcW w:w="2593" w:type="dxa"/>
            <w:shd w:val="clear" w:color="auto" w:fill="F4F7FB"/>
            <w:vAlign w:val="top"/>
          </w:tcPr>
          <w:p>
            <w:pPr>
              <w:pStyle w:val="TableText"/>
              <w:jc w:val="left"/>
            </w:pPr>
            <w:r>
              <w:t xml:space="preserve">Progressive delays and spray detection</w:t>
            </w:r>
          </w:p>
        </w:tc>
      </w:tr>
      <w:tr>
        <w:trPr>
          <w:cantSplit/>
        </w:trPr>
        <w:tc>
          <w:tcPr>
            <w:tcW w:w="1690" w:type="dxa"/>
            <w:vAlign w:val="top"/>
          </w:tcPr>
          <w:p>
            <w:pPr>
              <w:pStyle w:val="TableText"/>
              <w:jc w:val="left"/>
            </w:pPr>
            <w:r>
              <w:t xml:space="preserve">Staff token</w:t>
            </w:r>
          </w:p>
        </w:tc>
        <w:tc>
          <w:tcPr>
            <w:tcW w:w="4744" w:type="dxa"/>
            <w:vAlign w:val="top"/>
          </w:tcPr>
          <w:p>
            <w:pPr>
              <w:pStyle w:val="TableText"/>
              <w:jc w:val="left"/>
            </w:pPr>
            <w:r>
              <w:t xml:space="preserve">Signed token for staff only, with roles, region and a unique id; 30 minutes</w:t>
            </w:r>
          </w:p>
        </w:tc>
        <w:tc>
          <w:tcPr>
            <w:tcW w:w="2593" w:type="dxa"/>
            <w:vAlign w:val="top"/>
          </w:tcPr>
          <w:p>
            <w:pPr>
              <w:pStyle w:val="TableText"/>
              <w:jc w:val="left"/>
            </w:pPr>
            <w:r>
              <w:t xml:space="preserve">Asymmetric tokens from the identity provider</w:t>
            </w:r>
          </w:p>
        </w:tc>
      </w:tr>
      <w:tr>
        <w:trPr>
          <w:cantSplit/>
        </w:trPr>
        <w:tc>
          <w:tcPr>
            <w:tcW w:w="1690" w:type="dxa"/>
            <w:shd w:val="clear" w:color="auto" w:fill="F4F7FB"/>
            <w:vAlign w:val="top"/>
          </w:tcPr>
          <w:p>
            <w:pPr>
              <w:pStyle w:val="TableText"/>
              <w:jc w:val="left"/>
            </w:pPr>
            <w:r>
              <w:t xml:space="preserve">Revocation</w:t>
            </w:r>
          </w:p>
        </w:tc>
        <w:tc>
          <w:tcPr>
            <w:tcW w:w="4744" w:type="dxa"/>
            <w:shd w:val="clear" w:color="auto" w:fill="F4F7FB"/>
            <w:vAlign w:val="top"/>
          </w:tcPr>
          <w:p>
            <w:pPr>
              <w:pStyle w:val="TableText"/>
              <w:jc w:val="left"/>
            </w:pPr>
            <w:r>
              <w:t xml:space="preserve">Password change, MFA reset and role, status or region change revoke earlier tokens on every pod. Logout revokes the token on the pod that handled it.</w:t>
            </w:r>
          </w:p>
        </w:tc>
        <w:tc>
          <w:tcPr>
            <w:tcW w:w="2593" w:type="dxa"/>
            <w:shd w:val="clear" w:color="auto" w:fill="F4F7FB"/>
            <w:vAlign w:val="top"/>
          </w:tcPr>
          <w:p>
            <w:pPr>
              <w:pStyle w:val="TableText"/>
              <w:jc w:val="left"/>
            </w:pPr>
            <w:r>
              <w:t xml:space="preserve">Shared revocation list</w:t>
            </w:r>
          </w:p>
        </w:tc>
      </w:tr>
      <w:tr>
        <w:trPr>
          <w:cantSplit/>
        </w:trPr>
        <w:tc>
          <w:tcPr>
            <w:tcW w:w="1690" w:type="dxa"/>
            <w:vAlign w:val="top"/>
          </w:tcPr>
          <w:p>
            <w:pPr>
              <w:pStyle w:val="TableText"/>
              <w:jc w:val="left"/>
            </w:pPr>
            <w:r>
              <w:t xml:space="preserve">Customer</w:t>
            </w:r>
          </w:p>
        </w:tc>
        <w:tc>
          <w:tcPr>
            <w:tcW w:w="4744" w:type="dxa"/>
            <w:vAlign w:val="top"/>
          </w:tcPr>
          <w:p>
            <w:pPr>
              <w:pStyle w:val="TableText"/>
              <w:jc w:val="left"/>
            </w:pPr>
            <w:r>
              <w:t xml:space="preserve">Signed renewal link, then a one-hour customer token</w:t>
            </w:r>
          </w:p>
        </w:tc>
        <w:tc>
          <w:tcPr>
            <w:tcW w:w="2593" w:type="dxa"/>
            <w:vAlign w:val="top"/>
          </w:tcPr>
          <w:p>
            <w:pPr>
              <w:pStyle w:val="TableText"/>
              <w:jc w:val="left"/>
            </w:pPr>
            <w:r>
              <w:t xml:space="preserve">VETC app sign-on exchanged for a customer token</w:t>
            </w:r>
          </w:p>
        </w:tc>
      </w:tr>
      <w:tr>
        <w:trPr>
          <w:cantSplit/>
        </w:trPr>
        <w:tc>
          <w:tcPr>
            <w:tcW w:w="1690" w:type="dxa"/>
            <w:shd w:val="clear" w:color="auto" w:fill="F4F7FB"/>
            <w:vAlign w:val="top"/>
          </w:tcPr>
          <w:p>
            <w:pPr>
              <w:pStyle w:val="TableText"/>
              <w:jc w:val="left"/>
            </w:pPr>
            <w:r>
              <w:t xml:space="preserve">Partner</w:t>
            </w:r>
          </w:p>
        </w:tc>
        <w:tc>
          <w:tcPr>
            <w:tcW w:w="4744" w:type="dxa"/>
            <w:shd w:val="clear" w:color="auto" w:fill="F4F7FB"/>
            <w:vAlign w:val="top"/>
          </w:tcPr>
          <w:p>
            <w:pPr>
              <w:pStyle w:val="TableText"/>
              <w:jc w:val="left"/>
            </w:pPr>
            <w:r>
              <w:t xml:space="preserve">API key stored as a hash, revocable, with scopes for quote, purchase and policy reading</w:t>
            </w:r>
          </w:p>
        </w:tc>
        <w:tc>
          <w:tcPr>
            <w:tcW w:w="2593" w:type="dxa"/>
            <w:shd w:val="clear" w:color="auto" w:fill="F4F7FB"/>
            <w:vAlign w:val="top"/>
          </w:tcPr>
          <w:p>
            <w:pPr>
              <w:pStyle w:val="TableText"/>
              <w:jc w:val="left"/>
            </w:pPr>
            <w:r>
              <w:t xml:space="preserve">OAuth 2.0 client credentials or mTLS at the gateway</w:t>
            </w:r>
          </w:p>
        </w:tc>
      </w:tr>
    </w:tbl>
    <w:p>
      <w:pPr>
        <w:pStyle w:val="BodyText"/>
        <w:spacing w:before="160"/>
      </w:pPr>
      <w:r>
        <w:t xml:space="preserve">MFA is recommended for the telesales supervisor, partner manager and support engineer roles as well, and for all staff once the identity provider is in place. The hosted UAT uses demonstration sign-in settings that work only in demo mode, which production refuses. The UAT password is distributed in the access workbook and is never written in documents.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Authorisation</w:t>
      </w:r>
      <w:bookmarkEnd w:id="18"/>
    </w:p>
    <w:p>
      <w:pPr>
        <w:pStyle w:val="FirstParagraph"/>
      </w:pPr>
      <w:r>
        <w:t xml:space="preserve">Authorisation runs in two steps: role-based permissions first, then attribute-based policies on the specific record. The role mapping lives in</w:t>
      </w:r>
      <w:r>
        <w:t xml:space="preserve"> </w:t>
      </w:r>
      <w:r>
        <w:rPr>
          <w:rStyle w:val="CodeChar"/>
        </w:rPr>
        <w:t xml:space="preserve">config/security/rbac.json</w:t>
      </w:r>
      <w:r>
        <w:t xml:space="preserve"> </w:t>
      </w:r>
      <w:r>
        <w:t xml:space="preserve">and changes only through code review and the change advisory board; it is deliberately not a business rule.</w:t>
      </w:r>
    </w:p>
    <w:p>
      <w:pPr>
        <w:pStyle w:val="Heading2"/>
      </w:pPr>
      <w:bookmarkStart w:id="19" w:name="_Toc300000015"/>
      <w:r>
        <w:t xml:space="preserve">Roles and capabilities</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36"/>
        <w:gridCol w:w="4202"/>
        <w:gridCol w:w="1350"/>
        <w:gridCol w:w="1539"/>
      </w:tblGrid>
      <w:tr>
        <w:trPr>
          <w:cantSplit/>
          <w:tblHeader/>
        </w:trPr>
        <w:tc>
          <w:tcPr>
            <w:tcW w:w="1936" w:type="dxa"/>
            <w:shd w:val="clear" w:color="auto" w:fill="0F4761"/>
            <w:vAlign w:val="center"/>
          </w:tcPr>
          <w:p>
            <w:pPr>
              <w:pStyle w:val="TableHeading"/>
              <w:jc w:val="left"/>
            </w:pPr>
            <w:r>
              <w:rPr>
                <w:color w:val="FFFFFF"/>
              </w:rPr>
              <w:t xml:space="preserve">Role</w:t>
            </w:r>
          </w:p>
        </w:tc>
        <w:tc>
          <w:tcPr>
            <w:tcW w:w="4202" w:type="dxa"/>
            <w:shd w:val="clear" w:color="auto" w:fill="0F4761"/>
            <w:vAlign w:val="center"/>
          </w:tcPr>
          <w:p>
            <w:pPr>
              <w:pStyle w:val="TableHeading"/>
              <w:jc w:val="left"/>
            </w:pPr>
            <w:r>
              <w:rPr>
                <w:color w:val="FFFFFF"/>
              </w:rPr>
              <w:t xml:space="preserve">Main capabilities</w:t>
            </w:r>
          </w:p>
        </w:tc>
        <w:tc>
          <w:tcPr>
            <w:tcW w:w="1350" w:type="dxa"/>
            <w:shd w:val="clear" w:color="auto" w:fill="0F4761"/>
            <w:vAlign w:val="center"/>
          </w:tcPr>
          <w:p>
            <w:pPr>
              <w:pStyle w:val="TableHeading"/>
              <w:jc w:val="left"/>
            </w:pPr>
            <w:r>
              <w:rPr>
                <w:color w:val="FFFFFF"/>
              </w:rPr>
              <w:t xml:space="preserve">Sees personal data</w:t>
            </w:r>
          </w:p>
        </w:tc>
        <w:tc>
          <w:tcPr>
            <w:tcW w:w="1539" w:type="dxa"/>
            <w:shd w:val="clear" w:color="auto" w:fill="0F4761"/>
            <w:vAlign w:val="center"/>
          </w:tcPr>
          <w:p>
            <w:pPr>
              <w:pStyle w:val="TableHeading"/>
              <w:jc w:val="left"/>
            </w:pPr>
            <w:r>
              <w:rPr>
                <w:color w:val="FFFFFF"/>
              </w:rPr>
              <w:t xml:space="preserve">MFA required</w:t>
            </w:r>
          </w:p>
        </w:tc>
      </w:tr>
      <w:tr>
        <w:trPr>
          <w:cantSplit/>
        </w:trPr>
        <w:tc>
          <w:tcPr>
            <w:tcW w:w="1936" w:type="dxa"/>
            <w:vAlign w:val="top"/>
          </w:tcPr>
          <w:p>
            <w:pPr>
              <w:pStyle w:val="TableText"/>
              <w:jc w:val="left"/>
            </w:pPr>
            <w:r>
              <w:t xml:space="preserve">Administrator</w:t>
            </w:r>
          </w:p>
        </w:tc>
        <w:tc>
          <w:tcPr>
            <w:tcW w:w="4202" w:type="dxa"/>
            <w:vAlign w:val="top"/>
          </w:tcPr>
          <w:p>
            <w:pPr>
              <w:pStyle w:val="TableText"/>
              <w:jc w:val="left"/>
            </w:pPr>
            <w:r>
              <w:t xml:space="preserve">Manage users, run operational jobs, view operations, audit and rules</w:t>
            </w:r>
          </w:p>
        </w:tc>
        <w:tc>
          <w:tcPr>
            <w:tcW w:w="1350" w:type="dxa"/>
            <w:vAlign w:val="top"/>
          </w:tcPr>
          <w:p>
            <w:pPr>
              <w:pStyle w:val="TableText"/>
              <w:jc w:val="left"/>
            </w:pPr>
            <w:r>
              <w:t xml:space="preserve">No</w:t>
            </w:r>
          </w:p>
        </w:tc>
        <w:tc>
          <w:tcPr>
            <w:tcW w:w="1539" w:type="dxa"/>
            <w:vAlign w:val="top"/>
          </w:tcPr>
          <w:p>
            <w:pPr>
              <w:pStyle w:val="TableText"/>
              <w:jc w:val="left"/>
            </w:pPr>
            <w:r>
              <w:t xml:space="preserve">Yes</w:t>
            </w:r>
          </w:p>
        </w:tc>
      </w:tr>
      <w:tr>
        <w:trPr>
          <w:cantSplit/>
        </w:trPr>
        <w:tc>
          <w:tcPr>
            <w:tcW w:w="1936" w:type="dxa"/>
            <w:shd w:val="clear" w:color="auto" w:fill="F4F7FB"/>
            <w:vAlign w:val="top"/>
          </w:tcPr>
          <w:p>
            <w:pPr>
              <w:pStyle w:val="TableText"/>
              <w:jc w:val="left"/>
            </w:pPr>
            <w:r>
              <w:t xml:space="preserve">Executive</w:t>
            </w:r>
          </w:p>
        </w:tc>
        <w:tc>
          <w:tcPr>
            <w:tcW w:w="4202" w:type="dxa"/>
            <w:shd w:val="clear" w:color="auto" w:fill="F4F7FB"/>
            <w:vAlign w:val="top"/>
          </w:tcPr>
          <w:p>
            <w:pPr>
              <w:pStyle w:val="TableText"/>
              <w:jc w:val="left"/>
            </w:pPr>
            <w:r>
              <w:t xml:space="preserve">View dashboards</w:t>
            </w:r>
          </w:p>
        </w:tc>
        <w:tc>
          <w:tcPr>
            <w:tcW w:w="1350" w:type="dxa"/>
            <w:shd w:val="clear" w:color="auto" w:fill="F4F7FB"/>
            <w:vAlign w:val="top"/>
          </w:tcPr>
          <w:p>
            <w:pPr>
              <w:pStyle w:val="TableText"/>
              <w:jc w:val="left"/>
            </w:pPr>
            <w:r>
              <w:t xml:space="preserve">No</w:t>
            </w:r>
          </w:p>
        </w:tc>
        <w:tc>
          <w:tcPr>
            <w:tcW w:w="1539" w:type="dxa"/>
            <w:shd w:val="clear" w:color="auto" w:fill="F4F7FB"/>
            <w:vAlign w:val="top"/>
          </w:tcPr>
          <w:p>
            <w:pPr>
              <w:pStyle w:val="TableText"/>
              <w:jc w:val="left"/>
            </w:pPr>
            <w:r>
              <w:t xml:space="preserve">No</w:t>
            </w:r>
          </w:p>
        </w:tc>
      </w:tr>
      <w:tr>
        <w:trPr>
          <w:cantSplit/>
        </w:trPr>
        <w:tc>
          <w:tcPr>
            <w:tcW w:w="1936" w:type="dxa"/>
            <w:vAlign w:val="top"/>
          </w:tcPr>
          <w:p>
            <w:pPr>
              <w:pStyle w:val="TableText"/>
              <w:jc w:val="left"/>
            </w:pPr>
            <w:r>
              <w:t xml:space="preserve">Campaign manager</w:t>
            </w:r>
          </w:p>
        </w:tc>
        <w:tc>
          <w:tcPr>
            <w:tcW w:w="4202" w:type="dxa"/>
            <w:vAlign w:val="top"/>
          </w:tcPr>
          <w:p>
            <w:pPr>
              <w:pStyle w:val="TableText"/>
              <w:jc w:val="left"/>
            </w:pPr>
            <w:r>
              <w:t xml:space="preserve">View and re-score leads, run journeys and voice campaigns, view handoffs and rules</w:t>
            </w:r>
          </w:p>
        </w:tc>
        <w:tc>
          <w:tcPr>
            <w:tcW w:w="1350" w:type="dxa"/>
            <w:vAlign w:val="top"/>
          </w:tcPr>
          <w:p>
            <w:pPr>
              <w:pStyle w:val="TableText"/>
              <w:jc w:val="left"/>
            </w:pPr>
            <w:r>
              <w:t xml:space="preserve">Masked</w:t>
            </w:r>
          </w:p>
        </w:tc>
        <w:tc>
          <w:tcPr>
            <w:tcW w:w="1539" w:type="dxa"/>
            <w:vAlign w:val="top"/>
          </w:tcPr>
          <w:p>
            <w:pPr>
              <w:pStyle w:val="TableText"/>
              <w:jc w:val="left"/>
            </w:pPr>
            <w:r>
              <w:t xml:space="preserve">No</w:t>
            </w:r>
          </w:p>
        </w:tc>
      </w:tr>
      <w:tr>
        <w:trPr>
          <w:cantSplit/>
        </w:trPr>
        <w:tc>
          <w:tcPr>
            <w:tcW w:w="1936" w:type="dxa"/>
            <w:shd w:val="clear" w:color="auto" w:fill="F4F7FB"/>
            <w:vAlign w:val="top"/>
          </w:tcPr>
          <w:p>
            <w:pPr>
              <w:pStyle w:val="TableText"/>
              <w:jc w:val="left"/>
            </w:pPr>
            <w:r>
              <w:t xml:space="preserve">Telesales agent</w:t>
            </w:r>
          </w:p>
        </w:tc>
        <w:tc>
          <w:tcPr>
            <w:tcW w:w="4202" w:type="dxa"/>
            <w:shd w:val="clear" w:color="auto" w:fill="F4F7FB"/>
            <w:vAlign w:val="top"/>
          </w:tcPr>
          <w:p>
            <w:pPr>
              <w:pStyle w:val="TableText"/>
              <w:jc w:val="left"/>
            </w:pPr>
            <w:r>
              <w:t xml:space="preserve">Work own handoffs, view customers, create and send quotes, view policies, run voice sessions</w:t>
            </w:r>
          </w:p>
        </w:tc>
        <w:tc>
          <w:tcPr>
            <w:tcW w:w="1350" w:type="dxa"/>
            <w:shd w:val="clear" w:color="auto" w:fill="F4F7FB"/>
            <w:vAlign w:val="top"/>
          </w:tcPr>
          <w:p>
            <w:pPr>
              <w:pStyle w:val="TableText"/>
              <w:jc w:val="left"/>
            </w:pPr>
            <w:r>
              <w:t xml:space="preserve">Yes, own region</w:t>
            </w:r>
          </w:p>
        </w:tc>
        <w:tc>
          <w:tcPr>
            <w:tcW w:w="1539" w:type="dxa"/>
            <w:shd w:val="clear" w:color="auto" w:fill="F4F7FB"/>
            <w:vAlign w:val="top"/>
          </w:tcPr>
          <w:p>
            <w:pPr>
              <w:pStyle w:val="TableText"/>
              <w:jc w:val="left"/>
            </w:pPr>
            <w:r>
              <w:t xml:space="preserve">No</w:t>
            </w:r>
          </w:p>
        </w:tc>
      </w:tr>
      <w:tr>
        <w:trPr>
          <w:cantSplit/>
        </w:trPr>
        <w:tc>
          <w:tcPr>
            <w:tcW w:w="1936" w:type="dxa"/>
            <w:vAlign w:val="top"/>
          </w:tcPr>
          <w:p>
            <w:pPr>
              <w:pStyle w:val="TableText"/>
              <w:jc w:val="left"/>
            </w:pPr>
            <w:r>
              <w:t xml:space="preserve">Telesales supervisor</w:t>
            </w:r>
          </w:p>
        </w:tc>
        <w:tc>
          <w:tcPr>
            <w:tcW w:w="4202" w:type="dxa"/>
            <w:vAlign w:val="top"/>
          </w:tcPr>
          <w:p>
            <w:pPr>
              <w:pStyle w:val="TableText"/>
              <w:jc w:val="left"/>
            </w:pPr>
            <w:r>
              <w:t xml:space="preserve">As telesales agent, plus assign handoffs and view dashboards</w:t>
            </w:r>
          </w:p>
        </w:tc>
        <w:tc>
          <w:tcPr>
            <w:tcW w:w="1350" w:type="dxa"/>
            <w:vAlign w:val="top"/>
          </w:tcPr>
          <w:p>
            <w:pPr>
              <w:pStyle w:val="TableText"/>
              <w:jc w:val="left"/>
            </w:pPr>
            <w:r>
              <w:t xml:space="preserve">Yes, own region</w:t>
            </w:r>
          </w:p>
        </w:tc>
        <w:tc>
          <w:tcPr>
            <w:tcW w:w="1539" w:type="dxa"/>
            <w:vAlign w:val="top"/>
          </w:tcPr>
          <w:p>
            <w:pPr>
              <w:pStyle w:val="TableText"/>
              <w:jc w:val="left"/>
            </w:pPr>
            <w:r>
              <w:t xml:space="preserve">Recommended</w:t>
            </w:r>
          </w:p>
        </w:tc>
      </w:tr>
      <w:tr>
        <w:trPr>
          <w:cantSplit/>
        </w:trPr>
        <w:tc>
          <w:tcPr>
            <w:tcW w:w="1936" w:type="dxa"/>
            <w:shd w:val="clear" w:color="auto" w:fill="F4F7FB"/>
            <w:vAlign w:val="top"/>
          </w:tcPr>
          <w:p>
            <w:pPr>
              <w:pStyle w:val="TableText"/>
              <w:jc w:val="left"/>
            </w:pPr>
            <w:r>
              <w:t xml:space="preserve">Rule author</w:t>
            </w:r>
          </w:p>
        </w:tc>
        <w:tc>
          <w:tcPr>
            <w:tcW w:w="4202" w:type="dxa"/>
            <w:shd w:val="clear" w:color="auto" w:fill="F4F7FB"/>
            <w:vAlign w:val="top"/>
          </w:tcPr>
          <w:p>
            <w:pPr>
              <w:pStyle w:val="TableText"/>
              <w:jc w:val="left"/>
            </w:pPr>
            <w:r>
              <w:t xml:space="preserve">Draft, simulate and submit rule changes</w:t>
            </w:r>
          </w:p>
        </w:tc>
        <w:tc>
          <w:tcPr>
            <w:tcW w:w="1350" w:type="dxa"/>
            <w:shd w:val="clear" w:color="auto" w:fill="F4F7FB"/>
            <w:vAlign w:val="top"/>
          </w:tcPr>
          <w:p>
            <w:pPr>
              <w:pStyle w:val="TableText"/>
              <w:jc w:val="left"/>
            </w:pPr>
            <w:r>
              <w:t xml:space="preserve">No</w:t>
            </w:r>
          </w:p>
        </w:tc>
        <w:tc>
          <w:tcPr>
            <w:tcW w:w="1539" w:type="dxa"/>
            <w:shd w:val="clear" w:color="auto" w:fill="F4F7FB"/>
            <w:vAlign w:val="top"/>
          </w:tcPr>
          <w:p>
            <w:pPr>
              <w:pStyle w:val="TableText"/>
              <w:jc w:val="left"/>
            </w:pPr>
            <w:r>
              <w:t xml:space="preserve">No</w:t>
            </w:r>
          </w:p>
        </w:tc>
      </w:tr>
      <w:tr>
        <w:trPr>
          <w:cantSplit/>
        </w:trPr>
        <w:tc>
          <w:tcPr>
            <w:tcW w:w="1936" w:type="dxa"/>
            <w:vAlign w:val="top"/>
          </w:tcPr>
          <w:p>
            <w:pPr>
              <w:pStyle w:val="TableText"/>
              <w:jc w:val="left"/>
            </w:pPr>
            <w:r>
              <w:t xml:space="preserve">Rule approver</w:t>
            </w:r>
          </w:p>
        </w:tc>
        <w:tc>
          <w:tcPr>
            <w:tcW w:w="4202" w:type="dxa"/>
            <w:vAlign w:val="top"/>
          </w:tcPr>
          <w:p>
            <w:pPr>
              <w:pStyle w:val="TableText"/>
              <w:jc w:val="left"/>
            </w:pPr>
            <w:r>
              <w:t xml:space="preserve">Approve or reject rule changes, view audit</w:t>
            </w:r>
          </w:p>
        </w:tc>
        <w:tc>
          <w:tcPr>
            <w:tcW w:w="1350" w:type="dxa"/>
            <w:vAlign w:val="top"/>
          </w:tcPr>
          <w:p>
            <w:pPr>
              <w:pStyle w:val="TableText"/>
              <w:jc w:val="left"/>
            </w:pPr>
            <w:r>
              <w:t xml:space="preserve">No</w:t>
            </w:r>
          </w:p>
        </w:tc>
        <w:tc>
          <w:tcPr>
            <w:tcW w:w="1539" w:type="dxa"/>
            <w:vAlign w:val="top"/>
          </w:tcPr>
          <w:p>
            <w:pPr>
              <w:pStyle w:val="TableText"/>
              <w:jc w:val="left"/>
            </w:pPr>
            <w:r>
              <w:t xml:space="preserve">Yes</w:t>
            </w:r>
          </w:p>
        </w:tc>
      </w:tr>
      <w:tr>
        <w:trPr>
          <w:cantSplit/>
        </w:trPr>
        <w:tc>
          <w:tcPr>
            <w:tcW w:w="1936" w:type="dxa"/>
            <w:shd w:val="clear" w:color="auto" w:fill="F4F7FB"/>
            <w:vAlign w:val="top"/>
          </w:tcPr>
          <w:p>
            <w:pPr>
              <w:pStyle w:val="TableText"/>
              <w:jc w:val="left"/>
            </w:pPr>
            <w:r>
              <w:t xml:space="preserve">Compliance officer</w:t>
            </w:r>
          </w:p>
        </w:tc>
        <w:tc>
          <w:tcPr>
            <w:tcW w:w="4202" w:type="dxa"/>
            <w:shd w:val="clear" w:color="auto" w:fill="F4F7FB"/>
            <w:vAlign w:val="top"/>
          </w:tcPr>
          <w:p>
            <w:pPr>
              <w:pStyle w:val="TableText"/>
              <w:jc w:val="left"/>
            </w:pPr>
            <w:r>
              <w:t xml:space="preserve">Approve rule changes including restricted kinds, view audit, handle data subject requests</w:t>
            </w:r>
          </w:p>
        </w:tc>
        <w:tc>
          <w:tcPr>
            <w:tcW w:w="1350" w:type="dxa"/>
            <w:shd w:val="clear" w:color="auto" w:fill="F4F7FB"/>
            <w:vAlign w:val="top"/>
          </w:tcPr>
          <w:p>
            <w:pPr>
              <w:pStyle w:val="TableText"/>
              <w:jc w:val="left"/>
            </w:pPr>
            <w:r>
              <w:t xml:space="preserve">Masked</w:t>
            </w:r>
          </w:p>
        </w:tc>
        <w:tc>
          <w:tcPr>
            <w:tcW w:w="1539" w:type="dxa"/>
            <w:shd w:val="clear" w:color="auto" w:fill="F4F7FB"/>
            <w:vAlign w:val="top"/>
          </w:tcPr>
          <w:p>
            <w:pPr>
              <w:pStyle w:val="TableText"/>
              <w:jc w:val="left"/>
            </w:pPr>
            <w:r>
              <w:t xml:space="preserve">Yes</w:t>
            </w:r>
          </w:p>
        </w:tc>
      </w:tr>
      <w:tr>
        <w:trPr>
          <w:cantSplit/>
        </w:trPr>
        <w:tc>
          <w:tcPr>
            <w:tcW w:w="1936" w:type="dxa"/>
            <w:vAlign w:val="top"/>
          </w:tcPr>
          <w:p>
            <w:pPr>
              <w:pStyle w:val="TableText"/>
              <w:jc w:val="left"/>
            </w:pPr>
            <w:r>
              <w:t xml:space="preserve">Data steward</w:t>
            </w:r>
          </w:p>
        </w:tc>
        <w:tc>
          <w:tcPr>
            <w:tcW w:w="4202" w:type="dxa"/>
            <w:vAlign w:val="top"/>
          </w:tcPr>
          <w:p>
            <w:pPr>
              <w:pStyle w:val="TableText"/>
              <w:jc w:val="left"/>
            </w:pPr>
            <w:r>
              <w:t xml:space="preserve">Resolve data quality issues, correct customer data, load data</w:t>
            </w:r>
          </w:p>
        </w:tc>
        <w:tc>
          <w:tcPr>
            <w:tcW w:w="1350" w:type="dxa"/>
            <w:vAlign w:val="top"/>
          </w:tcPr>
          <w:p>
            <w:pPr>
              <w:pStyle w:val="TableText"/>
              <w:jc w:val="left"/>
            </w:pPr>
            <w:r>
              <w:t xml:space="preserve">Yes, own region</w:t>
            </w:r>
          </w:p>
        </w:tc>
        <w:tc>
          <w:tcPr>
            <w:tcW w:w="1539" w:type="dxa"/>
            <w:vAlign w:val="top"/>
          </w:tcPr>
          <w:p>
            <w:pPr>
              <w:pStyle w:val="TableText"/>
              <w:jc w:val="left"/>
            </w:pPr>
            <w:r>
              <w:t xml:space="preserve">Yes</w:t>
            </w:r>
          </w:p>
        </w:tc>
      </w:tr>
      <w:tr>
        <w:trPr>
          <w:cantSplit/>
        </w:trPr>
        <w:tc>
          <w:tcPr>
            <w:tcW w:w="1936" w:type="dxa"/>
            <w:shd w:val="clear" w:color="auto" w:fill="F4F7FB"/>
            <w:vAlign w:val="top"/>
          </w:tcPr>
          <w:p>
            <w:pPr>
              <w:pStyle w:val="TableText"/>
              <w:jc w:val="left"/>
            </w:pPr>
            <w:r>
              <w:t xml:space="preserve">Claims handler</w:t>
            </w:r>
          </w:p>
        </w:tc>
        <w:tc>
          <w:tcPr>
            <w:tcW w:w="4202" w:type="dxa"/>
            <w:shd w:val="clear" w:color="auto" w:fill="F4F7FB"/>
            <w:vAlign w:val="top"/>
          </w:tcPr>
          <w:p>
            <w:pPr>
              <w:pStyle w:val="TableText"/>
              <w:jc w:val="left"/>
            </w:pPr>
            <w:r>
              <w:t xml:space="preserve">View and update claims, view policies and customers</w:t>
            </w:r>
          </w:p>
        </w:tc>
        <w:tc>
          <w:tcPr>
            <w:tcW w:w="1350" w:type="dxa"/>
            <w:shd w:val="clear" w:color="auto" w:fill="F4F7FB"/>
            <w:vAlign w:val="top"/>
          </w:tcPr>
          <w:p>
            <w:pPr>
              <w:pStyle w:val="TableText"/>
              <w:jc w:val="left"/>
            </w:pPr>
            <w:r>
              <w:t xml:space="preserve">Masked</w:t>
            </w:r>
          </w:p>
        </w:tc>
        <w:tc>
          <w:tcPr>
            <w:tcW w:w="1539" w:type="dxa"/>
            <w:shd w:val="clear" w:color="auto" w:fill="F4F7FB"/>
            <w:vAlign w:val="top"/>
          </w:tcPr>
          <w:p>
            <w:pPr>
              <w:pStyle w:val="TableText"/>
              <w:jc w:val="left"/>
            </w:pPr>
            <w:r>
              <w:t xml:space="preserve">No</w:t>
            </w:r>
          </w:p>
        </w:tc>
      </w:tr>
      <w:tr>
        <w:trPr>
          <w:cantSplit/>
        </w:trPr>
        <w:tc>
          <w:tcPr>
            <w:tcW w:w="1936" w:type="dxa"/>
            <w:vAlign w:val="top"/>
          </w:tcPr>
          <w:p>
            <w:pPr>
              <w:pStyle w:val="TableText"/>
              <w:jc w:val="left"/>
            </w:pPr>
            <w:r>
              <w:t xml:space="preserve">Partner manager</w:t>
            </w:r>
          </w:p>
        </w:tc>
        <w:tc>
          <w:tcPr>
            <w:tcW w:w="4202" w:type="dxa"/>
            <w:vAlign w:val="top"/>
          </w:tcPr>
          <w:p>
            <w:pPr>
              <w:pStyle w:val="TableText"/>
              <w:jc w:val="left"/>
            </w:pPr>
            <w:r>
              <w:t xml:space="preserve">Manage partners and API keys, view statements and policies</w:t>
            </w:r>
          </w:p>
        </w:tc>
        <w:tc>
          <w:tcPr>
            <w:tcW w:w="1350" w:type="dxa"/>
            <w:vAlign w:val="top"/>
          </w:tcPr>
          <w:p>
            <w:pPr>
              <w:pStyle w:val="TableText"/>
              <w:jc w:val="left"/>
            </w:pPr>
            <w:r>
              <w:t xml:space="preserve">No</w:t>
            </w:r>
          </w:p>
        </w:tc>
        <w:tc>
          <w:tcPr>
            <w:tcW w:w="1539" w:type="dxa"/>
            <w:vAlign w:val="top"/>
          </w:tcPr>
          <w:p>
            <w:pPr>
              <w:pStyle w:val="TableText"/>
              <w:jc w:val="left"/>
            </w:pPr>
            <w:r>
              <w:t xml:space="preserve">Recommended</w:t>
            </w:r>
          </w:p>
        </w:tc>
      </w:tr>
      <w:tr>
        <w:trPr>
          <w:cantSplit/>
        </w:trPr>
        <w:tc>
          <w:tcPr>
            <w:tcW w:w="1936" w:type="dxa"/>
            <w:shd w:val="clear" w:color="auto" w:fill="F4F7FB"/>
            <w:vAlign w:val="top"/>
          </w:tcPr>
          <w:p>
            <w:pPr>
              <w:pStyle w:val="TableText"/>
              <w:jc w:val="left"/>
            </w:pPr>
            <w:r>
              <w:t xml:space="preserve">Auditor</w:t>
            </w:r>
          </w:p>
        </w:tc>
        <w:tc>
          <w:tcPr>
            <w:tcW w:w="4202" w:type="dxa"/>
            <w:shd w:val="clear" w:color="auto" w:fill="F4F7FB"/>
            <w:vAlign w:val="top"/>
          </w:tcPr>
          <w:p>
            <w:pPr>
              <w:pStyle w:val="TableText"/>
              <w:jc w:val="left"/>
            </w:pPr>
            <w:r>
              <w:t xml:space="preserve">View audit trail, rules and dashboards; read only</w:t>
            </w:r>
          </w:p>
        </w:tc>
        <w:tc>
          <w:tcPr>
            <w:tcW w:w="1350" w:type="dxa"/>
            <w:shd w:val="clear" w:color="auto" w:fill="F4F7FB"/>
            <w:vAlign w:val="top"/>
          </w:tcPr>
          <w:p>
            <w:pPr>
              <w:pStyle w:val="TableText"/>
              <w:jc w:val="left"/>
            </w:pPr>
            <w:r>
              <w:t xml:space="preserve">No</w:t>
            </w:r>
          </w:p>
        </w:tc>
        <w:tc>
          <w:tcPr>
            <w:tcW w:w="1539" w:type="dxa"/>
            <w:shd w:val="clear" w:color="auto" w:fill="F4F7FB"/>
            <w:vAlign w:val="top"/>
          </w:tcPr>
          <w:p>
            <w:pPr>
              <w:pStyle w:val="TableText"/>
              <w:jc w:val="left"/>
            </w:pPr>
            <w:r>
              <w:t xml:space="preserve">No</w:t>
            </w:r>
          </w:p>
        </w:tc>
      </w:tr>
      <w:tr>
        <w:trPr>
          <w:cantSplit/>
        </w:trPr>
        <w:tc>
          <w:tcPr>
            <w:tcW w:w="1936" w:type="dxa"/>
            <w:vAlign w:val="top"/>
          </w:tcPr>
          <w:p>
            <w:pPr>
              <w:pStyle w:val="TableText"/>
              <w:jc w:val="left"/>
            </w:pPr>
            <w:r>
              <w:t xml:space="preserve">Support engineer</w:t>
            </w:r>
          </w:p>
        </w:tc>
        <w:tc>
          <w:tcPr>
            <w:tcW w:w="4202" w:type="dxa"/>
            <w:vAlign w:val="top"/>
          </w:tcPr>
          <w:p>
            <w:pPr>
              <w:pStyle w:val="TableText"/>
              <w:jc w:val="left"/>
            </w:pPr>
            <w:r>
              <w:t xml:space="preserve">View operations status, run operational jobs</w:t>
            </w:r>
          </w:p>
        </w:tc>
        <w:tc>
          <w:tcPr>
            <w:tcW w:w="1350" w:type="dxa"/>
            <w:vAlign w:val="top"/>
          </w:tcPr>
          <w:p>
            <w:pPr>
              <w:pStyle w:val="TableText"/>
              <w:jc w:val="left"/>
            </w:pPr>
            <w:r>
              <w:t xml:space="preserve">No</w:t>
            </w:r>
          </w:p>
        </w:tc>
        <w:tc>
          <w:tcPr>
            <w:tcW w:w="1539" w:type="dxa"/>
            <w:vAlign w:val="top"/>
          </w:tcPr>
          <w:p>
            <w:pPr>
              <w:pStyle w:val="TableText"/>
              <w:jc w:val="left"/>
            </w:pPr>
            <w:r>
              <w:t xml:space="preserve">Recommended</w:t>
            </w:r>
          </w:p>
        </w:tc>
      </w:tr>
      <w:tr>
        <w:trPr>
          <w:cantSplit/>
        </w:trPr>
        <w:tc>
          <w:tcPr>
            <w:tcW w:w="1936" w:type="dxa"/>
            <w:shd w:val="clear" w:color="auto" w:fill="F4F7FB"/>
            <w:vAlign w:val="top"/>
          </w:tcPr>
          <w:p>
            <w:pPr>
              <w:pStyle w:val="TableText"/>
              <w:jc w:val="left"/>
            </w:pPr>
            <w:r>
              <w:t xml:space="preserve">Customer</w:t>
            </w:r>
          </w:p>
        </w:tc>
        <w:tc>
          <w:tcPr>
            <w:tcW w:w="4202" w:type="dxa"/>
            <w:shd w:val="clear" w:color="auto" w:fill="F4F7FB"/>
            <w:vAlign w:val="top"/>
          </w:tcPr>
          <w:p>
            <w:pPr>
              <w:pStyle w:val="TableText"/>
              <w:jc w:val="left"/>
            </w:pPr>
            <w:r>
              <w:t xml:space="preserve">Own data, quotes, payments, consent and claims</w:t>
            </w:r>
          </w:p>
        </w:tc>
        <w:tc>
          <w:tcPr>
            <w:tcW w:w="1350" w:type="dxa"/>
            <w:shd w:val="clear" w:color="auto" w:fill="F4F7FB"/>
            <w:vAlign w:val="top"/>
          </w:tcPr>
          <w:p>
            <w:pPr>
              <w:pStyle w:val="TableText"/>
              <w:jc w:val="left"/>
            </w:pPr>
            <w:r>
              <w:t xml:space="preserve">Own only</w:t>
            </w:r>
          </w:p>
        </w:tc>
        <w:tc>
          <w:tcPr>
            <w:tcW w:w="1539" w:type="dxa"/>
            <w:shd w:val="clear" w:color="auto" w:fill="F4F7FB"/>
            <w:vAlign w:val="top"/>
          </w:tcPr>
          <w:p>
            <w:pPr>
              <w:pStyle w:val="TableText"/>
              <w:jc w:val="left"/>
            </w:pPr>
            <w:r>
              <w:t xml:space="preserve">Not applicable</w:t>
            </w:r>
          </w:p>
        </w:tc>
      </w:tr>
      <w:tr>
        <w:trPr>
          <w:cantSplit/>
        </w:trPr>
        <w:tc>
          <w:tcPr>
            <w:tcW w:w="1936" w:type="dxa"/>
            <w:vAlign w:val="top"/>
          </w:tcPr>
          <w:p>
            <w:pPr>
              <w:pStyle w:val="TableText"/>
              <w:jc w:val="left"/>
            </w:pPr>
            <w:r>
              <w:t xml:space="preserve">Partner system</w:t>
            </w:r>
          </w:p>
        </w:tc>
        <w:tc>
          <w:tcPr>
            <w:tcW w:w="4202" w:type="dxa"/>
            <w:vAlign w:val="top"/>
          </w:tcPr>
          <w:p>
            <w:pPr>
              <w:pStyle w:val="TableText"/>
              <w:jc w:val="left"/>
            </w:pPr>
            <w:r>
              <w:t xml:space="preserve">Quote, order, own policies and statements, within key scopes</w:t>
            </w:r>
          </w:p>
        </w:tc>
        <w:tc>
          <w:tcPr>
            <w:tcW w:w="1350" w:type="dxa"/>
            <w:vAlign w:val="top"/>
          </w:tcPr>
          <w:p>
            <w:pPr>
              <w:pStyle w:val="TableText"/>
              <w:jc w:val="left"/>
            </w:pPr>
            <w:r>
              <w:t xml:space="preserve">Own sales only</w:t>
            </w:r>
          </w:p>
        </w:tc>
        <w:tc>
          <w:tcPr>
            <w:tcW w:w="1539" w:type="dxa"/>
            <w:vAlign w:val="top"/>
          </w:tcPr>
          <w:p>
            <w:pPr>
              <w:pStyle w:val="TableText"/>
              <w:jc w:val="left"/>
            </w:pPr>
            <w:r>
              <w:t xml:space="preserve">Not applicable</w:t>
            </w:r>
          </w:p>
        </w:tc>
      </w:tr>
    </w:tbl>
    <w:p>
      <w:pPr>
        <w:pStyle w:val="BodyText"/>
        <w:spacing w:before="160"/>
      </w:pPr>
      <w:r>
        <w:t xml:space="preserve">No role can take payment. Telesales create a quote and send it to the customer, who confirms and pays inside the VETC app.</w:t>
      </w:r>
    </w:p>
    <w:p>
      <w:pPr>
        <w:pStyle w:val="Heading2"/>
      </w:pPr>
      <w:bookmarkStart w:id="20" w:name="_Toc300000016"/>
      <w:r>
        <w:t xml:space="preserve">Permissions</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42"/>
        <w:gridCol w:w="3482"/>
        <w:gridCol w:w="2803"/>
      </w:tblGrid>
      <w:tr>
        <w:trPr>
          <w:cantSplit/>
          <w:tblHeader/>
        </w:trPr>
        <w:tc>
          <w:tcPr>
            <w:tcW w:w="2742" w:type="dxa"/>
            <w:shd w:val="clear" w:color="auto" w:fill="0F4761"/>
            <w:vAlign w:val="center"/>
          </w:tcPr>
          <w:p>
            <w:pPr>
              <w:pStyle w:val="TableHeading"/>
              <w:jc w:val="left"/>
            </w:pPr>
            <w:r>
              <w:rPr>
                <w:color w:val="FFFFFF"/>
              </w:rPr>
              <w:t xml:space="preserve">Permission</w:t>
            </w:r>
          </w:p>
        </w:tc>
        <w:tc>
          <w:tcPr>
            <w:tcW w:w="3482" w:type="dxa"/>
            <w:shd w:val="clear" w:color="auto" w:fill="0F4761"/>
            <w:vAlign w:val="center"/>
          </w:tcPr>
          <w:p>
            <w:pPr>
              <w:pStyle w:val="TableHeading"/>
              <w:jc w:val="left"/>
            </w:pPr>
            <w:r>
              <w:rPr>
                <w:color w:val="FFFFFF"/>
              </w:rPr>
              <w:t xml:space="preserve">Allows</w:t>
            </w:r>
          </w:p>
        </w:tc>
        <w:tc>
          <w:tcPr>
            <w:tcW w:w="2803" w:type="dxa"/>
            <w:shd w:val="clear" w:color="auto" w:fill="0F4761"/>
            <w:vAlign w:val="center"/>
          </w:tcPr>
          <w:p>
            <w:pPr>
              <w:pStyle w:val="TableHeading"/>
              <w:jc w:val="left"/>
            </w:pPr>
            <w:r>
              <w:rPr>
                <w:color w:val="FFFFFF"/>
              </w:rPr>
              <w:t xml:space="preserve">Held by</w:t>
            </w:r>
          </w:p>
        </w:tc>
      </w:tr>
      <w:tr>
        <w:trPr>
          <w:cantSplit/>
        </w:trPr>
        <w:tc>
          <w:tcPr>
            <w:tcW w:w="2742" w:type="dxa"/>
            <w:vAlign w:val="top"/>
          </w:tcPr>
          <w:p>
            <w:pPr>
              <w:pStyle w:val="TableText"/>
              <w:jc w:val="left"/>
            </w:pPr>
            <w:r>
              <w:rPr>
                <w:rStyle w:val="CodeChar"/>
              </w:rPr>
              <w:t xml:space="preserve">users:manage</w:t>
            </w:r>
          </w:p>
        </w:tc>
        <w:tc>
          <w:tcPr>
            <w:tcW w:w="3482" w:type="dxa"/>
            <w:vAlign w:val="top"/>
          </w:tcPr>
          <w:p>
            <w:pPr>
              <w:pStyle w:val="TableText"/>
              <w:jc w:val="left"/>
            </w:pPr>
            <w:r>
              <w:t xml:space="preserve">Create, update, unlock and reset staff users</w:t>
            </w:r>
          </w:p>
        </w:tc>
        <w:tc>
          <w:tcPr>
            <w:tcW w:w="2803" w:type="dxa"/>
            <w:vAlign w:val="top"/>
          </w:tcPr>
          <w:p>
            <w:pPr>
              <w:pStyle w:val="TableText"/>
              <w:jc w:val="left"/>
            </w:pPr>
            <w:r>
              <w:t xml:space="preserve">Administrator</w:t>
            </w:r>
          </w:p>
        </w:tc>
      </w:tr>
      <w:tr>
        <w:trPr>
          <w:cantSplit/>
        </w:trPr>
        <w:tc>
          <w:tcPr>
            <w:tcW w:w="2742" w:type="dxa"/>
            <w:shd w:val="clear" w:color="auto" w:fill="F4F7FB"/>
            <w:vAlign w:val="top"/>
          </w:tcPr>
          <w:p>
            <w:pPr>
              <w:pStyle w:val="TableText"/>
              <w:jc w:val="left"/>
            </w:pPr>
            <w:r>
              <w:rPr>
                <w:rStyle w:val="CodeChar"/>
              </w:rPr>
              <w:t xml:space="preserve">ops:read</w:t>
            </w:r>
            <w:r>
              <w:t xml:space="preserve">,</w:t>
            </w:r>
            <w:r>
              <w:t xml:space="preserve"> </w:t>
            </w:r>
            <w:r>
              <w:rPr>
                <w:rStyle w:val="CodeChar"/>
              </w:rPr>
              <w:t xml:space="preserve">ops:run_jobs</w:t>
            </w:r>
          </w:p>
        </w:tc>
        <w:tc>
          <w:tcPr>
            <w:tcW w:w="3482" w:type="dxa"/>
            <w:shd w:val="clear" w:color="auto" w:fill="F4F7FB"/>
            <w:vAlign w:val="top"/>
          </w:tcPr>
          <w:p>
            <w:pPr>
              <w:pStyle w:val="TableText"/>
              <w:jc w:val="left"/>
            </w:pPr>
            <w:r>
              <w:t xml:space="preserve">View operations and integration status; run reconciliation, retention, relay and catalogue sync</w:t>
            </w:r>
          </w:p>
        </w:tc>
        <w:tc>
          <w:tcPr>
            <w:tcW w:w="2803" w:type="dxa"/>
            <w:shd w:val="clear" w:color="auto" w:fill="F4F7FB"/>
            <w:vAlign w:val="top"/>
          </w:tcPr>
          <w:p>
            <w:pPr>
              <w:pStyle w:val="TableText"/>
              <w:jc w:val="left"/>
            </w:pPr>
            <w:r>
              <w:t xml:space="preserve">Administrator, support engineer</w:t>
            </w:r>
          </w:p>
        </w:tc>
      </w:tr>
      <w:tr>
        <w:trPr>
          <w:cantSplit/>
        </w:trPr>
        <w:tc>
          <w:tcPr>
            <w:tcW w:w="2742" w:type="dxa"/>
            <w:vAlign w:val="top"/>
          </w:tcPr>
          <w:p>
            <w:pPr>
              <w:pStyle w:val="TableText"/>
              <w:jc w:val="left"/>
            </w:pPr>
            <w:r>
              <w:rPr>
                <w:rStyle w:val="CodeChar"/>
              </w:rPr>
              <w:t xml:space="preserve">audit:read</w:t>
            </w:r>
          </w:p>
        </w:tc>
        <w:tc>
          <w:tcPr>
            <w:tcW w:w="3482" w:type="dxa"/>
            <w:vAlign w:val="top"/>
          </w:tcPr>
          <w:p>
            <w:pPr>
              <w:pStyle w:val="TableText"/>
              <w:jc w:val="left"/>
            </w:pPr>
            <w:r>
              <w:t xml:space="preserve">Search and verify the audit trail; governance dashboard</w:t>
            </w:r>
          </w:p>
        </w:tc>
        <w:tc>
          <w:tcPr>
            <w:tcW w:w="2803" w:type="dxa"/>
            <w:vAlign w:val="top"/>
          </w:tcPr>
          <w:p>
            <w:pPr>
              <w:pStyle w:val="TableText"/>
              <w:jc w:val="left"/>
            </w:pPr>
            <w:r>
              <w:t xml:space="preserve">Administrator, rule approver, compliance officer, auditor</w:t>
            </w:r>
          </w:p>
        </w:tc>
      </w:tr>
      <w:tr>
        <w:trPr>
          <w:cantSplit/>
        </w:trPr>
        <w:tc>
          <w:tcPr>
            <w:tcW w:w="2742" w:type="dxa"/>
            <w:shd w:val="clear" w:color="auto" w:fill="F4F7FB"/>
            <w:vAlign w:val="top"/>
          </w:tcPr>
          <w:p>
            <w:pPr>
              <w:pStyle w:val="TableText"/>
              <w:jc w:val="left"/>
            </w:pPr>
            <w:r>
              <w:rPr>
                <w:rStyle w:val="CodeChar"/>
              </w:rPr>
              <w:t xml:space="preserve">dashboard:read</w:t>
            </w:r>
          </w:p>
        </w:tc>
        <w:tc>
          <w:tcPr>
            <w:tcW w:w="3482" w:type="dxa"/>
            <w:shd w:val="clear" w:color="auto" w:fill="F4F7FB"/>
            <w:vAlign w:val="top"/>
          </w:tcPr>
          <w:p>
            <w:pPr>
              <w:pStyle w:val="TableText"/>
              <w:jc w:val="left"/>
            </w:pPr>
            <w:r>
              <w:t xml:space="preserve">Business dashboards</w:t>
            </w:r>
          </w:p>
        </w:tc>
        <w:tc>
          <w:tcPr>
            <w:tcW w:w="2803" w:type="dxa"/>
            <w:shd w:val="clear" w:color="auto" w:fill="F4F7FB"/>
            <w:vAlign w:val="top"/>
          </w:tcPr>
          <w:p>
            <w:pPr>
              <w:pStyle w:val="TableText"/>
              <w:jc w:val="left"/>
            </w:pPr>
            <w:r>
              <w:t xml:space="preserve">Most staff roles</w:t>
            </w:r>
          </w:p>
        </w:tc>
      </w:tr>
      <w:tr>
        <w:trPr>
          <w:cantSplit/>
        </w:trPr>
        <w:tc>
          <w:tcPr>
            <w:tcW w:w="2742" w:type="dxa"/>
            <w:vAlign w:val="top"/>
          </w:tcPr>
          <w:p>
            <w:pPr>
              <w:pStyle w:val="TableText"/>
              <w:jc w:val="left"/>
            </w:pPr>
            <w:r>
              <w:rPr>
                <w:rStyle w:val="CodeChar"/>
              </w:rPr>
              <w:t xml:space="preserve">rules:read</w:t>
            </w:r>
            <w:r>
              <w:t xml:space="preserve">,</w:t>
            </w:r>
            <w:r>
              <w:t xml:space="preserve"> </w:t>
            </w:r>
            <w:r>
              <w:rPr>
                <w:rStyle w:val="CodeChar"/>
              </w:rPr>
              <w:t xml:space="preserve">rules:author</w:t>
            </w:r>
            <w:r>
              <w:t xml:space="preserve">,</w:t>
            </w:r>
            <w:r>
              <w:t xml:space="preserve"> </w:t>
            </w:r>
            <w:r>
              <w:rPr>
                <w:rStyle w:val="CodeChar"/>
              </w:rPr>
              <w:t xml:space="preserve">rules:approve</w:t>
            </w:r>
          </w:p>
        </w:tc>
        <w:tc>
          <w:tcPr>
            <w:tcW w:w="3482" w:type="dxa"/>
            <w:vAlign w:val="top"/>
          </w:tcPr>
          <w:p>
            <w:pPr>
              <w:pStyle w:val="TableText"/>
              <w:jc w:val="left"/>
            </w:pPr>
            <w:r>
              <w:t xml:space="preserve">View, draft and approve rule sets</w:t>
            </w:r>
          </w:p>
        </w:tc>
        <w:tc>
          <w:tcPr>
            <w:tcW w:w="2803" w:type="dxa"/>
            <w:vAlign w:val="top"/>
          </w:tcPr>
          <w:p>
            <w:pPr>
              <w:pStyle w:val="TableText"/>
              <w:jc w:val="left"/>
            </w:pPr>
            <w:r>
              <w:t xml:space="preserve">Rule roles, compliance; no role holds both author and approve</w:t>
            </w:r>
          </w:p>
        </w:tc>
      </w:tr>
      <w:tr>
        <w:trPr>
          <w:cantSplit/>
        </w:trPr>
        <w:tc>
          <w:tcPr>
            <w:tcW w:w="2742" w:type="dxa"/>
            <w:shd w:val="clear" w:color="auto" w:fill="F4F7FB"/>
            <w:vAlign w:val="top"/>
          </w:tcPr>
          <w:p>
            <w:pPr>
              <w:pStyle w:val="TableText"/>
              <w:jc w:val="left"/>
            </w:pPr>
            <w:r>
              <w:rPr>
                <w:rStyle w:val="CodeChar"/>
              </w:rPr>
              <w:t xml:space="preserve">leads:read</w:t>
            </w:r>
            <w:r>
              <w:t xml:space="preserve">,</w:t>
            </w:r>
            <w:r>
              <w:t xml:space="preserve"> </w:t>
            </w:r>
            <w:r>
              <w:rPr>
                <w:rStyle w:val="CodeChar"/>
              </w:rPr>
              <w:t xml:space="preserve">leads:recompute</w:t>
            </w:r>
          </w:p>
        </w:tc>
        <w:tc>
          <w:tcPr>
            <w:tcW w:w="3482" w:type="dxa"/>
            <w:shd w:val="clear" w:color="auto" w:fill="F4F7FB"/>
            <w:vAlign w:val="top"/>
          </w:tcPr>
          <w:p>
            <w:pPr>
              <w:pStyle w:val="TableText"/>
              <w:jc w:val="left"/>
            </w:pPr>
            <w:r>
              <w:t xml:space="preserve">View leads and touchpoints; re-score</w:t>
            </w:r>
          </w:p>
        </w:tc>
        <w:tc>
          <w:tcPr>
            <w:tcW w:w="2803" w:type="dxa"/>
            <w:shd w:val="clear" w:color="auto" w:fill="F4F7FB"/>
            <w:vAlign w:val="top"/>
          </w:tcPr>
          <w:p>
            <w:pPr>
              <w:pStyle w:val="TableText"/>
              <w:jc w:val="left"/>
            </w:pPr>
            <w:r>
              <w:t xml:space="preserve">Campaign, telesales, data steward</w:t>
            </w:r>
          </w:p>
        </w:tc>
      </w:tr>
      <w:tr>
        <w:trPr>
          <w:cantSplit/>
        </w:trPr>
        <w:tc>
          <w:tcPr>
            <w:tcW w:w="2742" w:type="dxa"/>
            <w:vAlign w:val="top"/>
          </w:tcPr>
          <w:p>
            <w:pPr>
              <w:pStyle w:val="TableText"/>
              <w:jc w:val="left"/>
            </w:pPr>
            <w:r>
              <w:rPr>
                <w:rStyle w:val="CodeChar"/>
              </w:rPr>
              <w:t xml:space="preserve">journeys:run</w:t>
            </w:r>
          </w:p>
        </w:tc>
        <w:tc>
          <w:tcPr>
            <w:tcW w:w="3482" w:type="dxa"/>
            <w:vAlign w:val="top"/>
          </w:tcPr>
          <w:p>
            <w:pPr>
              <w:pStyle w:val="TableText"/>
              <w:jc w:val="left"/>
            </w:pPr>
            <w:r>
              <w:t xml:space="preserve">Run journeys, ecosystem events and voice campaigns</w:t>
            </w:r>
          </w:p>
        </w:tc>
        <w:tc>
          <w:tcPr>
            <w:tcW w:w="2803" w:type="dxa"/>
            <w:vAlign w:val="top"/>
          </w:tcPr>
          <w:p>
            <w:pPr>
              <w:pStyle w:val="TableText"/>
              <w:jc w:val="left"/>
            </w:pPr>
            <w:r>
              <w:t xml:space="preserve">Campaign manager</w:t>
            </w:r>
          </w:p>
        </w:tc>
      </w:tr>
      <w:tr>
        <w:trPr>
          <w:cantSplit/>
        </w:trPr>
        <w:tc>
          <w:tcPr>
            <w:tcW w:w="2742" w:type="dxa"/>
            <w:shd w:val="clear" w:color="auto" w:fill="F4F7FB"/>
            <w:vAlign w:val="top"/>
          </w:tcPr>
          <w:p>
            <w:pPr>
              <w:pStyle w:val="TableText"/>
              <w:jc w:val="left"/>
            </w:pPr>
            <w:r>
              <w:rPr>
                <w:rStyle w:val="CodeChar"/>
              </w:rPr>
              <w:t xml:space="preserve">voice:operate</w:t>
            </w:r>
          </w:p>
        </w:tc>
        <w:tc>
          <w:tcPr>
            <w:tcW w:w="3482" w:type="dxa"/>
            <w:shd w:val="clear" w:color="auto" w:fill="F4F7FB"/>
            <w:vAlign w:val="top"/>
          </w:tcPr>
          <w:p>
            <w:pPr>
              <w:pStyle w:val="TableText"/>
              <w:jc w:val="left"/>
            </w:pPr>
            <w:r>
              <w:t xml:space="preserve">Run voice sessions</w:t>
            </w:r>
          </w:p>
        </w:tc>
        <w:tc>
          <w:tcPr>
            <w:tcW w:w="2803" w:type="dxa"/>
            <w:shd w:val="clear" w:color="auto" w:fill="F4F7FB"/>
            <w:vAlign w:val="top"/>
          </w:tcPr>
          <w:p>
            <w:pPr>
              <w:pStyle w:val="TableText"/>
              <w:jc w:val="left"/>
            </w:pPr>
            <w:r>
              <w:t xml:space="preserve">Campaign, telesales</w:t>
            </w:r>
          </w:p>
        </w:tc>
      </w:tr>
      <w:tr>
        <w:trPr>
          <w:cantSplit/>
        </w:trPr>
        <w:tc>
          <w:tcPr>
            <w:tcW w:w="2742" w:type="dxa"/>
            <w:vAlign w:val="top"/>
          </w:tcPr>
          <w:p>
            <w:pPr>
              <w:pStyle w:val="TableText"/>
              <w:jc w:val="left"/>
            </w:pPr>
            <w:r>
              <w:rPr>
                <w:rStyle w:val="CodeChar"/>
              </w:rPr>
              <w:t xml:space="preserve">handoff:read</w:t>
            </w:r>
            <w:r>
              <w:t xml:space="preserve">,</w:t>
            </w:r>
            <w:r>
              <w:t xml:space="preserve"> </w:t>
            </w:r>
            <w:r>
              <w:rPr>
                <w:rStyle w:val="CodeChar"/>
              </w:rPr>
              <w:t xml:space="preserve">handoff:work</w:t>
            </w:r>
            <w:r>
              <w:t xml:space="preserve">,</w:t>
            </w:r>
            <w:r>
              <w:t xml:space="preserve"> </w:t>
            </w:r>
            <w:r>
              <w:rPr>
                <w:rStyle w:val="CodeChar"/>
              </w:rPr>
              <w:t xml:space="preserve">handoff:assign</w:t>
            </w:r>
          </w:p>
        </w:tc>
        <w:tc>
          <w:tcPr>
            <w:tcW w:w="3482" w:type="dxa"/>
            <w:vAlign w:val="top"/>
          </w:tcPr>
          <w:p>
            <w:pPr>
              <w:pStyle w:val="TableText"/>
              <w:jc w:val="left"/>
            </w:pPr>
            <w:r>
              <w:t xml:space="preserve">View, work and assign telesales handoffs</w:t>
            </w:r>
          </w:p>
        </w:tc>
        <w:tc>
          <w:tcPr>
            <w:tcW w:w="2803" w:type="dxa"/>
            <w:vAlign w:val="top"/>
          </w:tcPr>
          <w:p>
            <w:pPr>
              <w:pStyle w:val="TableText"/>
              <w:jc w:val="left"/>
            </w:pPr>
            <w:r>
              <w:t xml:space="preserve">Campaign (read), telesales, supervisor (assign)</w:t>
            </w:r>
          </w:p>
        </w:tc>
      </w:tr>
      <w:tr>
        <w:trPr>
          <w:cantSplit/>
        </w:trPr>
        <w:tc>
          <w:tcPr>
            <w:tcW w:w="2742" w:type="dxa"/>
            <w:shd w:val="clear" w:color="auto" w:fill="F4F7FB"/>
            <w:vAlign w:val="top"/>
          </w:tcPr>
          <w:p>
            <w:pPr>
              <w:pStyle w:val="TableText"/>
              <w:jc w:val="left"/>
            </w:pPr>
            <w:r>
              <w:rPr>
                <w:rStyle w:val="CodeChar"/>
              </w:rPr>
              <w:t xml:space="preserve">profile:read</w:t>
            </w:r>
            <w:r>
              <w:t xml:space="preserve">,</w:t>
            </w:r>
            <w:r>
              <w:t xml:space="preserve"> </w:t>
            </w:r>
            <w:r>
              <w:rPr>
                <w:rStyle w:val="CodeChar"/>
              </w:rPr>
              <w:t xml:space="preserve">profile:read_pii</w:t>
            </w:r>
            <w:r>
              <w:t xml:space="preserve">,</w:t>
            </w:r>
            <w:r>
              <w:t xml:space="preserve"> </w:t>
            </w:r>
            <w:r>
              <w:rPr>
                <w:rStyle w:val="CodeChar"/>
              </w:rPr>
              <w:t xml:space="preserve">profile:update</w:t>
            </w:r>
          </w:p>
        </w:tc>
        <w:tc>
          <w:tcPr>
            <w:tcW w:w="3482" w:type="dxa"/>
            <w:shd w:val="clear" w:color="auto" w:fill="F4F7FB"/>
            <w:vAlign w:val="top"/>
          </w:tcPr>
          <w:p>
            <w:pPr>
              <w:pStyle w:val="TableText"/>
              <w:jc w:val="left"/>
            </w:pPr>
            <w:r>
              <w:t xml:space="preserve">View customers, see unmasked personal data, correct data</w:t>
            </w:r>
          </w:p>
        </w:tc>
        <w:tc>
          <w:tcPr>
            <w:tcW w:w="2803" w:type="dxa"/>
            <w:shd w:val="clear" w:color="auto" w:fill="F4F7FB"/>
            <w:vAlign w:val="top"/>
          </w:tcPr>
          <w:p>
            <w:pPr>
              <w:pStyle w:val="TableText"/>
              <w:jc w:val="left"/>
            </w:pPr>
            <w:r>
              <w:t xml:space="preserve">Several roles; unmasked view for telesales and data steward</w:t>
            </w:r>
          </w:p>
        </w:tc>
      </w:tr>
      <w:tr>
        <w:trPr>
          <w:cantSplit/>
        </w:trPr>
        <w:tc>
          <w:tcPr>
            <w:tcW w:w="2742" w:type="dxa"/>
            <w:vAlign w:val="top"/>
          </w:tcPr>
          <w:p>
            <w:pPr>
              <w:pStyle w:val="TableText"/>
              <w:jc w:val="left"/>
            </w:pPr>
            <w:r>
              <w:rPr>
                <w:rStyle w:val="CodeChar"/>
              </w:rPr>
              <w:t xml:space="preserve">quote:create</w:t>
            </w:r>
          </w:p>
        </w:tc>
        <w:tc>
          <w:tcPr>
            <w:tcW w:w="3482" w:type="dxa"/>
            <w:vAlign w:val="top"/>
          </w:tcPr>
          <w:p>
            <w:pPr>
              <w:pStyle w:val="TableText"/>
              <w:jc w:val="left"/>
            </w:pPr>
            <w:r>
              <w:t xml:space="preserve">Create, re-rate, inspect and send quotes</w:t>
            </w:r>
          </w:p>
        </w:tc>
        <w:tc>
          <w:tcPr>
            <w:tcW w:w="2803" w:type="dxa"/>
            <w:vAlign w:val="top"/>
          </w:tcPr>
          <w:p>
            <w:pPr>
              <w:pStyle w:val="TableText"/>
              <w:jc w:val="left"/>
            </w:pPr>
            <w:r>
              <w:t xml:space="preserve">Telesales agent and supervisor</w:t>
            </w:r>
          </w:p>
        </w:tc>
      </w:tr>
      <w:tr>
        <w:trPr>
          <w:cantSplit/>
        </w:trPr>
        <w:tc>
          <w:tcPr>
            <w:tcW w:w="2742" w:type="dxa"/>
            <w:shd w:val="clear" w:color="auto" w:fill="F4F7FB"/>
            <w:vAlign w:val="top"/>
          </w:tcPr>
          <w:p>
            <w:pPr>
              <w:pStyle w:val="TableText"/>
              <w:jc w:val="left"/>
            </w:pPr>
            <w:r>
              <w:rPr>
                <w:rStyle w:val="CodeChar"/>
              </w:rPr>
              <w:t xml:space="preserve">policy:read</w:t>
            </w:r>
          </w:p>
        </w:tc>
        <w:tc>
          <w:tcPr>
            <w:tcW w:w="3482" w:type="dxa"/>
            <w:shd w:val="clear" w:color="auto" w:fill="F4F7FB"/>
            <w:vAlign w:val="top"/>
          </w:tcPr>
          <w:p>
            <w:pPr>
              <w:pStyle w:val="TableText"/>
              <w:jc w:val="left"/>
            </w:pPr>
            <w:r>
              <w:t xml:space="preserve">View issued policies</w:t>
            </w:r>
          </w:p>
        </w:tc>
        <w:tc>
          <w:tcPr>
            <w:tcW w:w="2803" w:type="dxa"/>
            <w:shd w:val="clear" w:color="auto" w:fill="F4F7FB"/>
            <w:vAlign w:val="top"/>
          </w:tcPr>
          <w:p>
            <w:pPr>
              <w:pStyle w:val="TableText"/>
              <w:jc w:val="left"/>
            </w:pPr>
            <w:r>
              <w:t xml:space="preserve">Telesales, claims, partner manager</w:t>
            </w:r>
          </w:p>
        </w:tc>
      </w:tr>
      <w:tr>
        <w:trPr>
          <w:cantSplit/>
        </w:trPr>
        <w:tc>
          <w:tcPr>
            <w:tcW w:w="2742" w:type="dxa"/>
            <w:vAlign w:val="top"/>
          </w:tcPr>
          <w:p>
            <w:pPr>
              <w:pStyle w:val="TableText"/>
              <w:jc w:val="left"/>
            </w:pPr>
            <w:r>
              <w:rPr>
                <w:rStyle w:val="CodeChar"/>
              </w:rPr>
              <w:t xml:space="preserve">claims:read</w:t>
            </w:r>
            <w:r>
              <w:t xml:space="preserve">,</w:t>
            </w:r>
            <w:r>
              <w:t xml:space="preserve"> </w:t>
            </w:r>
            <w:r>
              <w:rPr>
                <w:rStyle w:val="CodeChar"/>
              </w:rPr>
              <w:t xml:space="preserve">claims:update</w:t>
            </w:r>
          </w:p>
        </w:tc>
        <w:tc>
          <w:tcPr>
            <w:tcW w:w="3482" w:type="dxa"/>
            <w:vAlign w:val="top"/>
          </w:tcPr>
          <w:p>
            <w:pPr>
              <w:pStyle w:val="TableText"/>
              <w:jc w:val="left"/>
            </w:pPr>
            <w:r>
              <w:t xml:space="preserve">View and progress claims</w:t>
            </w:r>
          </w:p>
        </w:tc>
        <w:tc>
          <w:tcPr>
            <w:tcW w:w="2803" w:type="dxa"/>
            <w:vAlign w:val="top"/>
          </w:tcPr>
          <w:p>
            <w:pPr>
              <w:pStyle w:val="TableText"/>
              <w:jc w:val="left"/>
            </w:pPr>
            <w:r>
              <w:t xml:space="preserve">Claims handler</w:t>
            </w:r>
          </w:p>
        </w:tc>
      </w:tr>
      <w:tr>
        <w:trPr>
          <w:cantSplit/>
        </w:trPr>
        <w:tc>
          <w:tcPr>
            <w:tcW w:w="2742" w:type="dxa"/>
            <w:shd w:val="clear" w:color="auto" w:fill="F4F7FB"/>
            <w:vAlign w:val="top"/>
          </w:tcPr>
          <w:p>
            <w:pPr>
              <w:pStyle w:val="TableText"/>
              <w:jc w:val="left"/>
            </w:pPr>
            <w:r>
              <w:rPr>
                <w:rStyle w:val="CodeChar"/>
              </w:rPr>
              <w:t xml:space="preserve">dq:read</w:t>
            </w:r>
            <w:r>
              <w:t xml:space="preserve">,</w:t>
            </w:r>
            <w:r>
              <w:t xml:space="preserve"> </w:t>
            </w:r>
            <w:r>
              <w:rPr>
                <w:rStyle w:val="CodeChar"/>
              </w:rPr>
              <w:t xml:space="preserve">dq:resolve</w:t>
            </w:r>
            <w:r>
              <w:t xml:space="preserve">,</w:t>
            </w:r>
            <w:r>
              <w:t xml:space="preserve"> </w:t>
            </w:r>
            <w:r>
              <w:rPr>
                <w:rStyle w:val="CodeChar"/>
              </w:rPr>
              <w:t xml:space="preserve">data:ingest</w:t>
            </w:r>
          </w:p>
        </w:tc>
        <w:tc>
          <w:tcPr>
            <w:tcW w:w="3482" w:type="dxa"/>
            <w:shd w:val="clear" w:color="auto" w:fill="F4F7FB"/>
            <w:vAlign w:val="top"/>
          </w:tcPr>
          <w:p>
            <w:pPr>
              <w:pStyle w:val="TableText"/>
              <w:jc w:val="left"/>
            </w:pPr>
            <w:r>
              <w:t xml:space="preserve">Data quality and data loading</w:t>
            </w:r>
          </w:p>
        </w:tc>
        <w:tc>
          <w:tcPr>
            <w:tcW w:w="2803" w:type="dxa"/>
            <w:shd w:val="clear" w:color="auto" w:fill="F4F7FB"/>
            <w:vAlign w:val="top"/>
          </w:tcPr>
          <w:p>
            <w:pPr>
              <w:pStyle w:val="TableText"/>
              <w:jc w:val="left"/>
            </w:pPr>
            <w:r>
              <w:t xml:space="preserve">Data steward</w:t>
            </w:r>
          </w:p>
        </w:tc>
      </w:tr>
      <w:tr>
        <w:trPr>
          <w:cantSplit/>
        </w:trPr>
        <w:tc>
          <w:tcPr>
            <w:tcW w:w="2742" w:type="dxa"/>
            <w:vAlign w:val="top"/>
          </w:tcPr>
          <w:p>
            <w:pPr>
              <w:pStyle w:val="TableText"/>
              <w:jc w:val="left"/>
            </w:pPr>
            <w:r>
              <w:rPr>
                <w:rStyle w:val="CodeChar"/>
              </w:rPr>
              <w:t xml:space="preserve">partners:manage</w:t>
            </w:r>
          </w:p>
        </w:tc>
        <w:tc>
          <w:tcPr>
            <w:tcW w:w="3482" w:type="dxa"/>
            <w:vAlign w:val="top"/>
          </w:tcPr>
          <w:p>
            <w:pPr>
              <w:pStyle w:val="TableText"/>
              <w:jc w:val="left"/>
            </w:pPr>
            <w:r>
              <w:t xml:space="preserve">Partners, keys and statements</w:t>
            </w:r>
          </w:p>
        </w:tc>
        <w:tc>
          <w:tcPr>
            <w:tcW w:w="2803" w:type="dxa"/>
            <w:vAlign w:val="top"/>
          </w:tcPr>
          <w:p>
            <w:pPr>
              <w:pStyle w:val="TableText"/>
              <w:jc w:val="left"/>
            </w:pPr>
            <w:r>
              <w:t xml:space="preserve">Partner manager</w:t>
            </w:r>
          </w:p>
        </w:tc>
      </w:tr>
      <w:tr>
        <w:trPr>
          <w:cantSplit/>
        </w:trPr>
        <w:tc>
          <w:tcPr>
            <w:tcW w:w="2742" w:type="dxa"/>
            <w:shd w:val="clear" w:color="auto" w:fill="F4F7FB"/>
            <w:vAlign w:val="top"/>
          </w:tcPr>
          <w:p>
            <w:pPr>
              <w:pStyle w:val="TableText"/>
              <w:jc w:val="left"/>
            </w:pPr>
            <w:r>
              <w:rPr>
                <w:rStyle w:val="CodeChar"/>
              </w:rPr>
              <w:t xml:space="preserve">dsar:manage</w:t>
            </w:r>
          </w:p>
        </w:tc>
        <w:tc>
          <w:tcPr>
            <w:tcW w:w="3482" w:type="dxa"/>
            <w:shd w:val="clear" w:color="auto" w:fill="F4F7FB"/>
            <w:vAlign w:val="top"/>
          </w:tcPr>
          <w:p>
            <w:pPr>
              <w:pStyle w:val="TableText"/>
              <w:jc w:val="left"/>
            </w:pPr>
            <w:r>
              <w:t xml:space="preserve">Data subject export and erasure</w:t>
            </w:r>
          </w:p>
        </w:tc>
        <w:tc>
          <w:tcPr>
            <w:tcW w:w="2803" w:type="dxa"/>
            <w:shd w:val="clear" w:color="auto" w:fill="F4F7FB"/>
            <w:vAlign w:val="top"/>
          </w:tcPr>
          <w:p>
            <w:pPr>
              <w:pStyle w:val="TableText"/>
              <w:jc w:val="left"/>
            </w:pPr>
            <w:r>
              <w:t xml:space="preserve">Compliance officer</w:t>
            </w:r>
          </w:p>
        </w:tc>
      </w:tr>
      <w:tr>
        <w:trPr>
          <w:cantSplit/>
        </w:trPr>
        <w:tc>
          <w:tcPr>
            <w:tcW w:w="2742" w:type="dxa"/>
            <w:vAlign w:val="top"/>
          </w:tcPr>
          <w:p>
            <w:pPr>
              <w:pStyle w:val="TableText"/>
              <w:jc w:val="left"/>
            </w:pPr>
            <w:r>
              <w:rPr>
                <w:rStyle w:val="CodeChar"/>
              </w:rPr>
              <w:t xml:space="preserve">customer:self</w:t>
            </w:r>
            <w:r>
              <w:t xml:space="preserve">,</w:t>
            </w:r>
            <w:r>
              <w:t xml:space="preserve"> </w:t>
            </w:r>
            <w:r>
              <w:rPr>
                <w:rStyle w:val="CodeChar"/>
              </w:rPr>
              <w:t xml:space="preserve">partner:transact</w:t>
            </w:r>
          </w:p>
        </w:tc>
        <w:tc>
          <w:tcPr>
            <w:tcW w:w="3482" w:type="dxa"/>
            <w:vAlign w:val="top"/>
          </w:tcPr>
          <w:p>
            <w:pPr>
              <w:pStyle w:val="TableText"/>
              <w:jc w:val="left"/>
            </w:pPr>
            <w:r>
              <w:t xml:space="preserve">Customer and partner channels</w:t>
            </w:r>
          </w:p>
        </w:tc>
        <w:tc>
          <w:tcPr>
            <w:tcW w:w="2803" w:type="dxa"/>
            <w:vAlign w:val="top"/>
          </w:tcPr>
          <w:p>
            <w:pPr>
              <w:pStyle w:val="TableText"/>
              <w:jc w:val="left"/>
            </w:pPr>
            <w:r>
              <w:t xml:space="preserve">Customer, partner system</w:t>
            </w:r>
          </w:p>
        </w:tc>
      </w:tr>
    </w:tbl>
    <w:p>
      <w:pPr>
        <w:pStyle w:val="Heading2"/>
      </w:pPr>
      <w:bookmarkStart w:id="21" w:name="_Toc300000017"/>
      <w:r>
        <w:t xml:space="preserve">Separation of duties</w:t>
      </w:r>
      <w:bookmarkEnd w:id="21"/>
    </w:p>
    <w:p>
      <w:pPr>
        <w:pStyle w:val="Compact"/>
        <w:numPr>
          <w:ilvl w:val="0"/>
          <w:numId w:val="1001"/>
        </w:numPr>
      </w:pPr>
      <w:r>
        <w:t xml:space="preserve">Forbidden role combinations are enforced when users are created or changed: the administrator cannot also hold a rule, compliance, data steward, telesales, campaign or partner role, and a rule author cannot also be a rule approver or compliance officer.</w:t>
      </w:r>
    </w:p>
    <w:p>
      <w:pPr>
        <w:pStyle w:val="Compact"/>
        <w:numPr>
          <w:ilvl w:val="0"/>
          <w:numId w:val="1001"/>
        </w:numPr>
      </w:pPr>
      <w:r>
        <w:t xml:space="preserve">Nobody can change their own roles or status, and an administrator cannot reset their own account.</w:t>
      </w:r>
    </w:p>
    <w:p>
      <w:pPr>
        <w:pStyle w:val="Compact"/>
        <w:numPr>
          <w:ilvl w:val="0"/>
          <w:numId w:val="1001"/>
        </w:numPr>
      </w:pPr>
      <w:r>
        <w:t xml:space="preserve">The rules service blocks self-approval even if roles were misconfigured.</w:t>
      </w:r>
    </w:p>
    <w:p>
      <w:pPr>
        <w:pStyle w:val="Compact"/>
        <w:numPr>
          <w:ilvl w:val="0"/>
          <w:numId w:val="1001"/>
        </w:numPr>
      </w:pPr>
      <w:r>
        <w:t xml:space="preserve">Restricted rule kinds (commission, copy guard, contact policy, access attributes, retention) can be approved only by a compliance officer.</w:t>
      </w:r>
    </w:p>
    <w:p>
      <w:pPr>
        <w:pStyle w:val="Compact"/>
        <w:numPr>
          <w:ilvl w:val="0"/>
          <w:numId w:val="1001"/>
        </w:numPr>
      </w:pPr>
      <w:r>
        <w:t xml:space="preserve">The administrator cannot see customer personal data or author or approve rules.</w:t>
      </w:r>
    </w:p>
    <w:p>
      <w:pPr>
        <w:pStyle w:val="Heading2"/>
      </w:pPr>
      <w:bookmarkStart w:id="22" w:name="_Toc300000018"/>
      <w:r>
        <w:t xml:space="preserve">Attribute-based policies</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83"/>
        <w:gridCol w:w="3301"/>
        <w:gridCol w:w="4343"/>
      </w:tblGrid>
      <w:tr>
        <w:trPr>
          <w:cantSplit/>
          <w:tblHeader/>
        </w:trPr>
        <w:tc>
          <w:tcPr>
            <w:tcW w:w="1383" w:type="dxa"/>
            <w:shd w:val="clear" w:color="auto" w:fill="0F4761"/>
            <w:vAlign w:val="center"/>
          </w:tcPr>
          <w:p>
            <w:pPr>
              <w:pStyle w:val="TableHeading"/>
              <w:jc w:val="left"/>
            </w:pPr>
            <w:r>
              <w:rPr>
                <w:color w:val="FFFFFF"/>
              </w:rPr>
              <w:t xml:space="preserve">Policy</w:t>
            </w:r>
          </w:p>
        </w:tc>
        <w:tc>
          <w:tcPr>
            <w:tcW w:w="3301" w:type="dxa"/>
            <w:shd w:val="clear" w:color="auto" w:fill="0F4761"/>
            <w:vAlign w:val="center"/>
          </w:tcPr>
          <w:p>
            <w:pPr>
              <w:pStyle w:val="TableHeading"/>
              <w:jc w:val="left"/>
            </w:pPr>
            <w:r>
              <w:rPr>
                <w:color w:val="FFFFFF"/>
              </w:rPr>
              <w:t xml:space="preserve">Applies to</w:t>
            </w:r>
          </w:p>
        </w:tc>
        <w:tc>
          <w:tcPr>
            <w:tcW w:w="4343" w:type="dxa"/>
            <w:shd w:val="clear" w:color="auto" w:fill="0F4761"/>
            <w:vAlign w:val="center"/>
          </w:tcPr>
          <w:p>
            <w:pPr>
              <w:pStyle w:val="TableHeading"/>
              <w:jc w:val="left"/>
            </w:pPr>
            <w:r>
              <w:rPr>
                <w:color w:val="FFFFFF"/>
              </w:rPr>
              <w:t xml:space="preserve">Allow condition</w:t>
            </w:r>
          </w:p>
        </w:tc>
      </w:tr>
      <w:tr>
        <w:trPr>
          <w:cantSplit/>
        </w:trPr>
        <w:tc>
          <w:tcPr>
            <w:tcW w:w="1383" w:type="dxa"/>
            <w:vAlign w:val="top"/>
          </w:tcPr>
          <w:p>
            <w:pPr>
              <w:pStyle w:val="TableText"/>
              <w:jc w:val="left"/>
            </w:pPr>
            <w:r>
              <w:t xml:space="preserve">Own handoffs</w:t>
            </w:r>
          </w:p>
        </w:tc>
        <w:tc>
          <w:tcPr>
            <w:tcW w:w="3301" w:type="dxa"/>
            <w:vAlign w:val="top"/>
          </w:tcPr>
          <w:p>
            <w:pPr>
              <w:pStyle w:val="TableText"/>
              <w:jc w:val="left"/>
            </w:pPr>
            <w:r>
              <w:t xml:space="preserve">Telesales agents reading or updating handoffs</w:t>
            </w:r>
          </w:p>
        </w:tc>
        <w:tc>
          <w:tcPr>
            <w:tcW w:w="4343" w:type="dxa"/>
            <w:vAlign w:val="top"/>
          </w:tcPr>
          <w:p>
            <w:pPr>
              <w:pStyle w:val="TableText"/>
              <w:jc w:val="left"/>
            </w:pPr>
            <w:r>
              <w:t xml:space="preserve">Assigned to the user or unassigned, and in the user’s region (or the user covers all regions)</w:t>
            </w:r>
          </w:p>
        </w:tc>
      </w:tr>
      <w:tr>
        <w:trPr>
          <w:cantSplit/>
        </w:trPr>
        <w:tc>
          <w:tcPr>
            <w:tcW w:w="1383" w:type="dxa"/>
            <w:shd w:val="clear" w:color="auto" w:fill="F4F7FB"/>
            <w:vAlign w:val="top"/>
          </w:tcPr>
          <w:p>
            <w:pPr>
              <w:pStyle w:val="TableText"/>
              <w:jc w:val="left"/>
            </w:pPr>
            <w:r>
              <w:t xml:space="preserve">Regional data</w:t>
            </w:r>
          </w:p>
        </w:tc>
        <w:tc>
          <w:tcPr>
            <w:tcW w:w="3301" w:type="dxa"/>
            <w:shd w:val="clear" w:color="auto" w:fill="F4F7FB"/>
            <w:vAlign w:val="top"/>
          </w:tcPr>
          <w:p>
            <w:pPr>
              <w:pStyle w:val="TableText"/>
              <w:jc w:val="left"/>
            </w:pPr>
            <w:r>
              <w:t xml:space="preserve">Telesales agents, supervisors and data stewards reading or updating customers</w:t>
            </w:r>
          </w:p>
        </w:tc>
        <w:tc>
          <w:tcPr>
            <w:tcW w:w="4343" w:type="dxa"/>
            <w:shd w:val="clear" w:color="auto" w:fill="F4F7FB"/>
            <w:vAlign w:val="top"/>
          </w:tcPr>
          <w:p>
            <w:pPr>
              <w:pStyle w:val="TableText"/>
              <w:jc w:val="left"/>
            </w:pPr>
            <w:r>
              <w:t xml:space="preserve">The user’s region is all regions or matches the customer’s province</w:t>
            </w:r>
          </w:p>
        </w:tc>
      </w:tr>
      <w:tr>
        <w:trPr>
          <w:cantSplit/>
        </w:trPr>
        <w:tc>
          <w:tcPr>
            <w:tcW w:w="1383" w:type="dxa"/>
            <w:vAlign w:val="top"/>
          </w:tcPr>
          <w:p>
            <w:pPr>
              <w:pStyle w:val="TableText"/>
              <w:jc w:val="left"/>
            </w:pPr>
            <w:r>
              <w:t xml:space="preserve">Customer self</w:t>
            </w:r>
          </w:p>
        </w:tc>
        <w:tc>
          <w:tcPr>
            <w:tcW w:w="3301" w:type="dxa"/>
            <w:vAlign w:val="top"/>
          </w:tcPr>
          <w:p>
            <w:pPr>
              <w:pStyle w:val="TableText"/>
              <w:jc w:val="left"/>
            </w:pPr>
            <w:r>
              <w:t xml:space="preserve">Customers</w:t>
            </w:r>
          </w:p>
        </w:tc>
        <w:tc>
          <w:tcPr>
            <w:tcW w:w="4343" w:type="dxa"/>
            <w:vAlign w:val="top"/>
          </w:tcPr>
          <w:p>
            <w:pPr>
              <w:pStyle w:val="TableText"/>
              <w:jc w:val="left"/>
            </w:pPr>
            <w:r>
              <w:t xml:space="preserve">Ownership enforced on every customer route by the customer id in the token</w:t>
            </w:r>
          </w:p>
        </w:tc>
      </w:tr>
    </w:tbl>
    <w:p>
      <w:pPr>
        <w:pStyle w:val="BodyText"/>
        <w:spacing w:before="160"/>
      </w:pPr>
      <w:r>
        <w:t xml:space="preserve">A policy applies to anyone holding one of its roles, unless another role held by the same user independently grants the permission; adding an unrelated role never widens access. Profile-level checks run on the customer 360 view, lineage, global search, expiry correction, quote creation and sending, and voice sessions.</w:t>
      </w:r>
    </w:p>
    <w:p>
      <w:pPr>
        <w:pStyle w:val="Heading2"/>
      </w:pPr>
      <w:bookmarkStart w:id="23" w:name="_Toc300000019"/>
      <w:r>
        <w:t xml:space="preserve">Masking</w:t>
      </w:r>
      <w:bookmarkEnd w:id="23"/>
    </w:p>
    <w:p>
      <w:pPr>
        <w:pStyle w:val="FirstParagraph"/>
      </w:pPr>
      <w:r>
        <w:t xml:space="preserve">Without permission to see personal data, names become initials and phones are masked (for example</w:t>
      </w:r>
      <w:r>
        <w:t xml:space="preserve"> </w:t>
      </w:r>
      <w:r>
        <w:rPr>
          <w:rStyle w:val="CodeChar"/>
        </w:rPr>
        <w:t xml:space="preserve">0912***678</w:t>
      </w:r>
      <w:r>
        <w:t xml:space="preserve">). Handoffs carry only a masked phone, the voice assistant speaks a masked plate, and the public certificate check returns a masked plate. Every customer 360 view is audited with whether personal data was visible.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Data protection and cryptography</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72"/>
        <w:gridCol w:w="2533"/>
        <w:gridCol w:w="2098"/>
        <w:gridCol w:w="2524"/>
      </w:tblGrid>
      <w:tr>
        <w:trPr>
          <w:cantSplit/>
          <w:tblHeader/>
        </w:trPr>
        <w:tc>
          <w:tcPr>
            <w:tcW w:w="1872" w:type="dxa"/>
            <w:shd w:val="clear" w:color="auto" w:fill="0F4761"/>
            <w:vAlign w:val="center"/>
          </w:tcPr>
          <w:p>
            <w:pPr>
              <w:pStyle w:val="TableHeading"/>
              <w:jc w:val="left"/>
            </w:pPr>
            <w:r>
              <w:rPr>
                <w:color w:val="FFFFFF"/>
              </w:rPr>
              <w:t xml:space="preserve">Purpose</w:t>
            </w:r>
          </w:p>
        </w:tc>
        <w:tc>
          <w:tcPr>
            <w:tcW w:w="2533" w:type="dxa"/>
            <w:shd w:val="clear" w:color="auto" w:fill="0F4761"/>
            <w:vAlign w:val="center"/>
          </w:tcPr>
          <w:p>
            <w:pPr>
              <w:pStyle w:val="TableHeading"/>
              <w:jc w:val="left"/>
            </w:pPr>
            <w:r>
              <w:rPr>
                <w:color w:val="FFFFFF"/>
              </w:rPr>
              <w:t xml:space="preserve">Algorithm</w:t>
            </w:r>
          </w:p>
        </w:tc>
        <w:tc>
          <w:tcPr>
            <w:tcW w:w="2098" w:type="dxa"/>
            <w:shd w:val="clear" w:color="auto" w:fill="0F4761"/>
            <w:vAlign w:val="center"/>
          </w:tcPr>
          <w:p>
            <w:pPr>
              <w:pStyle w:val="TableHeading"/>
              <w:jc w:val="left"/>
            </w:pPr>
            <w:r>
              <w:rPr>
                <w:color w:val="FFFFFF"/>
              </w:rPr>
              <w:t xml:space="preserve">Key</w:t>
            </w:r>
          </w:p>
        </w:tc>
        <w:tc>
          <w:tcPr>
            <w:tcW w:w="2524" w:type="dxa"/>
            <w:shd w:val="clear" w:color="auto" w:fill="0F4761"/>
            <w:vAlign w:val="center"/>
          </w:tcPr>
          <w:p>
            <w:pPr>
              <w:pStyle w:val="TableHeading"/>
              <w:jc w:val="left"/>
            </w:pPr>
            <w:r>
              <w:rPr>
                <w:color w:val="FFFFFF"/>
              </w:rPr>
              <w:t xml:space="preserve">Rotation</w:t>
            </w:r>
          </w:p>
        </w:tc>
      </w:tr>
      <w:tr>
        <w:trPr>
          <w:cantSplit/>
        </w:trPr>
        <w:tc>
          <w:tcPr>
            <w:tcW w:w="1872" w:type="dxa"/>
            <w:vAlign w:val="top"/>
          </w:tcPr>
          <w:p>
            <w:pPr>
              <w:pStyle w:val="TableText"/>
              <w:jc w:val="left"/>
            </w:pPr>
            <w:r>
              <w:t xml:space="preserve">Personal data at rest</w:t>
            </w:r>
          </w:p>
        </w:tc>
        <w:tc>
          <w:tcPr>
            <w:tcW w:w="2533" w:type="dxa"/>
            <w:vAlign w:val="top"/>
          </w:tcPr>
          <w:p>
            <w:pPr>
              <w:pStyle w:val="TableText"/>
              <w:jc w:val="left"/>
            </w:pPr>
            <w:r>
              <w:t xml:space="preserve">AES-256-GCM per field, random 96-bit IV, key id in each value</w:t>
            </w:r>
          </w:p>
        </w:tc>
        <w:tc>
          <w:tcPr>
            <w:tcW w:w="2098" w:type="dxa"/>
            <w:vAlign w:val="top"/>
          </w:tcPr>
          <w:p>
            <w:pPr>
              <w:pStyle w:val="TableText"/>
              <w:jc w:val="left"/>
            </w:pPr>
            <w:r>
              <w:t xml:space="preserve">Data keys from the secret store, one active</w:t>
            </w:r>
          </w:p>
        </w:tc>
        <w:tc>
          <w:tcPr>
            <w:tcW w:w="2524" w:type="dxa"/>
            <w:vAlign w:val="top"/>
          </w:tcPr>
          <w:p>
            <w:pPr>
              <w:pStyle w:val="TableText"/>
              <w:jc w:val="left"/>
            </w:pPr>
            <w:r>
              <w:t xml:space="preserve">Yearly or on suspicion; old keys kept until re-encryption completes</w:t>
            </w:r>
          </w:p>
        </w:tc>
      </w:tr>
      <w:tr>
        <w:trPr>
          <w:cantSplit/>
        </w:trPr>
        <w:tc>
          <w:tcPr>
            <w:tcW w:w="1872" w:type="dxa"/>
            <w:shd w:val="clear" w:color="auto" w:fill="F4F7FB"/>
            <w:vAlign w:val="top"/>
          </w:tcPr>
          <w:p>
            <w:pPr>
              <w:pStyle w:val="TableText"/>
              <w:jc w:val="left"/>
            </w:pPr>
            <w:r>
              <w:t xml:space="preserve">Exact search on phone</w:t>
            </w:r>
          </w:p>
        </w:tc>
        <w:tc>
          <w:tcPr>
            <w:tcW w:w="2533" w:type="dxa"/>
            <w:shd w:val="clear" w:color="auto" w:fill="F4F7FB"/>
            <w:vAlign w:val="top"/>
          </w:tcPr>
          <w:p>
            <w:pPr>
              <w:pStyle w:val="TableText"/>
              <w:jc w:val="left"/>
            </w:pPr>
            <w:r>
              <w:t xml:space="preserve">HMAC-SHA256 blind index</w:t>
            </w:r>
          </w:p>
        </w:tc>
        <w:tc>
          <w:tcPr>
            <w:tcW w:w="2098" w:type="dxa"/>
            <w:shd w:val="clear" w:color="auto" w:fill="F4F7FB"/>
            <w:vAlign w:val="top"/>
          </w:tcPr>
          <w:p>
            <w:pPr>
              <w:pStyle w:val="TableText"/>
              <w:jc w:val="left"/>
            </w:pPr>
            <w:r>
              <w:t xml:space="preserve">Separate blind-index key</w:t>
            </w:r>
          </w:p>
        </w:tc>
        <w:tc>
          <w:tcPr>
            <w:tcW w:w="2524" w:type="dxa"/>
            <w:shd w:val="clear" w:color="auto" w:fill="F4F7FB"/>
            <w:vAlign w:val="top"/>
          </w:tcPr>
          <w:p>
            <w:pPr>
              <w:pStyle w:val="TableText"/>
              <w:jc w:val="left"/>
            </w:pPr>
            <w:r>
              <w:t xml:space="preserve">On compromise only; index recomputed</w:t>
            </w:r>
          </w:p>
        </w:tc>
      </w:tr>
      <w:tr>
        <w:trPr>
          <w:cantSplit/>
        </w:trPr>
        <w:tc>
          <w:tcPr>
            <w:tcW w:w="1872" w:type="dxa"/>
            <w:vAlign w:val="top"/>
          </w:tcPr>
          <w:p>
            <w:pPr>
              <w:pStyle w:val="TableText"/>
              <w:jc w:val="left"/>
            </w:pPr>
            <w:r>
              <w:t xml:space="preserve">Staff passwords</w:t>
            </w:r>
          </w:p>
        </w:tc>
        <w:tc>
          <w:tcPr>
            <w:tcW w:w="2533" w:type="dxa"/>
            <w:vAlign w:val="top"/>
          </w:tcPr>
          <w:p>
            <w:pPr>
              <w:pStyle w:val="TableText"/>
              <w:jc w:val="left"/>
            </w:pPr>
            <w:r>
              <w:t xml:space="preserve">scrypt with per-user salt, constant-time comparison</w:t>
            </w:r>
          </w:p>
        </w:tc>
        <w:tc>
          <w:tcPr>
            <w:tcW w:w="2098" w:type="dxa"/>
            <w:vAlign w:val="top"/>
          </w:tcPr>
          <w:p>
            <w:pPr>
              <w:pStyle w:val="TableText"/>
              <w:jc w:val="left"/>
            </w:pPr>
            <w:r>
              <w:t xml:space="preserve">Not applicable</w:t>
            </w:r>
          </w:p>
        </w:tc>
        <w:tc>
          <w:tcPr>
            <w:tcW w:w="2524" w:type="dxa"/>
            <w:vAlign w:val="top"/>
          </w:tcPr>
          <w:p>
            <w:pPr>
              <w:pStyle w:val="TableText"/>
              <w:jc w:val="left"/>
            </w:pPr>
            <w:r>
              <w:t xml:space="preserve">Rehash when parameters change (planned)</w:t>
            </w:r>
          </w:p>
        </w:tc>
      </w:tr>
      <w:tr>
        <w:trPr>
          <w:cantSplit/>
        </w:trPr>
        <w:tc>
          <w:tcPr>
            <w:tcW w:w="1872" w:type="dxa"/>
            <w:shd w:val="clear" w:color="auto" w:fill="F4F7FB"/>
            <w:vAlign w:val="top"/>
          </w:tcPr>
          <w:p>
            <w:pPr>
              <w:pStyle w:val="TableText"/>
              <w:jc w:val="left"/>
            </w:pPr>
            <w:r>
              <w:t xml:space="preserve">Tokens</w:t>
            </w:r>
          </w:p>
        </w:tc>
        <w:tc>
          <w:tcPr>
            <w:tcW w:w="2533" w:type="dxa"/>
            <w:shd w:val="clear" w:color="auto" w:fill="F4F7FB"/>
            <w:vAlign w:val="top"/>
          </w:tcPr>
          <w:p>
            <w:pPr>
              <w:pStyle w:val="TableText"/>
              <w:jc w:val="left"/>
            </w:pPr>
            <w:r>
              <w:t xml:space="preserve">HMAC-SHA256 signed tokens, algorithm pinned, audience separated</w:t>
            </w:r>
          </w:p>
        </w:tc>
        <w:tc>
          <w:tcPr>
            <w:tcW w:w="2098" w:type="dxa"/>
            <w:shd w:val="clear" w:color="auto" w:fill="F4F7FB"/>
            <w:vAlign w:val="top"/>
          </w:tcPr>
          <w:p>
            <w:pPr>
              <w:pStyle w:val="TableText"/>
              <w:jc w:val="left"/>
            </w:pPr>
            <w:r>
              <w:t xml:space="preserve">Token signing secret</w:t>
            </w:r>
          </w:p>
        </w:tc>
        <w:tc>
          <w:tcPr>
            <w:tcW w:w="2524" w:type="dxa"/>
            <w:shd w:val="clear" w:color="auto" w:fill="F4F7FB"/>
            <w:vAlign w:val="top"/>
          </w:tcPr>
          <w:p>
            <w:pPr>
              <w:pStyle w:val="TableText"/>
              <w:jc w:val="left"/>
            </w:pPr>
            <w:r>
              <w:t xml:space="preserve">90 days; target asymmetric keys from the identity provider</w:t>
            </w:r>
          </w:p>
        </w:tc>
      </w:tr>
      <w:tr>
        <w:trPr>
          <w:cantSplit/>
        </w:trPr>
        <w:tc>
          <w:tcPr>
            <w:tcW w:w="1872" w:type="dxa"/>
            <w:vAlign w:val="top"/>
          </w:tcPr>
          <w:p>
            <w:pPr>
              <w:pStyle w:val="TableText"/>
              <w:jc w:val="left"/>
            </w:pPr>
            <w:r>
              <w:t xml:space="preserve">Renewal links</w:t>
            </w:r>
          </w:p>
        </w:tc>
        <w:tc>
          <w:tcPr>
            <w:tcW w:w="2533" w:type="dxa"/>
            <w:vAlign w:val="top"/>
          </w:tcPr>
          <w:p>
            <w:pPr>
              <w:pStyle w:val="TableText"/>
              <w:jc w:val="left"/>
            </w:pPr>
            <w:r>
              <w:t xml:space="preserve">HMAC-SHA256, 132-bit tag, signed expiry</w:t>
            </w:r>
          </w:p>
        </w:tc>
        <w:tc>
          <w:tcPr>
            <w:tcW w:w="2098" w:type="dxa"/>
            <w:vAlign w:val="top"/>
          </w:tcPr>
          <w:p>
            <w:pPr>
              <w:pStyle w:val="TableText"/>
              <w:jc w:val="left"/>
            </w:pPr>
            <w:r>
              <w:t xml:space="preserve">Derived from the token secret</w:t>
            </w:r>
          </w:p>
        </w:tc>
        <w:tc>
          <w:tcPr>
            <w:tcW w:w="2524" w:type="dxa"/>
            <w:vAlign w:val="top"/>
          </w:tcPr>
          <w:p>
            <w:pPr>
              <w:pStyle w:val="TableText"/>
              <w:jc w:val="left"/>
            </w:pPr>
            <w:r>
              <w:t xml:space="preserve">With the token secret; separate key planned (SR-05)</w:t>
            </w:r>
          </w:p>
        </w:tc>
      </w:tr>
      <w:tr>
        <w:trPr>
          <w:cantSplit/>
        </w:trPr>
        <w:tc>
          <w:tcPr>
            <w:tcW w:w="1872" w:type="dxa"/>
            <w:shd w:val="clear" w:color="auto" w:fill="F4F7FB"/>
            <w:vAlign w:val="top"/>
          </w:tcPr>
          <w:p>
            <w:pPr>
              <w:pStyle w:val="TableText"/>
              <w:jc w:val="left"/>
            </w:pPr>
            <w:r>
              <w:t xml:space="preserve">Partner API keys</w:t>
            </w:r>
          </w:p>
        </w:tc>
        <w:tc>
          <w:tcPr>
            <w:tcW w:w="2533" w:type="dxa"/>
            <w:shd w:val="clear" w:color="auto" w:fill="F4F7FB"/>
            <w:vAlign w:val="top"/>
          </w:tcPr>
          <w:p>
            <w:pPr>
              <w:pStyle w:val="TableText"/>
              <w:jc w:val="left"/>
            </w:pPr>
            <w:r>
              <w:t xml:space="preserve">24 random bytes, stored as SHA-256</w:t>
            </w:r>
          </w:p>
        </w:tc>
        <w:tc>
          <w:tcPr>
            <w:tcW w:w="2098" w:type="dxa"/>
            <w:shd w:val="clear" w:color="auto" w:fill="F4F7FB"/>
            <w:vAlign w:val="top"/>
          </w:tcPr>
          <w:p>
            <w:pPr>
              <w:pStyle w:val="TableText"/>
              <w:jc w:val="left"/>
            </w:pPr>
            <w:r>
              <w:t xml:space="preserve">Not applicable</w:t>
            </w:r>
          </w:p>
        </w:tc>
        <w:tc>
          <w:tcPr>
            <w:tcW w:w="2524" w:type="dxa"/>
            <w:shd w:val="clear" w:color="auto" w:fill="F4F7FB"/>
            <w:vAlign w:val="top"/>
          </w:tcPr>
          <w:p>
            <w:pPr>
              <w:pStyle w:val="TableText"/>
              <w:jc w:val="left"/>
            </w:pPr>
            <w:r>
              <w:t xml:space="preserve">At most 12 months; revoke on demand</w:t>
            </w:r>
          </w:p>
        </w:tc>
      </w:tr>
      <w:tr>
        <w:trPr>
          <w:cantSplit/>
        </w:trPr>
        <w:tc>
          <w:tcPr>
            <w:tcW w:w="1872" w:type="dxa"/>
            <w:vAlign w:val="top"/>
          </w:tcPr>
          <w:p>
            <w:pPr>
              <w:pStyle w:val="TableText"/>
              <w:jc w:val="left"/>
            </w:pPr>
            <w:r>
              <w:t xml:space="preserve">Authenticator seeds</w:t>
            </w:r>
          </w:p>
        </w:tc>
        <w:tc>
          <w:tcPr>
            <w:tcW w:w="2533" w:type="dxa"/>
            <w:vAlign w:val="top"/>
          </w:tcPr>
          <w:p>
            <w:pPr>
              <w:pStyle w:val="TableText"/>
              <w:jc w:val="left"/>
            </w:pPr>
            <w:r>
              <w:t xml:space="preserve">TOTP (RFC 6238), 160-bit seed</w:t>
            </w:r>
          </w:p>
        </w:tc>
        <w:tc>
          <w:tcPr>
            <w:tcW w:w="2098" w:type="dxa"/>
            <w:vAlign w:val="top"/>
          </w:tcPr>
          <w:p>
            <w:pPr>
              <w:pStyle w:val="TableText"/>
              <w:jc w:val="left"/>
            </w:pPr>
            <w:r>
              <w:t xml:space="preserve">Encrypted at rest per user</w:t>
            </w:r>
          </w:p>
        </w:tc>
        <w:tc>
          <w:tcPr>
            <w:tcW w:w="2524" w:type="dxa"/>
            <w:vAlign w:val="top"/>
          </w:tcPr>
          <w:p>
            <w:pPr>
              <w:pStyle w:val="TableText"/>
              <w:jc w:val="left"/>
            </w:pPr>
            <w:r>
              <w:t xml:space="preserve">Re-enrol on device loss</w:t>
            </w:r>
          </w:p>
        </w:tc>
      </w:tr>
      <w:tr>
        <w:trPr>
          <w:cantSplit/>
        </w:trPr>
        <w:tc>
          <w:tcPr>
            <w:tcW w:w="1872" w:type="dxa"/>
            <w:shd w:val="clear" w:color="auto" w:fill="F4F7FB"/>
            <w:vAlign w:val="top"/>
          </w:tcPr>
          <w:p>
            <w:pPr>
              <w:pStyle w:val="TableText"/>
              <w:jc w:val="left"/>
            </w:pPr>
            <w:r>
              <w:t xml:space="preserve">Audit chain</w:t>
            </w:r>
          </w:p>
        </w:tc>
        <w:tc>
          <w:tcPr>
            <w:tcW w:w="2533" w:type="dxa"/>
            <w:shd w:val="clear" w:color="auto" w:fill="F4F7FB"/>
            <w:vAlign w:val="top"/>
          </w:tcPr>
          <w:p>
            <w:pPr>
              <w:pStyle w:val="TableText"/>
              <w:jc w:val="left"/>
            </w:pPr>
            <w:r>
              <w:t xml:space="preserve">SHA-256 over canonical JSON</w:t>
            </w:r>
          </w:p>
        </w:tc>
        <w:tc>
          <w:tcPr>
            <w:tcW w:w="2098" w:type="dxa"/>
            <w:shd w:val="clear" w:color="auto" w:fill="F4F7FB"/>
            <w:vAlign w:val="top"/>
          </w:tcPr>
          <w:p>
            <w:pPr>
              <w:pStyle w:val="TableText"/>
              <w:jc w:val="left"/>
            </w:pPr>
            <w:r>
              <w:t xml:space="preserve">Not applicable</w:t>
            </w:r>
          </w:p>
        </w:tc>
        <w:tc>
          <w:tcPr>
            <w:tcW w:w="2524" w:type="dxa"/>
            <w:shd w:val="clear" w:color="auto" w:fill="F4F7FB"/>
            <w:vAlign w:val="top"/>
          </w:tcPr>
          <w:p>
            <w:pPr>
              <w:pStyle w:val="TableText"/>
              <w:jc w:val="left"/>
            </w:pPr>
            <w:r>
              <w:t xml:space="preserve">External anchoring planned (SR-06)</w:t>
            </w:r>
          </w:p>
        </w:tc>
      </w:tr>
      <w:tr>
        <w:trPr>
          <w:cantSplit/>
        </w:trPr>
        <w:tc>
          <w:tcPr>
            <w:tcW w:w="1872" w:type="dxa"/>
            <w:vAlign w:val="top"/>
          </w:tcPr>
          <w:p>
            <w:pPr>
              <w:pStyle w:val="TableText"/>
              <w:jc w:val="left"/>
            </w:pPr>
            <w:r>
              <w:t xml:space="preserve">Transport</w:t>
            </w:r>
          </w:p>
        </w:tc>
        <w:tc>
          <w:tcPr>
            <w:tcW w:w="2533" w:type="dxa"/>
            <w:vAlign w:val="top"/>
          </w:tcPr>
          <w:p>
            <w:pPr>
              <w:pStyle w:val="TableText"/>
              <w:jc w:val="left"/>
            </w:pPr>
            <w:r>
              <w:t xml:space="preserve">TLS 1.2 or higher; TLS to PostgreSQL with verification</w:t>
            </w:r>
          </w:p>
        </w:tc>
        <w:tc>
          <w:tcPr>
            <w:tcW w:w="2098" w:type="dxa"/>
            <w:vAlign w:val="top"/>
          </w:tcPr>
          <w:p>
            <w:pPr>
              <w:pStyle w:val="TableText"/>
              <w:jc w:val="left"/>
            </w:pPr>
            <w:r>
              <w:t xml:space="preserve">Certificates from cert-manager or corporate CA</w:t>
            </w:r>
          </w:p>
        </w:tc>
        <w:tc>
          <w:tcPr>
            <w:tcW w:w="2524" w:type="dxa"/>
            <w:vAlign w:val="top"/>
          </w:tcPr>
          <w:p>
            <w:pPr>
              <w:pStyle w:val="TableText"/>
              <w:jc w:val="left"/>
            </w:pPr>
            <w:r>
              <w:t xml:space="preserve">Automated</w:t>
            </w:r>
          </w:p>
        </w:tc>
      </w:tr>
    </w:tbl>
    <w:p>
      <w:pPr>
        <w:pStyle w:val="BodyText"/>
        <w:spacing w:before="160"/>
      </w:pPr>
      <w:r>
        <w:t xml:space="preserve">Keys are mounted as read-only files from the secret store and held in process memory. The production target wraps data keys with a KMS key and unwraps them at start-up through workload identity, with key use logged by the KMS and keys kept in a Vietnamese region (to be confirmed by TASCO legal).</w:t>
      </w:r>
    </w:p>
    <w:p>
      <w:pPr>
        <w:pStyle w:val="BodyText"/>
      </w:pPr>
      <w:r>
        <w:t xml:space="preserve">Secrets are delivered as files, never in images, Git or configuration maps (TGP-ARC-05 Deployment and Infrastructure Architecture). Production refuses to start if the token secret, blind-index key or data keys are missing, if a data key is not 32 bytes, if the database URL is missing or if demo mode is on. Outside production, a missing secret is replaced by an ephemeral value with a start-up warning. Secret scanning runs in CI, and the logger redacts secrets, tokens, keys and authorisation headers.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Application security</w:t>
      </w:r>
      <w:bookmarkEnd w:id="25"/>
    </w:p>
    <w:p>
      <w:pPr>
        <w:pStyle w:val="Heading2"/>
      </w:pPr>
      <w:bookmarkStart w:id="26" w:name="_Toc300000022"/>
      <w:r>
        <w:t xml:space="preserve">Input, data access and output</w:t>
      </w:r>
      <w:bookmarkEnd w:id="26"/>
    </w:p>
    <w:p>
      <w:pPr>
        <w:pStyle w:val="FirstParagraph"/>
      </w:pPr>
      <w:r>
        <w:t xml:space="preserve">Every route declares an allow-list schema: unknown fields are rejected, strings and arrays are bounded, enumerations, patterns, integer ranges and dates are checked, and malformed path parameters return 400. Bodies must be JSON objects of at most 1 MiB. Rule payloads go through the validator for their kind. Plates and phones are normalised before use, and customer speech is capped in length. Data access uses only parameterised statements with columns from the registry. Responses are JSON with</w:t>
      </w:r>
      <w:r>
        <w:t xml:space="preserve"> </w:t>
      </w:r>
      <w:r>
        <w:rPr>
          <w:rStyle w:val="CodeChar"/>
        </w:rPr>
        <w:t xml:space="preserve">Cache-Control: no-store</w:t>
      </w:r>
      <w:r>
        <w:t xml:space="preserve">, and the front end renders text only.</w:t>
      </w:r>
    </w:p>
    <w:p>
      <w:pPr>
        <w:pStyle w:val="Heading2"/>
      </w:pPr>
      <w:bookmarkStart w:id="27" w:name="_Toc300000023"/>
      <w:r>
        <w:t xml:space="preserve">OWASP Top 10 (2021)</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94"/>
        <w:gridCol w:w="2314"/>
        <w:gridCol w:w="4520"/>
        <w:gridCol w:w="1599"/>
      </w:tblGrid>
      <w:tr>
        <w:trPr>
          <w:cantSplit/>
          <w:tblHeader/>
        </w:trPr>
        <w:tc>
          <w:tcPr>
            <w:tcW w:w="594" w:type="dxa"/>
            <w:shd w:val="clear" w:color="auto" w:fill="0F4761"/>
            <w:vAlign w:val="center"/>
          </w:tcPr>
          <w:p>
            <w:pPr>
              <w:pStyle w:val="TableHeading"/>
              <w:jc w:val="left"/>
            </w:pPr>
            <w:r>
              <w:rPr>
                <w:color w:val="FFFFFF"/>
              </w:rPr>
              <w:t xml:space="preserve">ID</w:t>
            </w:r>
          </w:p>
        </w:tc>
        <w:tc>
          <w:tcPr>
            <w:tcW w:w="2314" w:type="dxa"/>
            <w:shd w:val="clear" w:color="auto" w:fill="0F4761"/>
            <w:vAlign w:val="center"/>
          </w:tcPr>
          <w:p>
            <w:pPr>
              <w:pStyle w:val="TableHeading"/>
              <w:jc w:val="left"/>
            </w:pPr>
            <w:r>
              <w:rPr>
                <w:color w:val="FFFFFF"/>
              </w:rPr>
              <w:t xml:space="preserve">Risk</w:t>
            </w:r>
          </w:p>
        </w:tc>
        <w:tc>
          <w:tcPr>
            <w:tcW w:w="4520" w:type="dxa"/>
            <w:shd w:val="clear" w:color="auto" w:fill="0F4761"/>
            <w:vAlign w:val="center"/>
          </w:tcPr>
          <w:p>
            <w:pPr>
              <w:pStyle w:val="TableHeading"/>
              <w:jc w:val="left"/>
            </w:pPr>
            <w:r>
              <w:rPr>
                <w:color w:val="FFFFFF"/>
              </w:rPr>
              <w:t xml:space="preserve">Main controls</w:t>
            </w:r>
          </w:p>
        </w:tc>
        <w:tc>
          <w:tcPr>
            <w:tcW w:w="1599" w:type="dxa"/>
            <w:shd w:val="clear" w:color="auto" w:fill="0F4761"/>
            <w:vAlign w:val="center"/>
          </w:tcPr>
          <w:p>
            <w:pPr>
              <w:pStyle w:val="TableHeading"/>
              <w:jc w:val="left"/>
            </w:pPr>
            <w:r>
              <w:rPr>
                <w:color w:val="FFFFFF"/>
              </w:rPr>
              <w:t xml:space="preserve">Open items</w:t>
            </w:r>
          </w:p>
        </w:tc>
      </w:tr>
      <w:tr>
        <w:trPr>
          <w:cantSplit/>
        </w:trPr>
        <w:tc>
          <w:tcPr>
            <w:tcW w:w="594" w:type="dxa"/>
            <w:vAlign w:val="top"/>
          </w:tcPr>
          <w:p>
            <w:pPr>
              <w:pStyle w:val="TableText"/>
              <w:jc w:val="left"/>
            </w:pPr>
            <w:r>
              <w:t xml:space="preserve">A01</w:t>
            </w:r>
          </w:p>
        </w:tc>
        <w:tc>
          <w:tcPr>
            <w:tcW w:w="2314" w:type="dxa"/>
            <w:vAlign w:val="top"/>
          </w:tcPr>
          <w:p>
            <w:pPr>
              <w:pStyle w:val="TableText"/>
              <w:jc w:val="left"/>
            </w:pPr>
            <w:r>
              <w:t xml:space="preserve">Broken access control</w:t>
            </w:r>
          </w:p>
        </w:tc>
        <w:tc>
          <w:tcPr>
            <w:tcW w:w="4520" w:type="dxa"/>
            <w:vAlign w:val="top"/>
          </w:tcPr>
          <w:p>
            <w:pPr>
              <w:pStyle w:val="TableText"/>
              <w:jc w:val="left"/>
            </w:pPr>
            <w:r>
              <w:t xml:space="preserve">Every route declares audience and permission; attribute-based checks; ownership for customers and partners; partner scopes; token audiences separated</w:t>
            </w:r>
          </w:p>
        </w:tc>
        <w:tc>
          <w:tcPr>
            <w:tcW w:w="1599" w:type="dxa"/>
            <w:vAlign w:val="top"/>
          </w:tcPr>
          <w:p>
            <w:pPr>
              <w:pStyle w:val="TableText"/>
              <w:jc w:val="left"/>
            </w:pPr>
            <w:r>
              <w:t xml:space="preserve">SR-01, SR-04</w:t>
            </w:r>
          </w:p>
        </w:tc>
      </w:tr>
      <w:tr>
        <w:trPr>
          <w:cantSplit/>
        </w:trPr>
        <w:tc>
          <w:tcPr>
            <w:tcW w:w="594" w:type="dxa"/>
            <w:shd w:val="clear" w:color="auto" w:fill="F4F7FB"/>
            <w:vAlign w:val="top"/>
          </w:tcPr>
          <w:p>
            <w:pPr>
              <w:pStyle w:val="TableText"/>
              <w:jc w:val="left"/>
            </w:pPr>
            <w:r>
              <w:t xml:space="preserve">A02</w:t>
            </w:r>
          </w:p>
        </w:tc>
        <w:tc>
          <w:tcPr>
            <w:tcW w:w="2314" w:type="dxa"/>
            <w:shd w:val="clear" w:color="auto" w:fill="F4F7FB"/>
            <w:vAlign w:val="top"/>
          </w:tcPr>
          <w:p>
            <w:pPr>
              <w:pStyle w:val="TableText"/>
              <w:jc w:val="left"/>
            </w:pPr>
            <w:r>
              <w:t xml:space="preserve">Cryptographic failures</w:t>
            </w:r>
          </w:p>
        </w:tc>
        <w:tc>
          <w:tcPr>
            <w:tcW w:w="4520" w:type="dxa"/>
            <w:shd w:val="clear" w:color="auto" w:fill="F4F7FB"/>
            <w:vAlign w:val="top"/>
          </w:tcPr>
          <w:p>
            <w:pPr>
              <w:pStyle w:val="TableText"/>
              <w:jc w:val="left"/>
            </w:pPr>
            <w:r>
              <w:t xml:space="preserve">AES-256-GCM field encryption with key ids; scrypt; hashed API keys; TLS to the database; HSTS; fail-fast on missing keys</w:t>
            </w:r>
          </w:p>
        </w:tc>
        <w:tc>
          <w:tcPr>
            <w:tcW w:w="1599" w:type="dxa"/>
            <w:shd w:val="clear" w:color="auto" w:fill="F4F7FB"/>
            <w:vAlign w:val="top"/>
          </w:tcPr>
          <w:p>
            <w:pPr>
              <w:pStyle w:val="TableText"/>
              <w:jc w:val="left"/>
            </w:pPr>
            <w:r>
              <w:t xml:space="preserve">KMS envelope; re-key job</w:t>
            </w:r>
          </w:p>
        </w:tc>
      </w:tr>
      <w:tr>
        <w:trPr>
          <w:cantSplit/>
        </w:trPr>
        <w:tc>
          <w:tcPr>
            <w:tcW w:w="594" w:type="dxa"/>
            <w:vAlign w:val="top"/>
          </w:tcPr>
          <w:p>
            <w:pPr>
              <w:pStyle w:val="TableText"/>
              <w:jc w:val="left"/>
            </w:pPr>
            <w:r>
              <w:t xml:space="preserve">A03</w:t>
            </w:r>
          </w:p>
        </w:tc>
        <w:tc>
          <w:tcPr>
            <w:tcW w:w="2314" w:type="dxa"/>
            <w:vAlign w:val="top"/>
          </w:tcPr>
          <w:p>
            <w:pPr>
              <w:pStyle w:val="TableText"/>
              <w:jc w:val="left"/>
            </w:pPr>
            <w:r>
              <w:t xml:space="preserve">Injection</w:t>
            </w:r>
          </w:p>
        </w:tc>
        <w:tc>
          <w:tcPr>
            <w:tcW w:w="4520" w:type="dxa"/>
            <w:vAlign w:val="top"/>
          </w:tcPr>
          <w:p>
            <w:pPr>
              <w:pStyle w:val="TableText"/>
              <w:jc w:val="left"/>
            </w:pPr>
            <w:r>
              <w:t xml:space="preserve">Parameterised SQL; column allow-list; rule interpreter without code evaluation; allow-list validation; text-only rendering</w:t>
            </w:r>
          </w:p>
        </w:tc>
        <w:tc>
          <w:tcPr>
            <w:tcW w:w="1599" w:type="dxa"/>
            <w:noWrap/>
            <w:vAlign w:val="top"/>
          </w:tcPr>
          <w:p>
            <w:pPr>
              <w:pStyle w:val="TableText"/>
              <w:jc w:val="left"/>
            </w:pPr>
            <w:r>
              <w:t xml:space="preserve">SR-13</w:t>
            </w:r>
          </w:p>
        </w:tc>
      </w:tr>
      <w:tr>
        <w:trPr>
          <w:cantSplit/>
        </w:trPr>
        <w:tc>
          <w:tcPr>
            <w:tcW w:w="594" w:type="dxa"/>
            <w:shd w:val="clear" w:color="auto" w:fill="F4F7FB"/>
            <w:vAlign w:val="top"/>
          </w:tcPr>
          <w:p>
            <w:pPr>
              <w:pStyle w:val="TableText"/>
              <w:jc w:val="left"/>
            </w:pPr>
            <w:r>
              <w:t xml:space="preserve">A04</w:t>
            </w:r>
          </w:p>
        </w:tc>
        <w:tc>
          <w:tcPr>
            <w:tcW w:w="2314" w:type="dxa"/>
            <w:shd w:val="clear" w:color="auto" w:fill="F4F7FB"/>
            <w:vAlign w:val="top"/>
          </w:tcPr>
          <w:p>
            <w:pPr>
              <w:pStyle w:val="TableText"/>
              <w:jc w:val="left"/>
            </w:pPr>
            <w:r>
              <w:t xml:space="preserve">Insecure design</w:t>
            </w:r>
          </w:p>
        </w:tc>
        <w:tc>
          <w:tcPr>
            <w:tcW w:w="4520" w:type="dxa"/>
            <w:shd w:val="clear" w:color="auto" w:fill="F4F7FB"/>
            <w:vAlign w:val="top"/>
          </w:tcPr>
          <w:p>
            <w:pPr>
              <w:pStyle w:val="TableText"/>
              <w:jc w:val="left"/>
            </w:pPr>
            <w:r>
              <w:t xml:space="preserve">Threat model; maker-checker; customer-only payment; atomic quote claim; idempotent purchase; saga compensation; contact policy; copy guard</w:t>
            </w:r>
          </w:p>
        </w:tc>
        <w:tc>
          <w:tcPr>
            <w:tcW w:w="1599" w:type="dxa"/>
            <w:shd w:val="clear" w:color="auto" w:fill="F4F7FB"/>
            <w:noWrap/>
            <w:vAlign w:val="top"/>
          </w:tcPr>
          <w:p>
            <w:pPr>
              <w:pStyle w:val="TableText"/>
              <w:jc w:val="left"/>
            </w:pPr>
            <w:r>
              <w:t xml:space="preserve">SR-11</w:t>
            </w:r>
          </w:p>
        </w:tc>
      </w:tr>
      <w:tr>
        <w:trPr>
          <w:cantSplit/>
        </w:trPr>
        <w:tc>
          <w:tcPr>
            <w:tcW w:w="594" w:type="dxa"/>
            <w:vAlign w:val="top"/>
          </w:tcPr>
          <w:p>
            <w:pPr>
              <w:pStyle w:val="TableText"/>
              <w:jc w:val="left"/>
            </w:pPr>
            <w:r>
              <w:t xml:space="preserve">A05</w:t>
            </w:r>
          </w:p>
        </w:tc>
        <w:tc>
          <w:tcPr>
            <w:tcW w:w="2314" w:type="dxa"/>
            <w:vAlign w:val="top"/>
          </w:tcPr>
          <w:p>
            <w:pPr>
              <w:pStyle w:val="TableText"/>
              <w:jc w:val="left"/>
            </w:pPr>
            <w:r>
              <w:t xml:space="preserve">Security misconfiguration</w:t>
            </w:r>
          </w:p>
        </w:tc>
        <w:tc>
          <w:tcPr>
            <w:tcW w:w="4520" w:type="dxa"/>
            <w:vAlign w:val="top"/>
          </w:tcPr>
          <w:p>
            <w:pPr>
              <w:pStyle w:val="TableText"/>
              <w:jc w:val="left"/>
            </w:pPr>
            <w:r>
              <w:t xml:space="preserve">Strict security headers and CSP; production fail-fast; demo mode off by default; non-root read-only container; network policy</w:t>
            </w:r>
          </w:p>
        </w:tc>
        <w:tc>
          <w:tcPr>
            <w:tcW w:w="1599" w:type="dxa"/>
            <w:vAlign w:val="top"/>
          </w:tcPr>
          <w:p>
            <w:pPr>
              <w:pStyle w:val="TableText"/>
              <w:jc w:val="left"/>
            </w:pPr>
            <w:r>
              <w:t xml:space="preserve">None</w:t>
            </w:r>
          </w:p>
        </w:tc>
      </w:tr>
      <w:tr>
        <w:trPr>
          <w:cantSplit/>
        </w:trPr>
        <w:tc>
          <w:tcPr>
            <w:tcW w:w="594" w:type="dxa"/>
            <w:shd w:val="clear" w:color="auto" w:fill="F4F7FB"/>
            <w:vAlign w:val="top"/>
          </w:tcPr>
          <w:p>
            <w:pPr>
              <w:pStyle w:val="TableText"/>
              <w:jc w:val="left"/>
            </w:pPr>
            <w:r>
              <w:t xml:space="preserve">A06</w:t>
            </w:r>
          </w:p>
        </w:tc>
        <w:tc>
          <w:tcPr>
            <w:tcW w:w="2314" w:type="dxa"/>
            <w:shd w:val="clear" w:color="auto" w:fill="F4F7FB"/>
            <w:vAlign w:val="top"/>
          </w:tcPr>
          <w:p>
            <w:pPr>
              <w:pStyle w:val="TableText"/>
              <w:jc w:val="left"/>
            </w:pPr>
            <w:r>
              <w:t xml:space="preserve">Vulnerable components</w:t>
            </w:r>
          </w:p>
        </w:tc>
        <w:tc>
          <w:tcPr>
            <w:tcW w:w="4520" w:type="dxa"/>
            <w:shd w:val="clear" w:color="auto" w:fill="F4F7FB"/>
            <w:vAlign w:val="top"/>
          </w:tcPr>
          <w:p>
            <w:pPr>
              <w:pStyle w:val="TableText"/>
              <w:jc w:val="left"/>
            </w:pPr>
            <w:r>
              <w:t xml:space="preserve">One runtime dependency; dependency audit and review; container scan; SBOM; Node.js 22 LTS</w:t>
            </w:r>
          </w:p>
        </w:tc>
        <w:tc>
          <w:tcPr>
            <w:tcW w:w="1599" w:type="dxa"/>
            <w:shd w:val="clear" w:color="auto" w:fill="F4F7FB"/>
            <w:vAlign w:val="top"/>
          </w:tcPr>
          <w:p>
            <w:pPr>
              <w:pStyle w:val="TableText"/>
              <w:jc w:val="left"/>
            </w:pPr>
            <w:r>
              <w:t xml:space="preserve">Monthly base image rebuild</w:t>
            </w:r>
          </w:p>
        </w:tc>
      </w:tr>
      <w:tr>
        <w:trPr>
          <w:cantSplit/>
        </w:trPr>
        <w:tc>
          <w:tcPr>
            <w:tcW w:w="594" w:type="dxa"/>
            <w:vAlign w:val="top"/>
          </w:tcPr>
          <w:p>
            <w:pPr>
              <w:pStyle w:val="TableText"/>
              <w:jc w:val="left"/>
            </w:pPr>
            <w:r>
              <w:t xml:space="preserve">A07</w:t>
            </w:r>
          </w:p>
        </w:tc>
        <w:tc>
          <w:tcPr>
            <w:tcW w:w="2314" w:type="dxa"/>
            <w:vAlign w:val="top"/>
          </w:tcPr>
          <w:p>
            <w:pPr>
              <w:pStyle w:val="TableText"/>
              <w:jc w:val="left"/>
            </w:pPr>
            <w:r>
              <w:t xml:space="preserve">Authentication failures</w:t>
            </w:r>
          </w:p>
        </w:tc>
        <w:tc>
          <w:tcPr>
            <w:tcW w:w="4520" w:type="dxa"/>
            <w:vAlign w:val="top"/>
          </w:tcPr>
          <w:p>
            <w:pPr>
              <w:pStyle w:val="TableText"/>
              <w:jc w:val="left"/>
            </w:pPr>
            <w:r>
              <w:t xml:space="preserve">Length-based password policy; scrypt; lockout on both steps; TOTP with replay protection; forced first change; token revocation</w:t>
            </w:r>
          </w:p>
        </w:tc>
        <w:tc>
          <w:tcPr>
            <w:tcW w:w="1599" w:type="dxa"/>
            <w:vAlign w:val="top"/>
          </w:tcPr>
          <w:p>
            <w:pPr>
              <w:pStyle w:val="TableText"/>
              <w:jc w:val="left"/>
            </w:pPr>
            <w:r>
              <w:t xml:space="preserve">SR-02, SR-08</w:t>
            </w:r>
          </w:p>
        </w:tc>
      </w:tr>
      <w:tr>
        <w:trPr>
          <w:cantSplit/>
        </w:trPr>
        <w:tc>
          <w:tcPr>
            <w:tcW w:w="594" w:type="dxa"/>
            <w:shd w:val="clear" w:color="auto" w:fill="F4F7FB"/>
            <w:vAlign w:val="top"/>
          </w:tcPr>
          <w:p>
            <w:pPr>
              <w:pStyle w:val="TableText"/>
              <w:jc w:val="left"/>
            </w:pPr>
            <w:r>
              <w:t xml:space="preserve">A08</w:t>
            </w:r>
          </w:p>
        </w:tc>
        <w:tc>
          <w:tcPr>
            <w:tcW w:w="2314" w:type="dxa"/>
            <w:shd w:val="clear" w:color="auto" w:fill="F4F7FB"/>
            <w:vAlign w:val="top"/>
          </w:tcPr>
          <w:p>
            <w:pPr>
              <w:pStyle w:val="TableText"/>
              <w:jc w:val="left"/>
            </w:pPr>
            <w:r>
              <w:t xml:space="preserve">Integrity failures</w:t>
            </w:r>
          </w:p>
        </w:tc>
        <w:tc>
          <w:tcPr>
            <w:tcW w:w="4520" w:type="dxa"/>
            <w:shd w:val="clear" w:color="auto" w:fill="F4F7FB"/>
            <w:vAlign w:val="top"/>
          </w:tcPr>
          <w:p>
            <w:pPr>
              <w:pStyle w:val="TableText"/>
              <w:jc w:val="left"/>
            </w:pPr>
            <w:r>
              <w:t xml:space="preserve">Rule validation, four-eyes, checksums, one active version; hash-chained audit with triggers; lockfile; CI gates</w:t>
            </w:r>
          </w:p>
        </w:tc>
        <w:tc>
          <w:tcPr>
            <w:tcW w:w="1599" w:type="dxa"/>
            <w:shd w:val="clear" w:color="auto" w:fill="F4F7FB"/>
            <w:vAlign w:val="top"/>
          </w:tcPr>
          <w:p>
            <w:pPr>
              <w:pStyle w:val="TableText"/>
              <w:jc w:val="left"/>
            </w:pPr>
            <w:r>
              <w:t xml:space="preserve">SR-06, image signing</w:t>
            </w:r>
          </w:p>
        </w:tc>
      </w:tr>
      <w:tr>
        <w:trPr>
          <w:cantSplit/>
        </w:trPr>
        <w:tc>
          <w:tcPr>
            <w:tcW w:w="594" w:type="dxa"/>
            <w:vAlign w:val="top"/>
          </w:tcPr>
          <w:p>
            <w:pPr>
              <w:pStyle w:val="TableText"/>
              <w:jc w:val="left"/>
            </w:pPr>
            <w:r>
              <w:t xml:space="preserve">A09</w:t>
            </w:r>
          </w:p>
        </w:tc>
        <w:tc>
          <w:tcPr>
            <w:tcW w:w="2314" w:type="dxa"/>
            <w:vAlign w:val="top"/>
          </w:tcPr>
          <w:p>
            <w:pPr>
              <w:pStyle w:val="TableText"/>
              <w:jc w:val="left"/>
            </w:pPr>
            <w:r>
              <w:t xml:space="preserve">Logging and monitoring failures</w:t>
            </w:r>
          </w:p>
        </w:tc>
        <w:tc>
          <w:tcPr>
            <w:tcW w:w="4520" w:type="dxa"/>
            <w:vAlign w:val="top"/>
          </w:tcPr>
          <w:p>
            <w:pPr>
              <w:pStyle w:val="TableText"/>
              <w:jc w:val="left"/>
            </w:pPr>
            <w:r>
              <w:t xml:space="preserve">Hash-chained audit of sign-in, consent, data subject requests, rules, quotes, orders and profile views; JSON logs with request ids and redaction</w:t>
            </w:r>
          </w:p>
        </w:tc>
        <w:tc>
          <w:tcPr>
            <w:tcW w:w="1599" w:type="dxa"/>
            <w:vAlign w:val="top"/>
          </w:tcPr>
          <w:p>
            <w:pPr>
              <w:pStyle w:val="TableText"/>
              <w:jc w:val="left"/>
            </w:pPr>
            <w:r>
              <w:t xml:space="preserve">SIEM forwarding</w:t>
            </w:r>
          </w:p>
        </w:tc>
      </w:tr>
      <w:tr>
        <w:trPr>
          <w:cantSplit/>
        </w:trPr>
        <w:tc>
          <w:tcPr>
            <w:tcW w:w="594" w:type="dxa"/>
            <w:shd w:val="clear" w:color="auto" w:fill="F4F7FB"/>
            <w:vAlign w:val="top"/>
          </w:tcPr>
          <w:p>
            <w:pPr>
              <w:pStyle w:val="TableText"/>
              <w:jc w:val="left"/>
            </w:pPr>
            <w:r>
              <w:t xml:space="preserve">A10</w:t>
            </w:r>
          </w:p>
        </w:tc>
        <w:tc>
          <w:tcPr>
            <w:tcW w:w="2314" w:type="dxa"/>
            <w:shd w:val="clear" w:color="auto" w:fill="F4F7FB"/>
            <w:vAlign w:val="top"/>
          </w:tcPr>
          <w:p>
            <w:pPr>
              <w:pStyle w:val="TableText"/>
              <w:jc w:val="left"/>
            </w:pPr>
            <w:r>
              <w:t xml:space="preserve">SSRF</w:t>
            </w:r>
          </w:p>
        </w:tc>
        <w:tc>
          <w:tcPr>
            <w:tcW w:w="4520" w:type="dxa"/>
            <w:shd w:val="clear" w:color="auto" w:fill="F4F7FB"/>
            <w:vAlign w:val="top"/>
          </w:tcPr>
          <w:p>
            <w:pPr>
              <w:pStyle w:val="TableText"/>
              <w:jc w:val="left"/>
            </w:pPr>
            <w:r>
              <w:t xml:space="preserve">No user-controlled outbound addresses; providers from configuration; egress allow-list</w:t>
            </w:r>
          </w:p>
        </w:tc>
        <w:tc>
          <w:tcPr>
            <w:tcW w:w="1599" w:type="dxa"/>
            <w:shd w:val="clear" w:color="auto" w:fill="F4F7FB"/>
            <w:vAlign w:val="top"/>
          </w:tcPr>
          <w:p>
            <w:pPr>
              <w:pStyle w:val="TableText"/>
              <w:jc w:val="left"/>
            </w:pPr>
            <w:r>
              <w:t xml:space="preserve">None</w:t>
            </w:r>
          </w:p>
        </w:tc>
      </w:tr>
    </w:tbl>
    <w:p>
      <w:pPr>
        <w:pStyle w:val="Heading2"/>
      </w:pPr>
      <w:bookmarkStart w:id="28" w:name="_Toc300000024"/>
      <w:r>
        <w:t xml:space="preserve">OWASP ASVS Level 2 summary</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74"/>
        <w:gridCol w:w="1892"/>
        <w:gridCol w:w="2734"/>
        <w:gridCol w:w="2427"/>
      </w:tblGrid>
      <w:tr>
        <w:trPr>
          <w:cantSplit/>
          <w:tblHeader/>
        </w:trPr>
        <w:tc>
          <w:tcPr>
            <w:tcW w:w="1974" w:type="dxa"/>
            <w:shd w:val="clear" w:color="auto" w:fill="0F4761"/>
            <w:vAlign w:val="center"/>
          </w:tcPr>
          <w:p>
            <w:pPr>
              <w:pStyle w:val="TableHeading"/>
              <w:jc w:val="left"/>
            </w:pPr>
            <w:r>
              <w:rPr>
                <w:color w:val="FFFFFF"/>
              </w:rPr>
              <w:t xml:space="preserve">Chapter</w:t>
            </w:r>
          </w:p>
        </w:tc>
        <w:tc>
          <w:tcPr>
            <w:tcW w:w="1892" w:type="dxa"/>
            <w:shd w:val="clear" w:color="auto" w:fill="0F4761"/>
            <w:vAlign w:val="center"/>
          </w:tcPr>
          <w:p>
            <w:pPr>
              <w:pStyle w:val="TableHeading"/>
              <w:jc w:val="left"/>
            </w:pPr>
            <w:r>
              <w:rPr>
                <w:color w:val="FFFFFF"/>
              </w:rPr>
              <w:t xml:space="preserve">Status</w:t>
            </w:r>
          </w:p>
        </w:tc>
        <w:tc>
          <w:tcPr>
            <w:tcW w:w="2734" w:type="dxa"/>
            <w:shd w:val="clear" w:color="auto" w:fill="0F4761"/>
            <w:vAlign w:val="center"/>
          </w:tcPr>
          <w:p>
            <w:pPr>
              <w:pStyle w:val="TableHeading"/>
              <w:jc w:val="left"/>
            </w:pPr>
            <w:r>
              <w:rPr>
                <w:color w:val="FFFFFF"/>
              </w:rPr>
              <w:t xml:space="preserve">Evidence</w:t>
            </w:r>
          </w:p>
        </w:tc>
        <w:tc>
          <w:tcPr>
            <w:tcW w:w="2427" w:type="dxa"/>
            <w:shd w:val="clear" w:color="auto" w:fill="0F4761"/>
            <w:vAlign w:val="center"/>
          </w:tcPr>
          <w:p>
            <w:pPr>
              <w:pStyle w:val="TableHeading"/>
              <w:jc w:val="left"/>
            </w:pPr>
            <w:r>
              <w:rPr>
                <w:color w:val="FFFFFF"/>
              </w:rPr>
              <w:t xml:space="preserve">Open items</w:t>
            </w:r>
          </w:p>
        </w:tc>
      </w:tr>
      <w:tr>
        <w:trPr>
          <w:cantSplit/>
        </w:trPr>
        <w:tc>
          <w:tcPr>
            <w:tcW w:w="1974" w:type="dxa"/>
            <w:vAlign w:val="top"/>
          </w:tcPr>
          <w:p>
            <w:pPr>
              <w:pStyle w:val="TableText"/>
              <w:jc w:val="left"/>
            </w:pPr>
            <w:r>
              <w:t xml:space="preserve">V1 Architecture</w:t>
            </w:r>
          </w:p>
        </w:tc>
        <w:tc>
          <w:tcPr>
            <w:tcW w:w="1892" w:type="dxa"/>
            <w:vAlign w:val="top"/>
          </w:tcPr>
          <w:p>
            <w:pPr>
              <w:pStyle w:val="TableText"/>
              <w:jc w:val="left"/>
            </w:pPr>
            <w:r>
              <w:t xml:space="preserve">Partial</w:t>
            </w:r>
          </w:p>
        </w:tc>
        <w:tc>
          <w:tcPr>
            <w:tcW w:w="2734" w:type="dxa"/>
            <w:vAlign w:val="top"/>
          </w:tcPr>
          <w:p>
            <w:pPr>
              <w:pStyle w:val="TableText"/>
              <w:jc w:val="left"/>
            </w:pPr>
            <w:r>
              <w:t xml:space="preserve">This threat model; one authentication pipeline; route table as a single control point</w:t>
            </w:r>
          </w:p>
        </w:tc>
        <w:tc>
          <w:tcPr>
            <w:tcW w:w="2427" w:type="dxa"/>
            <w:vAlign w:val="top"/>
          </w:tcPr>
          <w:p>
            <w:pPr>
              <w:pStyle w:val="TableText"/>
              <w:jc w:val="left"/>
            </w:pPr>
            <w:r>
              <w:t xml:space="preserve">Threat model review each release</w:t>
            </w:r>
          </w:p>
        </w:tc>
      </w:tr>
      <w:tr>
        <w:trPr>
          <w:cantSplit/>
        </w:trPr>
        <w:tc>
          <w:tcPr>
            <w:tcW w:w="1974" w:type="dxa"/>
            <w:shd w:val="clear" w:color="auto" w:fill="F4F7FB"/>
            <w:vAlign w:val="top"/>
          </w:tcPr>
          <w:p>
            <w:pPr>
              <w:pStyle w:val="TableText"/>
              <w:jc w:val="left"/>
            </w:pPr>
            <w:r>
              <w:t xml:space="preserve">V2 Authentication</w:t>
            </w:r>
          </w:p>
        </w:tc>
        <w:tc>
          <w:tcPr>
            <w:tcW w:w="1892" w:type="dxa"/>
            <w:shd w:val="clear" w:color="auto" w:fill="F4F7FB"/>
            <w:vAlign w:val="top"/>
          </w:tcPr>
          <w:p>
            <w:pPr>
              <w:pStyle w:val="TableText"/>
              <w:jc w:val="left"/>
            </w:pPr>
            <w:r>
              <w:t xml:space="preserve">Partial</w:t>
            </w:r>
          </w:p>
        </w:tc>
        <w:tc>
          <w:tcPr>
            <w:tcW w:w="2734" w:type="dxa"/>
            <w:shd w:val="clear" w:color="auto" w:fill="F4F7FB"/>
            <w:vAlign w:val="top"/>
          </w:tcPr>
          <w:p>
            <w:pPr>
              <w:pStyle w:val="TableText"/>
              <w:jc w:val="left"/>
            </w:pPr>
            <w:r>
              <w:t xml:space="preserve">12 to 128 character passwords; scrypt; lockout; TOTP with self-enrolment and replay protection</w:t>
            </w:r>
          </w:p>
        </w:tc>
        <w:tc>
          <w:tcPr>
            <w:tcW w:w="2427" w:type="dxa"/>
            <w:shd w:val="clear" w:color="auto" w:fill="F4F7FB"/>
            <w:vAlign w:val="top"/>
          </w:tcPr>
          <w:p>
            <w:pPr>
              <w:pStyle w:val="TableText"/>
              <w:jc w:val="left"/>
            </w:pPr>
            <w:r>
              <w:t xml:space="preserve">Breached-password check; federation</w:t>
            </w:r>
          </w:p>
        </w:tc>
      </w:tr>
      <w:tr>
        <w:trPr>
          <w:cantSplit/>
        </w:trPr>
        <w:tc>
          <w:tcPr>
            <w:tcW w:w="1974" w:type="dxa"/>
            <w:vAlign w:val="top"/>
          </w:tcPr>
          <w:p>
            <w:pPr>
              <w:pStyle w:val="TableText"/>
              <w:jc w:val="left"/>
            </w:pPr>
            <w:r>
              <w:t xml:space="preserve">V3 Session management</w:t>
            </w:r>
          </w:p>
        </w:tc>
        <w:tc>
          <w:tcPr>
            <w:tcW w:w="1892" w:type="dxa"/>
            <w:vAlign w:val="top"/>
          </w:tcPr>
          <w:p>
            <w:pPr>
              <w:pStyle w:val="TableText"/>
              <w:jc w:val="left"/>
            </w:pPr>
            <w:r>
              <w:t xml:space="preserve">Partial</w:t>
            </w:r>
          </w:p>
        </w:tc>
        <w:tc>
          <w:tcPr>
            <w:tcW w:w="2734" w:type="dxa"/>
            <w:vAlign w:val="top"/>
          </w:tcPr>
          <w:p>
            <w:pPr>
              <w:pStyle w:val="TableText"/>
              <w:jc w:val="left"/>
            </w:pPr>
            <w:r>
              <w:t xml:space="preserve">30-minute stateless tokens with unique ids; revocation on credential and role changes; no cookies</w:t>
            </w:r>
          </w:p>
        </w:tc>
        <w:tc>
          <w:tcPr>
            <w:tcW w:w="2427" w:type="dxa"/>
            <w:vAlign w:val="top"/>
          </w:tcPr>
          <w:p>
            <w:pPr>
              <w:pStyle w:val="TableText"/>
              <w:jc w:val="left"/>
            </w:pPr>
            <w:r>
              <w:t xml:space="preserve">Shared logout list; idle timeout in the console</w:t>
            </w:r>
          </w:p>
        </w:tc>
      </w:tr>
      <w:tr>
        <w:trPr>
          <w:cantSplit/>
        </w:trPr>
        <w:tc>
          <w:tcPr>
            <w:tcW w:w="1974" w:type="dxa"/>
            <w:shd w:val="clear" w:color="auto" w:fill="F4F7FB"/>
            <w:vAlign w:val="top"/>
          </w:tcPr>
          <w:p>
            <w:pPr>
              <w:pStyle w:val="TableText"/>
              <w:jc w:val="left"/>
            </w:pPr>
            <w:r>
              <w:t xml:space="preserve">V4 Access control</w:t>
            </w:r>
          </w:p>
        </w:tc>
        <w:tc>
          <w:tcPr>
            <w:tcW w:w="1892" w:type="dxa"/>
            <w:shd w:val="clear" w:color="auto" w:fill="F4F7FB"/>
            <w:vAlign w:val="top"/>
          </w:tcPr>
          <w:p>
            <w:pPr>
              <w:pStyle w:val="TableText"/>
              <w:jc w:val="left"/>
            </w:pPr>
            <w:r>
              <w:t xml:space="preserve">Partial</w:t>
            </w:r>
          </w:p>
        </w:tc>
        <w:tc>
          <w:tcPr>
            <w:tcW w:w="2734" w:type="dxa"/>
            <w:shd w:val="clear" w:color="auto" w:fill="F4F7FB"/>
            <w:vAlign w:val="top"/>
          </w:tcPr>
          <w:p>
            <w:pPr>
              <w:pStyle w:val="TableText"/>
              <w:jc w:val="left"/>
            </w:pPr>
            <w:r>
              <w:t xml:space="preserve">Deny by default; RBAC and attribute checks; server-side ownership; masking; separation of duties</w:t>
            </w:r>
          </w:p>
        </w:tc>
        <w:tc>
          <w:tcPr>
            <w:tcW w:w="2427" w:type="dxa"/>
            <w:shd w:val="clear" w:color="auto" w:fill="F4F7FB"/>
            <w:vAlign w:val="top"/>
          </w:tcPr>
          <w:p>
            <w:pPr>
              <w:pStyle w:val="TableText"/>
              <w:jc w:val="left"/>
            </w:pPr>
            <w:r>
              <w:t xml:space="preserve">SR-01, SR-04</w:t>
            </w:r>
          </w:p>
        </w:tc>
      </w:tr>
      <w:tr>
        <w:trPr>
          <w:cantSplit/>
        </w:trPr>
        <w:tc>
          <w:tcPr>
            <w:tcW w:w="1974" w:type="dxa"/>
            <w:vAlign w:val="top"/>
          </w:tcPr>
          <w:p>
            <w:pPr>
              <w:pStyle w:val="TableText"/>
              <w:jc w:val="left"/>
            </w:pPr>
            <w:r>
              <w:t xml:space="preserve">V5 Validation and encoding</w:t>
            </w:r>
          </w:p>
        </w:tc>
        <w:tc>
          <w:tcPr>
            <w:tcW w:w="1892" w:type="dxa"/>
            <w:vAlign w:val="top"/>
          </w:tcPr>
          <w:p>
            <w:pPr>
              <w:pStyle w:val="TableText"/>
              <w:jc w:val="left"/>
            </w:pPr>
            <w:r>
              <w:t xml:space="preserve">Implemented</w:t>
            </w:r>
          </w:p>
        </w:tc>
        <w:tc>
          <w:tcPr>
            <w:tcW w:w="2734" w:type="dxa"/>
            <w:vAlign w:val="top"/>
          </w:tcPr>
          <w:p>
            <w:pPr>
              <w:pStyle w:val="TableText"/>
              <w:jc w:val="left"/>
            </w:pPr>
            <w:r>
              <w:t xml:space="preserve">Allow-list schemas; JSON only; parameterised SQL; safe rule interpreter</w:t>
            </w:r>
          </w:p>
        </w:tc>
        <w:tc>
          <w:tcPr>
            <w:tcW w:w="2427" w:type="dxa"/>
            <w:noWrap/>
            <w:vAlign w:val="top"/>
          </w:tcPr>
          <w:p>
            <w:pPr>
              <w:pStyle w:val="TableText"/>
              <w:jc w:val="left"/>
            </w:pPr>
            <w:r>
              <w:t xml:space="preserve">SR-13</w:t>
            </w:r>
          </w:p>
        </w:tc>
      </w:tr>
      <w:tr>
        <w:trPr>
          <w:cantSplit/>
        </w:trPr>
        <w:tc>
          <w:tcPr>
            <w:tcW w:w="1974" w:type="dxa"/>
            <w:shd w:val="clear" w:color="auto" w:fill="F4F7FB"/>
            <w:vAlign w:val="top"/>
          </w:tcPr>
          <w:p>
            <w:pPr>
              <w:pStyle w:val="TableText"/>
              <w:jc w:val="left"/>
            </w:pPr>
            <w:r>
              <w:t xml:space="preserve">V6 Stored cryptography</w:t>
            </w:r>
          </w:p>
        </w:tc>
        <w:tc>
          <w:tcPr>
            <w:tcW w:w="1892" w:type="dxa"/>
            <w:shd w:val="clear" w:color="auto" w:fill="F4F7FB"/>
            <w:vAlign w:val="top"/>
          </w:tcPr>
          <w:p>
            <w:pPr>
              <w:pStyle w:val="TableText"/>
              <w:jc w:val="left"/>
            </w:pPr>
            <w:r>
              <w:t xml:space="preserve">Partial</w:t>
            </w:r>
          </w:p>
        </w:tc>
        <w:tc>
          <w:tcPr>
            <w:tcW w:w="2734" w:type="dxa"/>
            <w:shd w:val="clear" w:color="auto" w:fill="F4F7FB"/>
            <w:vAlign w:val="top"/>
          </w:tcPr>
          <w:p>
            <w:pPr>
              <w:pStyle w:val="TableText"/>
              <w:jc w:val="left"/>
            </w:pPr>
            <w:r>
              <w:t xml:space="preserve">AES-256-GCM with key ids; scrypt; secrets from files</w:t>
            </w:r>
          </w:p>
        </w:tc>
        <w:tc>
          <w:tcPr>
            <w:tcW w:w="2427" w:type="dxa"/>
            <w:shd w:val="clear" w:color="auto" w:fill="F4F7FB"/>
            <w:vAlign w:val="top"/>
          </w:tcPr>
          <w:p>
            <w:pPr>
              <w:pStyle w:val="TableText"/>
              <w:jc w:val="left"/>
            </w:pPr>
            <w:r>
              <w:t xml:space="preserve">KMS-wrapped keys; re-key and index rotation jobs</w:t>
            </w:r>
          </w:p>
        </w:tc>
      </w:tr>
      <w:tr>
        <w:trPr>
          <w:cantSplit/>
        </w:trPr>
        <w:tc>
          <w:tcPr>
            <w:tcW w:w="1974" w:type="dxa"/>
            <w:vAlign w:val="top"/>
          </w:tcPr>
          <w:p>
            <w:pPr>
              <w:pStyle w:val="TableText"/>
              <w:jc w:val="left"/>
            </w:pPr>
            <w:r>
              <w:t xml:space="preserve">V7 Errors and logging</w:t>
            </w:r>
          </w:p>
        </w:tc>
        <w:tc>
          <w:tcPr>
            <w:tcW w:w="1892" w:type="dxa"/>
            <w:vAlign w:val="top"/>
          </w:tcPr>
          <w:p>
            <w:pPr>
              <w:pStyle w:val="TableText"/>
              <w:jc w:val="left"/>
            </w:pPr>
            <w:r>
              <w:t xml:space="preserve">Implemented</w:t>
            </w:r>
          </w:p>
        </w:tc>
        <w:tc>
          <w:tcPr>
            <w:tcW w:w="2734" w:type="dxa"/>
            <w:vAlign w:val="top"/>
          </w:tcPr>
          <w:p>
            <w:pPr>
              <w:pStyle w:val="TableText"/>
              <w:jc w:val="left"/>
            </w:pPr>
            <w:r>
              <w:t xml:space="preserve">Generic errors with request id; JSON logs; redaction; audit chain</w:t>
            </w:r>
          </w:p>
        </w:tc>
        <w:tc>
          <w:tcPr>
            <w:tcW w:w="2427" w:type="dxa"/>
            <w:vAlign w:val="top"/>
          </w:tcPr>
          <w:p>
            <w:pPr>
              <w:pStyle w:val="TableText"/>
              <w:jc w:val="left"/>
            </w:pPr>
            <w:r>
              <w:t xml:space="preserve">SIEM integration</w:t>
            </w:r>
          </w:p>
        </w:tc>
      </w:tr>
      <w:tr>
        <w:trPr>
          <w:cantSplit/>
        </w:trPr>
        <w:tc>
          <w:tcPr>
            <w:tcW w:w="1974" w:type="dxa"/>
            <w:shd w:val="clear" w:color="auto" w:fill="F4F7FB"/>
            <w:vAlign w:val="top"/>
          </w:tcPr>
          <w:p>
            <w:pPr>
              <w:pStyle w:val="TableText"/>
              <w:jc w:val="left"/>
            </w:pPr>
            <w:r>
              <w:t xml:space="preserve">V8 Data protection</w:t>
            </w:r>
          </w:p>
        </w:tc>
        <w:tc>
          <w:tcPr>
            <w:tcW w:w="1892" w:type="dxa"/>
            <w:shd w:val="clear" w:color="auto" w:fill="F4F7FB"/>
            <w:vAlign w:val="top"/>
          </w:tcPr>
          <w:p>
            <w:pPr>
              <w:pStyle w:val="TableText"/>
              <w:jc w:val="left"/>
            </w:pPr>
            <w:r>
              <w:t xml:space="preserve">Partial</w:t>
            </w:r>
          </w:p>
        </w:tc>
        <w:tc>
          <w:tcPr>
            <w:tcW w:w="2734" w:type="dxa"/>
            <w:shd w:val="clear" w:color="auto" w:fill="F4F7FB"/>
            <w:vAlign w:val="top"/>
          </w:tcPr>
          <w:p>
            <w:pPr>
              <w:pStyle w:val="TableText"/>
              <w:jc w:val="left"/>
            </w:pPr>
            <w:r>
              <w:t xml:space="preserve">Field encryption; masking; no-store; DSAR export and erasure; retention rules</w:t>
            </w:r>
          </w:p>
        </w:tc>
        <w:tc>
          <w:tcPr>
            <w:tcW w:w="2427" w:type="dxa"/>
            <w:shd w:val="clear" w:color="auto" w:fill="F4F7FB"/>
            <w:vAlign w:val="top"/>
          </w:tcPr>
          <w:p>
            <w:pPr>
              <w:pStyle w:val="TableText"/>
              <w:jc w:val="left"/>
            </w:pPr>
            <w:r>
              <w:t xml:space="preserve">SR-07; legal hold flag</w:t>
            </w:r>
          </w:p>
        </w:tc>
      </w:tr>
      <w:tr>
        <w:trPr>
          <w:cantSplit/>
        </w:trPr>
        <w:tc>
          <w:tcPr>
            <w:tcW w:w="1974" w:type="dxa"/>
            <w:vAlign w:val="top"/>
          </w:tcPr>
          <w:p>
            <w:pPr>
              <w:pStyle w:val="TableText"/>
              <w:jc w:val="left"/>
            </w:pPr>
            <w:r>
              <w:t xml:space="preserve">V9 Communication</w:t>
            </w:r>
          </w:p>
        </w:tc>
        <w:tc>
          <w:tcPr>
            <w:tcW w:w="1892" w:type="dxa"/>
            <w:vAlign w:val="top"/>
          </w:tcPr>
          <w:p>
            <w:pPr>
              <w:pStyle w:val="TableText"/>
              <w:jc w:val="left"/>
            </w:pPr>
            <w:r>
              <w:t xml:space="preserve">Infrastructure</w:t>
            </w:r>
          </w:p>
        </w:tc>
        <w:tc>
          <w:tcPr>
            <w:tcW w:w="2734" w:type="dxa"/>
            <w:vAlign w:val="top"/>
          </w:tcPr>
          <w:p>
            <w:pPr>
              <w:pStyle w:val="TableText"/>
              <w:jc w:val="left"/>
            </w:pPr>
            <w:r>
              <w:t xml:space="preserve">TLS at ingress; HSTS; TLS to the database</w:t>
            </w:r>
          </w:p>
        </w:tc>
        <w:tc>
          <w:tcPr>
            <w:tcW w:w="2427" w:type="dxa"/>
            <w:vAlign w:val="top"/>
          </w:tcPr>
          <w:p>
            <w:pPr>
              <w:pStyle w:val="TableText"/>
              <w:jc w:val="left"/>
            </w:pPr>
            <w:r>
              <w:t xml:space="preserve">mTLS to providers</w:t>
            </w:r>
          </w:p>
        </w:tc>
      </w:tr>
      <w:tr>
        <w:trPr>
          <w:cantSplit/>
        </w:trPr>
        <w:tc>
          <w:tcPr>
            <w:tcW w:w="1974" w:type="dxa"/>
            <w:shd w:val="clear" w:color="auto" w:fill="F4F7FB"/>
            <w:vAlign w:val="top"/>
          </w:tcPr>
          <w:p>
            <w:pPr>
              <w:pStyle w:val="TableText"/>
              <w:jc w:val="left"/>
            </w:pPr>
            <w:r>
              <w:t xml:space="preserve">V10 Malicious code</w:t>
            </w:r>
          </w:p>
        </w:tc>
        <w:tc>
          <w:tcPr>
            <w:tcW w:w="1892" w:type="dxa"/>
            <w:shd w:val="clear" w:color="auto" w:fill="F4F7FB"/>
            <w:vAlign w:val="top"/>
          </w:tcPr>
          <w:p>
            <w:pPr>
              <w:pStyle w:val="TableText"/>
              <w:jc w:val="left"/>
            </w:pPr>
            <w:r>
              <w:t xml:space="preserve">Implemented</w:t>
            </w:r>
          </w:p>
        </w:tc>
        <w:tc>
          <w:tcPr>
            <w:tcW w:w="2734" w:type="dxa"/>
            <w:shd w:val="clear" w:color="auto" w:fill="F4F7FB"/>
            <w:vAlign w:val="top"/>
          </w:tcPr>
          <w:p>
            <w:pPr>
              <w:pStyle w:val="TableText"/>
              <w:jc w:val="left"/>
            </w:pPr>
            <w:r>
              <w:t xml:space="preserve">Minimal dependencies; static analysis; dependency and secret scanning</w:t>
            </w:r>
          </w:p>
        </w:tc>
        <w:tc>
          <w:tcPr>
            <w:tcW w:w="2427" w:type="dxa"/>
            <w:shd w:val="clear" w:color="auto" w:fill="F4F7FB"/>
            <w:vAlign w:val="top"/>
          </w:tcPr>
          <w:p>
            <w:pPr>
              <w:pStyle w:val="TableText"/>
              <w:jc w:val="left"/>
            </w:pPr>
            <w:r>
              <w:t xml:space="preserve">None</w:t>
            </w:r>
          </w:p>
        </w:tc>
      </w:tr>
      <w:tr>
        <w:trPr>
          <w:cantSplit/>
        </w:trPr>
        <w:tc>
          <w:tcPr>
            <w:tcW w:w="1974" w:type="dxa"/>
            <w:vAlign w:val="top"/>
          </w:tcPr>
          <w:p>
            <w:pPr>
              <w:pStyle w:val="TableText"/>
              <w:jc w:val="left"/>
            </w:pPr>
            <w:r>
              <w:t xml:space="preserve">V11 Business logic</w:t>
            </w:r>
          </w:p>
        </w:tc>
        <w:tc>
          <w:tcPr>
            <w:tcW w:w="1892" w:type="dxa"/>
            <w:vAlign w:val="top"/>
          </w:tcPr>
          <w:p>
            <w:pPr>
              <w:pStyle w:val="TableText"/>
              <w:jc w:val="left"/>
            </w:pPr>
            <w:r>
              <w:t xml:space="preserve">Implemented</w:t>
            </w:r>
          </w:p>
        </w:tc>
        <w:tc>
          <w:tcPr>
            <w:tcW w:w="2734" w:type="dxa"/>
            <w:vAlign w:val="top"/>
          </w:tcPr>
          <w:p>
            <w:pPr>
              <w:pStyle w:val="TableText"/>
              <w:jc w:val="left"/>
            </w:pPr>
            <w:r>
              <w:t xml:space="preserve">Maker-checker; customer-only payment; idempotency; quote validity; inspection gate; caps; copy guard</w:t>
            </w:r>
          </w:p>
        </w:tc>
        <w:tc>
          <w:tcPr>
            <w:tcW w:w="2427" w:type="dxa"/>
            <w:noWrap/>
            <w:vAlign w:val="top"/>
          </w:tcPr>
          <w:p>
            <w:pPr>
              <w:pStyle w:val="TableText"/>
              <w:jc w:val="left"/>
            </w:pPr>
            <w:r>
              <w:t xml:space="preserve">SR-09</w:t>
            </w:r>
          </w:p>
        </w:tc>
      </w:tr>
      <w:tr>
        <w:trPr>
          <w:cantSplit/>
        </w:trPr>
        <w:tc>
          <w:tcPr>
            <w:tcW w:w="1974" w:type="dxa"/>
            <w:shd w:val="clear" w:color="auto" w:fill="F4F7FB"/>
            <w:vAlign w:val="top"/>
          </w:tcPr>
          <w:p>
            <w:pPr>
              <w:pStyle w:val="TableText"/>
              <w:jc w:val="left"/>
            </w:pPr>
            <w:r>
              <w:t xml:space="preserve">V12 Files</w:t>
            </w:r>
          </w:p>
        </w:tc>
        <w:tc>
          <w:tcPr>
            <w:tcW w:w="1892" w:type="dxa"/>
            <w:shd w:val="clear" w:color="auto" w:fill="F4F7FB"/>
            <w:vAlign w:val="top"/>
          </w:tcPr>
          <w:p>
            <w:pPr>
              <w:pStyle w:val="TableText"/>
              <w:jc w:val="left"/>
            </w:pPr>
            <w:r>
              <w:t xml:space="preserve">Implemented</w:t>
            </w:r>
          </w:p>
        </w:tc>
        <w:tc>
          <w:tcPr>
            <w:tcW w:w="2734" w:type="dxa"/>
            <w:shd w:val="clear" w:color="auto" w:fill="F4F7FB"/>
            <w:vAlign w:val="top"/>
          </w:tcPr>
          <w:p>
            <w:pPr>
              <w:pStyle w:val="TableText"/>
              <w:jc w:val="left"/>
            </w:pPr>
            <w:r>
              <w:t xml:space="preserve">No uploads today; path traversal guard; body limit</w:t>
            </w:r>
          </w:p>
        </w:tc>
        <w:tc>
          <w:tcPr>
            <w:tcW w:w="2427" w:type="dxa"/>
            <w:shd w:val="clear" w:color="auto" w:fill="F4F7FB"/>
            <w:vAlign w:val="top"/>
          </w:tcPr>
          <w:p>
            <w:pPr>
              <w:pStyle w:val="TableText"/>
              <w:jc w:val="left"/>
            </w:pPr>
            <w:r>
              <w:t xml:space="preserve">Claim photo uploads with scanning (planned)</w:t>
            </w:r>
          </w:p>
        </w:tc>
      </w:tr>
      <w:tr>
        <w:trPr>
          <w:cantSplit/>
        </w:trPr>
        <w:tc>
          <w:tcPr>
            <w:tcW w:w="1974" w:type="dxa"/>
            <w:vAlign w:val="top"/>
          </w:tcPr>
          <w:p>
            <w:pPr>
              <w:pStyle w:val="TableText"/>
              <w:jc w:val="left"/>
            </w:pPr>
            <w:r>
              <w:t xml:space="preserve">V13 API</w:t>
            </w:r>
          </w:p>
        </w:tc>
        <w:tc>
          <w:tcPr>
            <w:tcW w:w="1892" w:type="dxa"/>
            <w:vAlign w:val="top"/>
          </w:tcPr>
          <w:p>
            <w:pPr>
              <w:pStyle w:val="TableText"/>
              <w:jc w:val="left"/>
            </w:pPr>
            <w:r>
              <w:t xml:space="preserve">Partial</w:t>
            </w:r>
          </w:p>
        </w:tc>
        <w:tc>
          <w:tcPr>
            <w:tcW w:w="2734" w:type="dxa"/>
            <w:vAlign w:val="top"/>
          </w:tcPr>
          <w:p>
            <w:pPr>
              <w:pStyle w:val="TableText"/>
              <w:jc w:val="left"/>
            </w:pPr>
            <w:r>
              <w:t xml:space="preserve">OpenAPI generated from code; content-type enforcement; strict request schemas; versioned partner API with scopes</w:t>
            </w:r>
          </w:p>
        </w:tc>
        <w:tc>
          <w:tcPr>
            <w:tcW w:w="2427" w:type="dxa"/>
            <w:vAlign w:val="top"/>
          </w:tcPr>
          <w:p>
            <w:pPr>
              <w:pStyle w:val="TableText"/>
              <w:jc w:val="left"/>
            </w:pPr>
            <w:r>
              <w:t xml:space="preserve">Per-key quotas; response schemas</w:t>
            </w:r>
          </w:p>
        </w:tc>
      </w:tr>
      <w:tr>
        <w:trPr>
          <w:cantSplit/>
        </w:trPr>
        <w:tc>
          <w:tcPr>
            <w:tcW w:w="1974" w:type="dxa"/>
            <w:shd w:val="clear" w:color="auto" w:fill="F4F7FB"/>
            <w:vAlign w:val="top"/>
          </w:tcPr>
          <w:p>
            <w:pPr>
              <w:pStyle w:val="TableText"/>
              <w:jc w:val="left"/>
            </w:pPr>
            <w:r>
              <w:t xml:space="preserve">V14 Configuration</w:t>
            </w:r>
          </w:p>
        </w:tc>
        <w:tc>
          <w:tcPr>
            <w:tcW w:w="1892" w:type="dxa"/>
            <w:shd w:val="clear" w:color="auto" w:fill="F4F7FB"/>
            <w:vAlign w:val="top"/>
          </w:tcPr>
          <w:p>
            <w:pPr>
              <w:pStyle w:val="TableText"/>
              <w:jc w:val="left"/>
            </w:pPr>
            <w:r>
              <w:t xml:space="preserve">Implemented</w:t>
            </w:r>
          </w:p>
        </w:tc>
        <w:tc>
          <w:tcPr>
            <w:tcW w:w="2734" w:type="dxa"/>
            <w:shd w:val="clear" w:color="auto" w:fill="F4F7FB"/>
            <w:vAlign w:val="top"/>
          </w:tcPr>
          <w:p>
            <w:pPr>
              <w:pStyle w:val="TableText"/>
              <w:jc w:val="left"/>
            </w:pPr>
            <w:r>
              <w:t xml:space="preserve">Security headers; production fail-fast; non-root read-only container; SBOM; secrets as files</w:t>
            </w:r>
          </w:p>
        </w:tc>
        <w:tc>
          <w:tcPr>
            <w:tcW w:w="2427" w:type="dxa"/>
            <w:shd w:val="clear" w:color="auto" w:fill="F4F7FB"/>
            <w:vAlign w:val="top"/>
          </w:tcPr>
          <w:p>
            <w:pPr>
              <w:pStyle w:val="TableText"/>
              <w:jc w:val="left"/>
            </w:pPr>
            <w:r>
              <w:t xml:space="preserve">None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Security logging, monitoring and audit</w:t>
      </w:r>
      <w:bookmarkEnd w:id="29"/>
    </w:p>
    <w:p>
      <w:pPr>
        <w:pStyle w:val="FirstParagraph"/>
      </w:pPr>
      <w:r>
        <w:t xml:space="preserve">The audit trail is append-only and hash-chained (ADR-008). It records:</w:t>
      </w:r>
    </w:p>
    <w:p>
      <w:pPr>
        <w:pStyle w:val="Compact"/>
        <w:numPr>
          <w:ilvl w:val="0"/>
          <w:numId w:val="1002"/>
        </w:numPr>
      </w:pPr>
      <w:r>
        <w:t xml:space="preserve">sign-in, failures, lockouts, MFA enrolment and password changes;</w:t>
      </w:r>
    </w:p>
    <w:p>
      <w:pPr>
        <w:pStyle w:val="Compact"/>
        <w:numPr>
          <w:ilvl w:val="0"/>
          <w:numId w:val="1002"/>
        </w:numPr>
      </w:pPr>
      <w:r>
        <w:t xml:space="preserve">user and partner changes, key issue and revocation;</w:t>
      </w:r>
    </w:p>
    <w:p>
      <w:pPr>
        <w:pStyle w:val="Compact"/>
        <w:numPr>
          <w:ilvl w:val="0"/>
          <w:numId w:val="1002"/>
        </w:numPr>
      </w:pPr>
      <w:r>
        <w:t xml:space="preserve">rule drafts, submissions, approvals, rejections and catalogue sync proposals;</w:t>
      </w:r>
    </w:p>
    <w:p>
      <w:pPr>
        <w:pStyle w:val="Compact"/>
        <w:numPr>
          <w:ilvl w:val="0"/>
          <w:numId w:val="1002"/>
        </w:numPr>
      </w:pPr>
      <w:r>
        <w:t xml:space="preserve">data loads, profile views (with whether personal data was visible), corrections, consent changes, data subject exports and erasures, data quality resolutions;</w:t>
      </w:r>
    </w:p>
    <w:p>
      <w:pPr>
        <w:pStyle w:val="Compact"/>
        <w:numPr>
          <w:ilvl w:val="0"/>
          <w:numId w:val="1002"/>
        </w:numPr>
      </w:pPr>
      <w:r>
        <w:t xml:space="preserve">quotes, re-rates, inspections, quotes sent to customers, completed and failed orders, claims and claim status changes;</w:t>
      </w:r>
    </w:p>
    <w:p>
      <w:pPr>
        <w:pStyle w:val="Compact"/>
        <w:numPr>
          <w:ilvl w:val="0"/>
          <w:numId w:val="1002"/>
        </w:numPr>
      </w:pPr>
      <w:r>
        <w:t xml:space="preserve">call outcomes, handoff updates, journey runs, ecosystem events, re-scoring and jobs.</w:t>
      </w:r>
    </w:p>
    <w:p>
      <w:pPr>
        <w:pStyle w:val="FirstParagraph"/>
      </w:pPr>
      <w:r>
        <w:t xml:space="preserve">Audit details hold ids, reasons and IP addresses, never names or phones. Security monitoring alerts on sign-in failure and lockout spikes, unusual 401, 403 and 429 rates, partner key misuse, a failed audit-chain probe, high erasure volume, rule approvals out of hours, every user management action, an open payment circuit and orders whose compensation failed. TGP-OPS-02 Monitoring and Alerting holds the alert rules. In production, logs, periodic audit exports and the hourly chain-head anchor are forwarded to the TASCO SIEM and to write-once storage.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Secure delivery pipeline</w:t>
      </w:r>
      <w:bookmarkEnd w:id="3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122"/>
        <w:gridCol w:w="3801"/>
        <w:gridCol w:w="2104"/>
      </w:tblGrid>
      <w:tr>
        <w:trPr>
          <w:cantSplit/>
          <w:tblHeader/>
        </w:trPr>
        <w:tc>
          <w:tcPr>
            <w:tcW w:w="3122" w:type="dxa"/>
            <w:shd w:val="clear" w:color="auto" w:fill="0F4761"/>
            <w:vAlign w:val="center"/>
          </w:tcPr>
          <w:p>
            <w:pPr>
              <w:pStyle w:val="TableHeading"/>
              <w:jc w:val="left"/>
            </w:pPr>
            <w:r>
              <w:rPr>
                <w:color w:val="FFFFFF"/>
              </w:rPr>
              <w:t xml:space="preserve">Control</w:t>
            </w:r>
          </w:p>
        </w:tc>
        <w:tc>
          <w:tcPr>
            <w:tcW w:w="3801" w:type="dxa"/>
            <w:shd w:val="clear" w:color="auto" w:fill="0F4761"/>
            <w:vAlign w:val="center"/>
          </w:tcPr>
          <w:p>
            <w:pPr>
              <w:pStyle w:val="TableHeading"/>
              <w:jc w:val="left"/>
            </w:pPr>
            <w:r>
              <w:rPr>
                <w:color w:val="FFFFFF"/>
              </w:rPr>
              <w:t xml:space="preserve">Tool</w:t>
            </w:r>
          </w:p>
        </w:tc>
        <w:tc>
          <w:tcPr>
            <w:tcW w:w="2104" w:type="dxa"/>
            <w:shd w:val="clear" w:color="auto" w:fill="0F4761"/>
            <w:vAlign w:val="center"/>
          </w:tcPr>
          <w:p>
            <w:pPr>
              <w:pStyle w:val="TableHeading"/>
              <w:jc w:val="left"/>
            </w:pPr>
            <w:r>
              <w:rPr>
                <w:color w:val="FFFFFF"/>
              </w:rPr>
              <w:t xml:space="preserve">Gate</w:t>
            </w:r>
          </w:p>
        </w:tc>
      </w:tr>
      <w:tr>
        <w:trPr>
          <w:cantSplit/>
        </w:trPr>
        <w:tc>
          <w:tcPr>
            <w:tcW w:w="3122" w:type="dxa"/>
            <w:vAlign w:val="top"/>
          </w:tcPr>
          <w:p>
            <w:pPr>
              <w:pStyle w:val="TableText"/>
              <w:jc w:val="left"/>
            </w:pPr>
            <w:r>
              <w:t xml:space="preserve">Lint, including unsafe-code rules</w:t>
            </w:r>
          </w:p>
        </w:tc>
        <w:tc>
          <w:tcPr>
            <w:tcW w:w="3801" w:type="dxa"/>
            <w:vAlign w:val="top"/>
          </w:tcPr>
          <w:p>
            <w:pPr>
              <w:pStyle w:val="TableText"/>
              <w:jc w:val="left"/>
            </w:pPr>
            <w:r>
              <w:t xml:space="preserve">ESLint 9</w:t>
            </w:r>
          </w:p>
        </w:tc>
        <w:tc>
          <w:tcPr>
            <w:tcW w:w="2104" w:type="dxa"/>
            <w:vAlign w:val="top"/>
          </w:tcPr>
          <w:p>
            <w:pPr>
              <w:pStyle w:val="TableText"/>
              <w:jc w:val="left"/>
            </w:pPr>
            <w:r>
              <w:t xml:space="preserve">Any error fails</w:t>
            </w:r>
          </w:p>
        </w:tc>
      </w:tr>
      <w:tr>
        <w:trPr>
          <w:cantSplit/>
        </w:trPr>
        <w:tc>
          <w:tcPr>
            <w:tcW w:w="3122" w:type="dxa"/>
            <w:shd w:val="clear" w:color="auto" w:fill="F4F7FB"/>
            <w:vAlign w:val="top"/>
          </w:tcPr>
          <w:p>
            <w:pPr>
              <w:pStyle w:val="TableText"/>
              <w:jc w:val="left"/>
            </w:pPr>
            <w:r>
              <w:t xml:space="preserve">Unit, integration, API, security and functional tests with coverage</w:t>
            </w:r>
          </w:p>
        </w:tc>
        <w:tc>
          <w:tcPr>
            <w:tcW w:w="3801" w:type="dxa"/>
            <w:shd w:val="clear" w:color="auto" w:fill="F4F7FB"/>
            <w:vAlign w:val="top"/>
          </w:tcPr>
          <w:p>
            <w:pPr>
              <w:pStyle w:val="TableText"/>
              <w:jc w:val="left"/>
            </w:pPr>
            <w:r>
              <w:t xml:space="preserve">Node.js test runner; gates 80% lines, 70% branches, 80% functions</w:t>
            </w:r>
          </w:p>
        </w:tc>
        <w:tc>
          <w:tcPr>
            <w:tcW w:w="2104" w:type="dxa"/>
            <w:shd w:val="clear" w:color="auto" w:fill="F4F7FB"/>
            <w:vAlign w:val="top"/>
          </w:tcPr>
          <w:p>
            <w:pPr>
              <w:pStyle w:val="TableText"/>
              <w:jc w:val="left"/>
            </w:pPr>
            <w:r>
              <w:t xml:space="preserve">Any failure fails</w:t>
            </w:r>
          </w:p>
        </w:tc>
      </w:tr>
      <w:tr>
        <w:trPr>
          <w:cantSplit/>
        </w:trPr>
        <w:tc>
          <w:tcPr>
            <w:tcW w:w="3122" w:type="dxa"/>
            <w:vAlign w:val="top"/>
          </w:tcPr>
          <w:p>
            <w:pPr>
              <w:pStyle w:val="TableText"/>
              <w:jc w:val="left"/>
            </w:pPr>
            <w:r>
              <w:t xml:space="preserve">PostgreSQL behaviour</w:t>
            </w:r>
          </w:p>
        </w:tc>
        <w:tc>
          <w:tcPr>
            <w:tcW w:w="3801" w:type="dxa"/>
            <w:vAlign w:val="top"/>
          </w:tcPr>
          <w:p>
            <w:pPr>
              <w:pStyle w:val="TableText"/>
              <w:jc w:val="left"/>
            </w:pPr>
            <w:r>
              <w:t xml:space="preserve">Separate suite against a PostgreSQL service container</w:t>
            </w:r>
          </w:p>
        </w:tc>
        <w:tc>
          <w:tcPr>
            <w:tcW w:w="2104" w:type="dxa"/>
            <w:vAlign w:val="top"/>
          </w:tcPr>
          <w:p>
            <w:pPr>
              <w:pStyle w:val="TableText"/>
              <w:jc w:val="left"/>
            </w:pPr>
            <w:r>
              <w:t xml:space="preserve">Any failure fails</w:t>
            </w:r>
          </w:p>
        </w:tc>
      </w:tr>
      <w:tr>
        <w:trPr>
          <w:cantSplit/>
        </w:trPr>
        <w:tc>
          <w:tcPr>
            <w:tcW w:w="3122" w:type="dxa"/>
            <w:shd w:val="clear" w:color="auto" w:fill="F4F7FB"/>
            <w:vAlign w:val="top"/>
          </w:tcPr>
          <w:p>
            <w:pPr>
              <w:pStyle w:val="TableText"/>
              <w:jc w:val="left"/>
            </w:pPr>
            <w:r>
              <w:t xml:space="preserve">OpenAPI contract</w:t>
            </w:r>
          </w:p>
        </w:tc>
        <w:tc>
          <w:tcPr>
            <w:tcW w:w="3801" w:type="dxa"/>
            <w:shd w:val="clear" w:color="auto" w:fill="F4F7FB"/>
            <w:vAlign w:val="top"/>
          </w:tcPr>
          <w:p>
            <w:pPr>
              <w:pStyle w:val="TableText"/>
              <w:jc w:val="left"/>
            </w:pPr>
            <w:r>
              <w:t xml:space="preserve">Generated specification compared with the committed one</w:t>
            </w:r>
          </w:p>
        </w:tc>
        <w:tc>
          <w:tcPr>
            <w:tcW w:w="2104" w:type="dxa"/>
            <w:shd w:val="clear" w:color="auto" w:fill="F4F7FB"/>
            <w:vAlign w:val="top"/>
          </w:tcPr>
          <w:p>
            <w:pPr>
              <w:pStyle w:val="TableText"/>
              <w:jc w:val="left"/>
            </w:pPr>
            <w:r>
              <w:t xml:space="preserve">Drift fails</w:t>
            </w:r>
          </w:p>
        </w:tc>
      </w:tr>
      <w:tr>
        <w:trPr>
          <w:cantSplit/>
        </w:trPr>
        <w:tc>
          <w:tcPr>
            <w:tcW w:w="3122" w:type="dxa"/>
            <w:vAlign w:val="top"/>
          </w:tcPr>
          <w:p>
            <w:pPr>
              <w:pStyle w:val="TableText"/>
              <w:jc w:val="left"/>
            </w:pPr>
            <w:r>
              <w:t xml:space="preserve">Performance smoke</w:t>
            </w:r>
          </w:p>
        </w:tc>
        <w:tc>
          <w:tcPr>
            <w:tcW w:w="3801" w:type="dxa"/>
            <w:vAlign w:val="top"/>
          </w:tcPr>
          <w:p>
            <w:pPr>
              <w:pStyle w:val="TableText"/>
              <w:jc w:val="left"/>
            </w:pPr>
            <w:r>
              <w:t xml:space="preserve">Load smoke with a 95th percentile budget</w:t>
            </w:r>
          </w:p>
        </w:tc>
        <w:tc>
          <w:tcPr>
            <w:tcW w:w="2104" w:type="dxa"/>
            <w:vAlign w:val="top"/>
          </w:tcPr>
          <w:p>
            <w:pPr>
              <w:pStyle w:val="TableText"/>
              <w:jc w:val="left"/>
            </w:pPr>
            <w:r>
              <w:t xml:space="preserve">Breach fails</w:t>
            </w:r>
          </w:p>
        </w:tc>
      </w:tr>
      <w:tr>
        <w:trPr>
          <w:cantSplit/>
        </w:trPr>
        <w:tc>
          <w:tcPr>
            <w:tcW w:w="3122" w:type="dxa"/>
            <w:shd w:val="clear" w:color="auto" w:fill="F4F7FB"/>
            <w:vAlign w:val="top"/>
          </w:tcPr>
          <w:p>
            <w:pPr>
              <w:pStyle w:val="TableText"/>
              <w:jc w:val="left"/>
            </w:pPr>
            <w:r>
              <w:t xml:space="preserve">Static analysis</w:t>
            </w:r>
          </w:p>
        </w:tc>
        <w:tc>
          <w:tcPr>
            <w:tcW w:w="3801" w:type="dxa"/>
            <w:shd w:val="clear" w:color="auto" w:fill="F4F7FB"/>
            <w:vAlign w:val="top"/>
          </w:tcPr>
          <w:p>
            <w:pPr>
              <w:pStyle w:val="TableText"/>
              <w:jc w:val="left"/>
            </w:pPr>
            <w:r>
              <w:t xml:space="preserve">CodeQL for JavaScript</w:t>
            </w:r>
          </w:p>
        </w:tc>
        <w:tc>
          <w:tcPr>
            <w:tcW w:w="2104" w:type="dxa"/>
            <w:shd w:val="clear" w:color="auto" w:fill="F4F7FB"/>
            <w:vAlign w:val="top"/>
          </w:tcPr>
          <w:p>
            <w:pPr>
              <w:pStyle w:val="TableText"/>
              <w:jc w:val="left"/>
            </w:pPr>
            <w:r>
              <w:t xml:space="preserve">New high or critical finding fails</w:t>
            </w:r>
          </w:p>
        </w:tc>
      </w:tr>
      <w:tr>
        <w:trPr>
          <w:cantSplit/>
        </w:trPr>
        <w:tc>
          <w:tcPr>
            <w:tcW w:w="3122" w:type="dxa"/>
            <w:vAlign w:val="top"/>
          </w:tcPr>
          <w:p>
            <w:pPr>
              <w:pStyle w:val="TableText"/>
              <w:jc w:val="left"/>
            </w:pPr>
            <w:r>
              <w:t xml:space="preserve">Dependencies</w:t>
            </w:r>
          </w:p>
        </w:tc>
        <w:tc>
          <w:tcPr>
            <w:tcW w:w="3801" w:type="dxa"/>
            <w:vAlign w:val="top"/>
          </w:tcPr>
          <w:p>
            <w:pPr>
              <w:pStyle w:val="TableText"/>
              <w:jc w:val="left"/>
            </w:pPr>
            <w:r>
              <w:rPr>
                <w:rStyle w:val="CodeChar"/>
              </w:rPr>
              <w:t xml:space="preserve">npm audit</w:t>
            </w:r>
            <w:r>
              <w:t xml:space="preserve"> </w:t>
            </w:r>
            <w:r>
              <w:t xml:space="preserve">for production dependencies; dependency review</w:t>
            </w:r>
          </w:p>
        </w:tc>
        <w:tc>
          <w:tcPr>
            <w:tcW w:w="2104" w:type="dxa"/>
            <w:vAlign w:val="top"/>
          </w:tcPr>
          <w:p>
            <w:pPr>
              <w:pStyle w:val="TableText"/>
              <w:jc w:val="left"/>
            </w:pPr>
            <w:r>
              <w:t xml:space="preserve">High or above fails</w:t>
            </w:r>
          </w:p>
        </w:tc>
      </w:tr>
      <w:tr>
        <w:trPr>
          <w:cantSplit/>
        </w:trPr>
        <w:tc>
          <w:tcPr>
            <w:tcW w:w="3122" w:type="dxa"/>
            <w:shd w:val="clear" w:color="auto" w:fill="F4F7FB"/>
            <w:vAlign w:val="top"/>
          </w:tcPr>
          <w:p>
            <w:pPr>
              <w:pStyle w:val="TableText"/>
              <w:jc w:val="left"/>
            </w:pPr>
            <w:r>
              <w:t xml:space="preserve">Secrets</w:t>
            </w:r>
          </w:p>
        </w:tc>
        <w:tc>
          <w:tcPr>
            <w:tcW w:w="3801" w:type="dxa"/>
            <w:shd w:val="clear" w:color="auto" w:fill="F4F7FB"/>
            <w:vAlign w:val="top"/>
          </w:tcPr>
          <w:p>
            <w:pPr>
              <w:pStyle w:val="TableText"/>
              <w:jc w:val="left"/>
            </w:pPr>
            <w:r>
              <w:t xml:space="preserve">gitleaks</w:t>
            </w:r>
          </w:p>
        </w:tc>
        <w:tc>
          <w:tcPr>
            <w:tcW w:w="2104" w:type="dxa"/>
            <w:shd w:val="clear" w:color="auto" w:fill="F4F7FB"/>
            <w:vAlign w:val="top"/>
          </w:tcPr>
          <w:p>
            <w:pPr>
              <w:pStyle w:val="TableText"/>
              <w:jc w:val="left"/>
            </w:pPr>
            <w:r>
              <w:t xml:space="preserve">Any finding fails</w:t>
            </w:r>
          </w:p>
        </w:tc>
      </w:tr>
      <w:tr>
        <w:trPr>
          <w:cantSplit/>
        </w:trPr>
        <w:tc>
          <w:tcPr>
            <w:tcW w:w="3122" w:type="dxa"/>
            <w:vAlign w:val="top"/>
          </w:tcPr>
          <w:p>
            <w:pPr>
              <w:pStyle w:val="TableText"/>
              <w:jc w:val="left"/>
            </w:pPr>
            <w:r>
              <w:t xml:space="preserve">Container</w:t>
            </w:r>
          </w:p>
        </w:tc>
        <w:tc>
          <w:tcPr>
            <w:tcW w:w="3801" w:type="dxa"/>
            <w:vAlign w:val="top"/>
          </w:tcPr>
          <w:p>
            <w:pPr>
              <w:pStyle w:val="TableText"/>
              <w:jc w:val="left"/>
            </w:pPr>
            <w:r>
              <w:t xml:space="preserve">Trivy (operating system and packages)</w:t>
            </w:r>
          </w:p>
        </w:tc>
        <w:tc>
          <w:tcPr>
            <w:tcW w:w="2104" w:type="dxa"/>
            <w:vAlign w:val="top"/>
          </w:tcPr>
          <w:p>
            <w:pPr>
              <w:pStyle w:val="TableText"/>
              <w:jc w:val="left"/>
            </w:pPr>
            <w:r>
              <w:t xml:space="preserve">Fixable high or critical fails</w:t>
            </w:r>
          </w:p>
        </w:tc>
      </w:tr>
      <w:tr>
        <w:trPr>
          <w:cantSplit/>
        </w:trPr>
        <w:tc>
          <w:tcPr>
            <w:tcW w:w="3122" w:type="dxa"/>
            <w:shd w:val="clear" w:color="auto" w:fill="F4F7FB"/>
            <w:vAlign w:val="top"/>
          </w:tcPr>
          <w:p>
            <w:pPr>
              <w:pStyle w:val="TableText"/>
              <w:jc w:val="left"/>
            </w:pPr>
            <w:r>
              <w:t xml:space="preserve">Dynamic scan</w:t>
            </w:r>
          </w:p>
        </w:tc>
        <w:tc>
          <w:tcPr>
            <w:tcW w:w="3801" w:type="dxa"/>
            <w:shd w:val="clear" w:color="auto" w:fill="F4F7FB"/>
            <w:vAlign w:val="top"/>
          </w:tcPr>
          <w:p>
            <w:pPr>
              <w:pStyle w:val="TableText"/>
              <w:jc w:val="left"/>
            </w:pPr>
            <w:r>
              <w:t xml:space="preserve">OWASP ZAP baseline driven by the OpenAPI document</w:t>
            </w:r>
          </w:p>
        </w:tc>
        <w:tc>
          <w:tcPr>
            <w:tcW w:w="2104" w:type="dxa"/>
            <w:shd w:val="clear" w:color="auto" w:fill="F4F7FB"/>
            <w:vAlign w:val="top"/>
          </w:tcPr>
          <w:p>
            <w:pPr>
              <w:pStyle w:val="TableText"/>
              <w:jc w:val="left"/>
            </w:pPr>
            <w:r>
              <w:t xml:space="preserve">High alerts fail</w:t>
            </w:r>
          </w:p>
        </w:tc>
      </w:tr>
      <w:tr>
        <w:trPr>
          <w:cantSplit/>
        </w:trPr>
        <w:tc>
          <w:tcPr>
            <w:tcW w:w="3122" w:type="dxa"/>
            <w:vAlign w:val="top"/>
          </w:tcPr>
          <w:p>
            <w:pPr>
              <w:pStyle w:val="TableText"/>
              <w:jc w:val="left"/>
            </w:pPr>
            <w:r>
              <w:t xml:space="preserve">SBOM</w:t>
            </w:r>
          </w:p>
        </w:tc>
        <w:tc>
          <w:tcPr>
            <w:tcW w:w="3801" w:type="dxa"/>
            <w:vAlign w:val="top"/>
          </w:tcPr>
          <w:p>
            <w:pPr>
              <w:pStyle w:val="TableText"/>
              <w:jc w:val="left"/>
            </w:pPr>
            <w:r>
              <w:t xml:space="preserve">CycloneDX attached to the build</w:t>
            </w:r>
          </w:p>
        </w:tc>
        <w:tc>
          <w:tcPr>
            <w:tcW w:w="2104" w:type="dxa"/>
            <w:vAlign w:val="top"/>
          </w:tcPr>
          <w:p>
            <w:pPr>
              <w:pStyle w:val="TableText"/>
              <w:jc w:val="left"/>
            </w:pPr>
            <w:r>
              <w:t xml:space="preserve">Must exist</w:t>
            </w:r>
          </w:p>
        </w:tc>
      </w:tr>
    </w:tbl>
    <w:p>
      <w:pPr>
        <w:pStyle w:val="BodyText"/>
        <w:spacing w:before="160"/>
      </w:pPr>
      <w:r>
        <w:t xml:space="preserve">The latest recorded run, on 08/10/2026, executed 255 tests: 252 passed, none failed and 3 are marked to-do (manual or roadmap scenarios). Coverage was 99.41% of lines, 88.25% of branches and 97.12% of functions, and ESLint reported no errors. The PostgreSQL suite of 8 tests runs separately. Results are recorded in the test cases and results workbook (TGP-QA-02 Test Case Catalogue). Changes to cryptography, the HTTP pipeline, security configuration and migrations require a security reviewer; a code-owners file will enforce this.</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Security controls and residual risks</w:t>
      </w:r>
      <w:bookmarkEnd w:id="31"/>
    </w:p>
    <w:p>
      <w:pPr>
        <w:pStyle w:val="FirstParagraph"/>
      </w:pPr>
      <w:r>
        <w:t xml:space="preserve">The table lists the residual risks that remain after the controls in this document, with the treatment, owner and target. Risks are reviewed at each release and before go-live.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4"/>
        <w:gridCol w:w="3610"/>
        <w:gridCol w:w="3350"/>
        <w:gridCol w:w="3181"/>
        <w:gridCol w:w="1514"/>
        <w:gridCol w:w="1470"/>
      </w:tblGrid>
      <w:tr>
        <w:trPr>
          <w:cantSplit/>
          <w:tblHeader/>
        </w:trPr>
        <w:tc>
          <w:tcPr>
            <w:tcW w:w="834" w:type="dxa"/>
            <w:shd w:val="clear" w:color="auto" w:fill="0F4761"/>
            <w:vAlign w:val="center"/>
          </w:tcPr>
          <w:p>
            <w:pPr>
              <w:pStyle w:val="TableHeading"/>
              <w:jc w:val="left"/>
            </w:pPr>
            <w:r>
              <w:rPr>
                <w:color w:val="FFFFFF"/>
              </w:rPr>
              <w:t xml:space="preserve">ID</w:t>
            </w:r>
          </w:p>
        </w:tc>
        <w:tc>
          <w:tcPr>
            <w:tcW w:w="3610" w:type="dxa"/>
            <w:shd w:val="clear" w:color="auto" w:fill="0F4761"/>
            <w:vAlign w:val="center"/>
          </w:tcPr>
          <w:p>
            <w:pPr>
              <w:pStyle w:val="TableHeading"/>
              <w:jc w:val="left"/>
            </w:pPr>
            <w:r>
              <w:rPr>
                <w:color w:val="FFFFFF"/>
              </w:rPr>
              <w:t xml:space="preserve">Residual risk</w:t>
            </w:r>
          </w:p>
        </w:tc>
        <w:tc>
          <w:tcPr>
            <w:tcW w:w="3350" w:type="dxa"/>
            <w:shd w:val="clear" w:color="auto" w:fill="0F4761"/>
            <w:vAlign w:val="center"/>
          </w:tcPr>
          <w:p>
            <w:pPr>
              <w:pStyle w:val="TableHeading"/>
              <w:jc w:val="left"/>
            </w:pPr>
            <w:r>
              <w:rPr>
                <w:color w:val="FFFFFF"/>
              </w:rPr>
              <w:t xml:space="preserve">Control in place</w:t>
            </w:r>
          </w:p>
        </w:tc>
        <w:tc>
          <w:tcPr>
            <w:tcW w:w="3181" w:type="dxa"/>
            <w:shd w:val="clear" w:color="auto" w:fill="0F4761"/>
            <w:vAlign w:val="center"/>
          </w:tcPr>
          <w:p>
            <w:pPr>
              <w:pStyle w:val="TableHeading"/>
              <w:jc w:val="left"/>
            </w:pPr>
            <w:r>
              <w:rPr>
                <w:color w:val="FFFFFF"/>
              </w:rPr>
              <w:t xml:space="preserve">Treatment</w:t>
            </w:r>
          </w:p>
        </w:tc>
        <w:tc>
          <w:tcPr>
            <w:tcW w:w="1514" w:type="dxa"/>
            <w:shd w:val="clear" w:color="auto" w:fill="0F4761"/>
            <w:vAlign w:val="center"/>
          </w:tcPr>
          <w:p>
            <w:pPr>
              <w:pStyle w:val="TableHeading"/>
              <w:jc w:val="left"/>
            </w:pPr>
            <w:r>
              <w:rPr>
                <w:color w:val="FFFFFF"/>
              </w:rPr>
              <w:t xml:space="preserve">Owner</w:t>
            </w:r>
          </w:p>
        </w:tc>
        <w:tc>
          <w:tcPr>
            <w:tcW w:w="1470" w:type="dxa"/>
            <w:shd w:val="clear" w:color="auto" w:fill="0F4761"/>
            <w:vAlign w:val="center"/>
          </w:tcPr>
          <w:p>
            <w:pPr>
              <w:pStyle w:val="TableHeading"/>
              <w:jc w:val="left"/>
            </w:pPr>
            <w:r>
              <w:rPr>
                <w:color w:val="FFFFFF"/>
              </w:rPr>
              <w:t xml:space="preserve">Target</w:t>
            </w:r>
          </w:p>
        </w:tc>
      </w:tr>
      <w:tr>
        <w:trPr>
          <w:cantSplit/>
        </w:trPr>
        <w:tc>
          <w:tcPr>
            <w:tcW w:w="834" w:type="dxa"/>
            <w:noWrap/>
            <w:vAlign w:val="top"/>
          </w:tcPr>
          <w:p>
            <w:pPr>
              <w:pStyle w:val="TableText"/>
              <w:jc w:val="left"/>
            </w:pPr>
            <w:r>
              <w:t xml:space="preserve">SR-01</w:t>
            </w:r>
          </w:p>
        </w:tc>
        <w:tc>
          <w:tcPr>
            <w:tcW w:w="3610" w:type="dxa"/>
            <w:vAlign w:val="top"/>
          </w:tcPr>
          <w:p>
            <w:pPr>
              <w:pStyle w:val="TableText"/>
              <w:jc w:val="left"/>
            </w:pPr>
            <w:r>
              <w:t xml:space="preserve">One administrator can grant a privileged role</w:t>
            </w:r>
          </w:p>
        </w:tc>
        <w:tc>
          <w:tcPr>
            <w:tcW w:w="3350" w:type="dxa"/>
            <w:vAlign w:val="top"/>
          </w:tcPr>
          <w:p>
            <w:pPr>
              <w:pStyle w:val="TableText"/>
              <w:jc w:val="left"/>
            </w:pPr>
            <w:r>
              <w:t xml:space="preserve">No self role change; forbidden role pairs; all changes audited</w:t>
            </w:r>
          </w:p>
        </w:tc>
        <w:tc>
          <w:tcPr>
            <w:tcW w:w="3181" w:type="dxa"/>
            <w:vAlign w:val="top"/>
          </w:tcPr>
          <w:p>
            <w:pPr>
              <w:pStyle w:val="TableText"/>
              <w:jc w:val="left"/>
            </w:pPr>
            <w:r>
              <w:t xml:space="preserve">Second approver and alert for privileged grants</w:t>
            </w:r>
          </w:p>
        </w:tc>
        <w:tc>
          <w:tcPr>
            <w:tcW w:w="1514" w:type="dxa"/>
            <w:vAlign w:val="top"/>
          </w:tcPr>
          <w:p>
            <w:pPr>
              <w:pStyle w:val="TableText"/>
              <w:jc w:val="left"/>
            </w:pPr>
            <w:r>
              <w:t xml:space="preserve">iorta TechNXT</w:t>
            </w:r>
          </w:p>
        </w:tc>
        <w:tc>
          <w:tcPr>
            <w:tcW w:w="1470" w:type="dxa"/>
            <w:vAlign w:val="top"/>
          </w:tcPr>
          <w:p>
            <w:pPr>
              <w:pStyle w:val="TableText"/>
              <w:jc w:val="left"/>
            </w:pPr>
            <w:r>
              <w:t xml:space="preserve">Before go-live</w:t>
            </w:r>
          </w:p>
        </w:tc>
      </w:tr>
      <w:tr>
        <w:trPr>
          <w:cantSplit/>
        </w:trPr>
        <w:tc>
          <w:tcPr>
            <w:tcW w:w="834" w:type="dxa"/>
            <w:shd w:val="clear" w:color="auto" w:fill="F4F7FB"/>
            <w:noWrap/>
            <w:vAlign w:val="top"/>
          </w:tcPr>
          <w:p>
            <w:pPr>
              <w:pStyle w:val="TableText"/>
              <w:jc w:val="left"/>
            </w:pPr>
            <w:r>
              <w:t xml:space="preserve">SR-02</w:t>
            </w:r>
          </w:p>
        </w:tc>
        <w:tc>
          <w:tcPr>
            <w:tcW w:w="3610" w:type="dxa"/>
            <w:shd w:val="clear" w:color="auto" w:fill="F4F7FB"/>
            <w:vAlign w:val="top"/>
          </w:tcPr>
          <w:p>
            <w:pPr>
              <w:pStyle w:val="TableText"/>
              <w:jc w:val="left"/>
            </w:pPr>
            <w:r>
              <w:t xml:space="preserve">Logout and in-process rate limits are per pod</w:t>
            </w:r>
          </w:p>
        </w:tc>
        <w:tc>
          <w:tcPr>
            <w:tcW w:w="3350" w:type="dxa"/>
            <w:shd w:val="clear" w:color="auto" w:fill="F4F7FB"/>
            <w:vAlign w:val="top"/>
          </w:tcPr>
          <w:p>
            <w:pPr>
              <w:pStyle w:val="TableText"/>
              <w:jc w:val="left"/>
            </w:pPr>
            <w:r>
              <w:t xml:space="preserve">Shared edge rate limit; credential and role changes revoke tokens on all pods</w:t>
            </w:r>
          </w:p>
        </w:tc>
        <w:tc>
          <w:tcPr>
            <w:tcW w:w="3181" w:type="dxa"/>
            <w:shd w:val="clear" w:color="auto" w:fill="F4F7FB"/>
            <w:vAlign w:val="top"/>
          </w:tcPr>
          <w:p>
            <w:pPr>
              <w:pStyle w:val="TableText"/>
              <w:jc w:val="left"/>
            </w:pPr>
            <w:r>
              <w:t xml:space="preserve">Shared revocation list; per-partner quotas at the gateway</w:t>
            </w:r>
          </w:p>
        </w:tc>
        <w:tc>
          <w:tcPr>
            <w:tcW w:w="1514" w:type="dxa"/>
            <w:shd w:val="clear" w:color="auto" w:fill="F4F7FB"/>
            <w:vAlign w:val="top"/>
          </w:tcPr>
          <w:p>
            <w:pPr>
              <w:pStyle w:val="TableText"/>
              <w:jc w:val="left"/>
            </w:pPr>
            <w:r>
              <w:t xml:space="preserve">iorta TechNXT, TASCO IT</w:t>
            </w:r>
          </w:p>
        </w:tc>
        <w:tc>
          <w:tcPr>
            <w:tcW w:w="1470" w:type="dxa"/>
            <w:shd w:val="clear" w:color="auto" w:fill="F4F7FB"/>
            <w:vAlign w:val="top"/>
          </w:tcPr>
          <w:p>
            <w:pPr>
              <w:pStyle w:val="TableText"/>
              <w:jc w:val="left"/>
            </w:pPr>
            <w:r>
              <w:t xml:space="preserve">Before go-live</w:t>
            </w:r>
          </w:p>
        </w:tc>
      </w:tr>
      <w:tr>
        <w:trPr>
          <w:cantSplit/>
        </w:trPr>
        <w:tc>
          <w:tcPr>
            <w:tcW w:w="834" w:type="dxa"/>
            <w:noWrap/>
            <w:vAlign w:val="top"/>
          </w:tcPr>
          <w:p>
            <w:pPr>
              <w:pStyle w:val="TableText"/>
              <w:jc w:val="left"/>
            </w:pPr>
            <w:r>
              <w:t xml:space="preserve">SR-03</w:t>
            </w:r>
          </w:p>
        </w:tc>
        <w:tc>
          <w:tcPr>
            <w:tcW w:w="3610" w:type="dxa"/>
            <w:vAlign w:val="top"/>
          </w:tcPr>
          <w:p>
            <w:pPr>
              <w:pStyle w:val="TableText"/>
              <w:jc w:val="left"/>
            </w:pPr>
            <w:r>
              <w:t xml:space="preserve">A partner quote can reveal a known vehicle’s expiry; partner data can influence the golden record</w:t>
            </w:r>
          </w:p>
        </w:tc>
        <w:tc>
          <w:tcPr>
            <w:tcW w:w="3350" w:type="dxa"/>
            <w:vAlign w:val="top"/>
          </w:tcPr>
          <w:p>
            <w:pPr>
              <w:pStyle w:val="TableText"/>
              <w:jc w:val="left"/>
            </w:pPr>
            <w:r>
              <w:t xml:space="preserve">Scopes and ownership; lower partner trust; no partner marketing consent</w:t>
            </w:r>
          </w:p>
        </w:tc>
        <w:tc>
          <w:tcPr>
            <w:tcW w:w="3181" w:type="dxa"/>
            <w:vAlign w:val="top"/>
          </w:tcPr>
          <w:p>
            <w:pPr>
              <w:pStyle w:val="TableText"/>
              <w:jc w:val="left"/>
            </w:pPr>
            <w:r>
              <w:t xml:space="preserve">Price-only quotes for existing plates; hold partner phones until verified</w:t>
            </w:r>
          </w:p>
        </w:tc>
        <w:tc>
          <w:tcPr>
            <w:tcW w:w="1514" w:type="dxa"/>
            <w:vAlign w:val="top"/>
          </w:tcPr>
          <w:p>
            <w:pPr>
              <w:pStyle w:val="TableText"/>
              <w:jc w:val="left"/>
            </w:pPr>
            <w:r>
              <w:t xml:space="preserve">iorta TechNXT</w:t>
            </w:r>
          </w:p>
        </w:tc>
        <w:tc>
          <w:tcPr>
            <w:tcW w:w="1470" w:type="dxa"/>
            <w:vAlign w:val="top"/>
          </w:tcPr>
          <w:p>
            <w:pPr>
              <w:pStyle w:val="TableText"/>
              <w:jc w:val="left"/>
            </w:pPr>
            <w:r>
              <w:t xml:space="preserve">Before partner go-live</w:t>
            </w:r>
          </w:p>
        </w:tc>
      </w:tr>
      <w:tr>
        <w:trPr>
          <w:cantSplit/>
        </w:trPr>
        <w:tc>
          <w:tcPr>
            <w:tcW w:w="834" w:type="dxa"/>
            <w:shd w:val="clear" w:color="auto" w:fill="F4F7FB"/>
            <w:noWrap/>
            <w:vAlign w:val="top"/>
          </w:tcPr>
          <w:p>
            <w:pPr>
              <w:pStyle w:val="TableText"/>
              <w:jc w:val="left"/>
            </w:pPr>
            <w:r>
              <w:t xml:space="preserve">SR-04</w:t>
            </w:r>
          </w:p>
        </w:tc>
        <w:tc>
          <w:tcPr>
            <w:tcW w:w="3610" w:type="dxa"/>
            <w:shd w:val="clear" w:color="auto" w:fill="F4F7FB"/>
            <w:vAlign w:val="top"/>
          </w:tcPr>
          <w:p>
            <w:pPr>
              <w:pStyle w:val="TableText"/>
              <w:jc w:val="left"/>
            </w:pPr>
            <w:r>
              <w:t xml:space="preserve">A few staff routes lack record-level checks (policy list, voice turns, rule simulation)</w:t>
            </w:r>
          </w:p>
        </w:tc>
        <w:tc>
          <w:tcPr>
            <w:tcW w:w="3350" w:type="dxa"/>
            <w:shd w:val="clear" w:color="auto" w:fill="F4F7FB"/>
            <w:vAlign w:val="top"/>
          </w:tcPr>
          <w:p>
            <w:pPr>
              <w:pStyle w:val="TableText"/>
              <w:jc w:val="left"/>
            </w:pPr>
            <w:r>
              <w:t xml:space="preserve">Role permissions; region checks on customer routes</w:t>
            </w:r>
          </w:p>
        </w:tc>
        <w:tc>
          <w:tcPr>
            <w:tcW w:w="3181" w:type="dxa"/>
            <w:shd w:val="clear" w:color="auto" w:fill="F4F7FB"/>
            <w:vAlign w:val="top"/>
          </w:tcPr>
          <w:p>
            <w:pPr>
              <w:pStyle w:val="TableText"/>
              <w:jc w:val="left"/>
            </w:pPr>
            <w:r>
              <w:t xml:space="preserve">Declarative attribute check in the route table</w:t>
            </w:r>
          </w:p>
        </w:tc>
        <w:tc>
          <w:tcPr>
            <w:tcW w:w="1514" w:type="dxa"/>
            <w:shd w:val="clear" w:color="auto" w:fill="F4F7FB"/>
            <w:vAlign w:val="top"/>
          </w:tcPr>
          <w:p>
            <w:pPr>
              <w:pStyle w:val="TableText"/>
              <w:jc w:val="left"/>
            </w:pPr>
            <w:r>
              <w:t xml:space="preserve">iorta TechNXT</w:t>
            </w:r>
          </w:p>
        </w:tc>
        <w:tc>
          <w:tcPr>
            <w:tcW w:w="1470" w:type="dxa"/>
            <w:shd w:val="clear" w:color="auto" w:fill="F4F7FB"/>
            <w:vAlign w:val="top"/>
          </w:tcPr>
          <w:p>
            <w:pPr>
              <w:pStyle w:val="TableText"/>
              <w:jc w:val="left"/>
            </w:pPr>
            <w:r>
              <w:t xml:space="preserve">Scale phase</w:t>
            </w:r>
          </w:p>
        </w:tc>
      </w:tr>
      <w:tr>
        <w:trPr>
          <w:cantSplit/>
        </w:trPr>
        <w:tc>
          <w:tcPr>
            <w:tcW w:w="834" w:type="dxa"/>
            <w:noWrap/>
            <w:vAlign w:val="top"/>
          </w:tcPr>
          <w:p>
            <w:pPr>
              <w:pStyle w:val="TableText"/>
              <w:jc w:val="left"/>
            </w:pPr>
            <w:r>
              <w:t xml:space="preserve">SR-05</w:t>
            </w:r>
          </w:p>
        </w:tc>
        <w:tc>
          <w:tcPr>
            <w:tcW w:w="3610" w:type="dxa"/>
            <w:vAlign w:val="top"/>
          </w:tcPr>
          <w:p>
            <w:pPr>
              <w:pStyle w:val="TableText"/>
              <w:jc w:val="left"/>
            </w:pPr>
            <w:r>
              <w:t xml:space="preserve">Renewal links carry the plate key and share the token secret</w:t>
            </w:r>
          </w:p>
        </w:tc>
        <w:tc>
          <w:tcPr>
            <w:tcW w:w="3350" w:type="dxa"/>
            <w:vAlign w:val="top"/>
          </w:tcPr>
          <w:p>
            <w:pPr>
              <w:pStyle w:val="TableText"/>
              <w:jc w:val="left"/>
            </w:pPr>
            <w:r>
              <w:t xml:space="preserve">30-day signed expiry; 132-bit tag; erased customers lose sessions</w:t>
            </w:r>
          </w:p>
        </w:tc>
        <w:tc>
          <w:tcPr>
            <w:tcW w:w="3181" w:type="dxa"/>
            <w:vAlign w:val="top"/>
          </w:tcPr>
          <w:p>
            <w:pPr>
              <w:pStyle w:val="TableText"/>
              <w:jc w:val="left"/>
            </w:pPr>
            <w:r>
              <w:t xml:space="preserve">Pseudonymous id, separate link key, single-use nonce</w:t>
            </w:r>
          </w:p>
        </w:tc>
        <w:tc>
          <w:tcPr>
            <w:tcW w:w="1514" w:type="dxa"/>
            <w:vAlign w:val="top"/>
          </w:tcPr>
          <w:p>
            <w:pPr>
              <w:pStyle w:val="TableText"/>
              <w:jc w:val="left"/>
            </w:pPr>
            <w:r>
              <w:t xml:space="preserve">iorta TechNXT</w:t>
            </w:r>
          </w:p>
        </w:tc>
        <w:tc>
          <w:tcPr>
            <w:tcW w:w="1470" w:type="dxa"/>
            <w:vAlign w:val="top"/>
          </w:tcPr>
          <w:p>
            <w:pPr>
              <w:pStyle w:val="TableText"/>
              <w:jc w:val="left"/>
            </w:pPr>
            <w:r>
              <w:t xml:space="preserve">Scale phase</w:t>
            </w:r>
          </w:p>
        </w:tc>
      </w:tr>
      <w:tr>
        <w:trPr>
          <w:cantSplit/>
        </w:trPr>
        <w:tc>
          <w:tcPr>
            <w:tcW w:w="834" w:type="dxa"/>
            <w:shd w:val="clear" w:color="auto" w:fill="F4F7FB"/>
            <w:noWrap/>
            <w:vAlign w:val="top"/>
          </w:tcPr>
          <w:p>
            <w:pPr>
              <w:pStyle w:val="TableText"/>
              <w:jc w:val="left"/>
            </w:pPr>
            <w:r>
              <w:t xml:space="preserve">SR-06</w:t>
            </w:r>
          </w:p>
        </w:tc>
        <w:tc>
          <w:tcPr>
            <w:tcW w:w="3610" w:type="dxa"/>
            <w:shd w:val="clear" w:color="auto" w:fill="F4F7FB"/>
            <w:vAlign w:val="top"/>
          </w:tcPr>
          <w:p>
            <w:pPr>
              <w:pStyle w:val="TableText"/>
              <w:jc w:val="left"/>
            </w:pPr>
            <w:r>
              <w:t xml:space="preserve">A database superuser could rewrite the audit chain; audit write is not in the business transaction</w:t>
            </w:r>
          </w:p>
        </w:tc>
        <w:tc>
          <w:tcPr>
            <w:tcW w:w="3350" w:type="dxa"/>
            <w:shd w:val="clear" w:color="auto" w:fill="F4F7FB"/>
            <w:vAlign w:val="top"/>
          </w:tcPr>
          <w:p>
            <w:pPr>
              <w:pStyle w:val="TableText"/>
              <w:jc w:val="left"/>
            </w:pPr>
            <w:r>
              <w:t xml:space="preserve">Hash chain; triggers block update, delete and truncate</w:t>
            </w:r>
          </w:p>
        </w:tc>
        <w:tc>
          <w:tcPr>
            <w:tcW w:w="3181" w:type="dxa"/>
            <w:shd w:val="clear" w:color="auto" w:fill="F4F7FB"/>
            <w:vAlign w:val="top"/>
          </w:tcPr>
          <w:p>
            <w:pPr>
              <w:pStyle w:val="TableText"/>
              <w:jc w:val="left"/>
            </w:pPr>
            <w:r>
              <w:t xml:space="preserve">Separate owner and app roles; hourly external anchor; transactional audit</w:t>
            </w:r>
          </w:p>
        </w:tc>
        <w:tc>
          <w:tcPr>
            <w:tcW w:w="1514" w:type="dxa"/>
            <w:shd w:val="clear" w:color="auto" w:fill="F4F7FB"/>
            <w:vAlign w:val="top"/>
          </w:tcPr>
          <w:p>
            <w:pPr>
              <w:pStyle w:val="TableText"/>
              <w:jc w:val="left"/>
            </w:pPr>
            <w:r>
              <w:t xml:space="preserve">TASCO IT, iorta TechNXT</w:t>
            </w:r>
          </w:p>
        </w:tc>
        <w:tc>
          <w:tcPr>
            <w:tcW w:w="1470" w:type="dxa"/>
            <w:shd w:val="clear" w:color="auto" w:fill="F4F7FB"/>
            <w:vAlign w:val="top"/>
          </w:tcPr>
          <w:p>
            <w:pPr>
              <w:pStyle w:val="TableText"/>
              <w:jc w:val="left"/>
            </w:pPr>
            <w:r>
              <w:t xml:space="preserve">Before go-live (roles)</w:t>
            </w:r>
          </w:p>
        </w:tc>
      </w:tr>
      <w:tr>
        <w:trPr>
          <w:cantSplit/>
        </w:trPr>
        <w:tc>
          <w:tcPr>
            <w:tcW w:w="834" w:type="dxa"/>
            <w:noWrap/>
            <w:vAlign w:val="top"/>
          </w:tcPr>
          <w:p>
            <w:pPr>
              <w:pStyle w:val="TableText"/>
              <w:jc w:val="left"/>
            </w:pPr>
            <w:r>
              <w:t xml:space="preserve">SR-07</w:t>
            </w:r>
          </w:p>
        </w:tc>
        <w:tc>
          <w:tcPr>
            <w:tcW w:w="3610" w:type="dxa"/>
            <w:vAlign w:val="top"/>
          </w:tcPr>
          <w:p>
            <w:pPr>
              <w:pStyle w:val="TableText"/>
              <w:jc w:val="left"/>
            </w:pPr>
            <w:r>
              <w:t xml:space="preserve">Free-text call signals are stored in clear</w:t>
            </w:r>
          </w:p>
        </w:tc>
        <w:tc>
          <w:tcPr>
            <w:tcW w:w="3350" w:type="dxa"/>
            <w:vAlign w:val="top"/>
          </w:tcPr>
          <w:p>
            <w:pPr>
              <w:pStyle w:val="TableText"/>
              <w:jc w:val="left"/>
            </w:pPr>
            <w:r>
              <w:t xml:space="preserve">Cleared on erasure; transcript encrypted</w:t>
            </w:r>
          </w:p>
        </w:tc>
        <w:tc>
          <w:tcPr>
            <w:tcW w:w="3181" w:type="dxa"/>
            <w:vAlign w:val="top"/>
          </w:tcPr>
          <w:p>
            <w:pPr>
              <w:pStyle w:val="TableText"/>
              <w:jc w:val="left"/>
            </w:pPr>
            <w:r>
              <w:t xml:space="preserve">Encrypt signals or store structured values only</w:t>
            </w:r>
          </w:p>
        </w:tc>
        <w:tc>
          <w:tcPr>
            <w:tcW w:w="1514" w:type="dxa"/>
            <w:vAlign w:val="top"/>
          </w:tcPr>
          <w:p>
            <w:pPr>
              <w:pStyle w:val="TableText"/>
              <w:jc w:val="left"/>
            </w:pPr>
            <w:r>
              <w:t xml:space="preserve">iorta TechNXT</w:t>
            </w:r>
          </w:p>
        </w:tc>
        <w:tc>
          <w:tcPr>
            <w:tcW w:w="1470" w:type="dxa"/>
            <w:vAlign w:val="top"/>
          </w:tcPr>
          <w:p>
            <w:pPr>
              <w:pStyle w:val="TableText"/>
              <w:jc w:val="left"/>
            </w:pPr>
            <w:r>
              <w:t xml:space="preserve">Before go-live</w:t>
            </w:r>
          </w:p>
        </w:tc>
      </w:tr>
      <w:tr>
        <w:trPr>
          <w:cantSplit/>
        </w:trPr>
        <w:tc>
          <w:tcPr>
            <w:tcW w:w="834" w:type="dxa"/>
            <w:shd w:val="clear" w:color="auto" w:fill="F4F7FB"/>
            <w:noWrap/>
            <w:vAlign w:val="top"/>
          </w:tcPr>
          <w:p>
            <w:pPr>
              <w:pStyle w:val="TableText"/>
              <w:jc w:val="left"/>
            </w:pPr>
            <w:r>
              <w:t xml:space="preserve">SR-08</w:t>
            </w:r>
          </w:p>
        </w:tc>
        <w:tc>
          <w:tcPr>
            <w:tcW w:w="3610" w:type="dxa"/>
            <w:shd w:val="clear" w:color="auto" w:fill="F4F7FB"/>
            <w:vAlign w:val="top"/>
          </w:tcPr>
          <w:p>
            <w:pPr>
              <w:pStyle w:val="TableText"/>
              <w:jc w:val="left"/>
            </w:pPr>
            <w:r>
              <w:t xml:space="preserve">One signing secret for all token audiences</w:t>
            </w:r>
          </w:p>
        </w:tc>
        <w:tc>
          <w:tcPr>
            <w:tcW w:w="3350" w:type="dxa"/>
            <w:shd w:val="clear" w:color="auto" w:fill="F4F7FB"/>
            <w:vAlign w:val="top"/>
          </w:tcPr>
          <w:p>
            <w:pPr>
              <w:pStyle w:val="TableText"/>
              <w:jc w:val="left"/>
            </w:pPr>
            <w:r>
              <w:t xml:space="preserve">Audience separation; algorithm pinning</w:t>
            </w:r>
          </w:p>
        </w:tc>
        <w:tc>
          <w:tcPr>
            <w:tcW w:w="3181" w:type="dxa"/>
            <w:shd w:val="clear" w:color="auto" w:fill="F4F7FB"/>
            <w:vAlign w:val="top"/>
          </w:tcPr>
          <w:p>
            <w:pPr>
              <w:pStyle w:val="TableText"/>
              <w:jc w:val="left"/>
            </w:pPr>
            <w:r>
              <w:t xml:space="preserve">Asymmetric tokens from the identity provider</w:t>
            </w:r>
          </w:p>
        </w:tc>
        <w:tc>
          <w:tcPr>
            <w:tcW w:w="1514" w:type="dxa"/>
            <w:shd w:val="clear" w:color="auto" w:fill="F4F7FB"/>
            <w:vAlign w:val="top"/>
          </w:tcPr>
          <w:p>
            <w:pPr>
              <w:pStyle w:val="TableText"/>
              <w:jc w:val="left"/>
            </w:pPr>
            <w:r>
              <w:t xml:space="preserve">TASCO IT, iorta TechNXT</w:t>
            </w:r>
          </w:p>
        </w:tc>
        <w:tc>
          <w:tcPr>
            <w:tcW w:w="1470" w:type="dxa"/>
            <w:shd w:val="clear" w:color="auto" w:fill="F4F7FB"/>
            <w:vAlign w:val="top"/>
          </w:tcPr>
          <w:p>
            <w:pPr>
              <w:pStyle w:val="TableText"/>
              <w:jc w:val="left"/>
            </w:pPr>
            <w:r>
              <w:t xml:space="preserve">Scale phase</w:t>
            </w:r>
          </w:p>
        </w:tc>
      </w:tr>
      <w:tr>
        <w:trPr>
          <w:cantSplit/>
        </w:trPr>
        <w:tc>
          <w:tcPr>
            <w:tcW w:w="834" w:type="dxa"/>
            <w:noWrap/>
            <w:vAlign w:val="top"/>
          </w:tcPr>
          <w:p>
            <w:pPr>
              <w:pStyle w:val="TableText"/>
              <w:jc w:val="left"/>
            </w:pPr>
            <w:r>
              <w:t xml:space="preserve">SR-09</w:t>
            </w:r>
          </w:p>
        </w:tc>
        <w:tc>
          <w:tcPr>
            <w:tcW w:w="3610" w:type="dxa"/>
            <w:vAlign w:val="top"/>
          </w:tcPr>
          <w:p>
            <w:pPr>
              <w:pStyle w:val="TableText"/>
              <w:jc w:val="left"/>
            </w:pPr>
            <w:r>
              <w:t xml:space="preserve">Commission cap validation matches text; no rule size limit</w:t>
            </w:r>
          </w:p>
        </w:tc>
        <w:tc>
          <w:tcPr>
            <w:tcW w:w="3350" w:type="dxa"/>
            <w:vAlign w:val="top"/>
          </w:tcPr>
          <w:p>
            <w:pPr>
              <w:pStyle w:val="TableText"/>
              <w:jc w:val="left"/>
            </w:pPr>
            <w:r>
              <w:t xml:space="preserve">Runtime cap on every payout; 1 MiB body limit</w:t>
            </w:r>
          </w:p>
        </w:tc>
        <w:tc>
          <w:tcPr>
            <w:tcW w:w="3181" w:type="dxa"/>
            <w:vAlign w:val="top"/>
          </w:tcPr>
          <w:p>
            <w:pPr>
              <w:pStyle w:val="TableText"/>
              <w:jc w:val="left"/>
            </w:pPr>
            <w:r>
              <w:t xml:space="preserve">Evaluate each row per capped product; node-count limit</w:t>
            </w:r>
          </w:p>
        </w:tc>
        <w:tc>
          <w:tcPr>
            <w:tcW w:w="1514" w:type="dxa"/>
            <w:vAlign w:val="top"/>
          </w:tcPr>
          <w:p>
            <w:pPr>
              <w:pStyle w:val="TableText"/>
              <w:jc w:val="left"/>
            </w:pPr>
            <w:r>
              <w:t xml:space="preserve">iorta TechNXT</w:t>
            </w:r>
          </w:p>
        </w:tc>
        <w:tc>
          <w:tcPr>
            <w:tcW w:w="1470" w:type="dxa"/>
            <w:vAlign w:val="top"/>
          </w:tcPr>
          <w:p>
            <w:pPr>
              <w:pStyle w:val="TableText"/>
              <w:jc w:val="left"/>
            </w:pPr>
            <w:r>
              <w:t xml:space="preserve">Scale phase</w:t>
            </w:r>
          </w:p>
        </w:tc>
      </w:tr>
      <w:tr>
        <w:trPr>
          <w:cantSplit/>
        </w:trPr>
        <w:tc>
          <w:tcPr>
            <w:tcW w:w="834" w:type="dxa"/>
            <w:shd w:val="clear" w:color="auto" w:fill="F4F7FB"/>
            <w:noWrap/>
            <w:vAlign w:val="top"/>
          </w:tcPr>
          <w:p>
            <w:pPr>
              <w:pStyle w:val="TableText"/>
              <w:jc w:val="left"/>
            </w:pPr>
            <w:r>
              <w:t xml:space="preserve">SR-10</w:t>
            </w:r>
          </w:p>
        </w:tc>
        <w:tc>
          <w:tcPr>
            <w:tcW w:w="3610" w:type="dxa"/>
            <w:shd w:val="clear" w:color="auto" w:fill="F4F7FB"/>
            <w:vAlign w:val="top"/>
          </w:tcPr>
          <w:p>
            <w:pPr>
              <w:pStyle w:val="TableText"/>
              <w:jc w:val="left"/>
            </w:pPr>
            <w:r>
              <w:t xml:space="preserve">Outbox retries have no backoff; an event replay can resend a message</w:t>
            </w:r>
          </w:p>
        </w:tc>
        <w:tc>
          <w:tcPr>
            <w:tcW w:w="3350" w:type="dxa"/>
            <w:shd w:val="clear" w:color="auto" w:fill="F4F7FB"/>
            <w:vAlign w:val="top"/>
          </w:tcPr>
          <w:p>
            <w:pPr>
              <w:pStyle w:val="TableText"/>
              <w:jc w:val="left"/>
            </w:pPr>
            <w:r>
              <w:t xml:space="preserve">Five-attempt limit; lease reclaim; contact caps</w:t>
            </w:r>
          </w:p>
        </w:tc>
        <w:tc>
          <w:tcPr>
            <w:tcW w:w="3181" w:type="dxa"/>
            <w:shd w:val="clear" w:color="auto" w:fill="F4F7FB"/>
            <w:vAlign w:val="top"/>
          </w:tcPr>
          <w:p>
            <w:pPr>
              <w:pStyle w:val="TableText"/>
              <w:jc w:val="left"/>
            </w:pPr>
            <w:r>
              <w:t xml:space="preserve">Backoff on retries; message ids derived from the event</w:t>
            </w:r>
          </w:p>
        </w:tc>
        <w:tc>
          <w:tcPr>
            <w:tcW w:w="1514" w:type="dxa"/>
            <w:shd w:val="clear" w:color="auto" w:fill="F4F7FB"/>
            <w:vAlign w:val="top"/>
          </w:tcPr>
          <w:p>
            <w:pPr>
              <w:pStyle w:val="TableText"/>
              <w:jc w:val="left"/>
            </w:pPr>
            <w:r>
              <w:t xml:space="preserve">iorta TechNXT</w:t>
            </w:r>
          </w:p>
        </w:tc>
        <w:tc>
          <w:tcPr>
            <w:tcW w:w="1470" w:type="dxa"/>
            <w:shd w:val="clear" w:color="auto" w:fill="F4F7FB"/>
            <w:vAlign w:val="top"/>
          </w:tcPr>
          <w:p>
            <w:pPr>
              <w:pStyle w:val="TableText"/>
              <w:jc w:val="left"/>
            </w:pPr>
            <w:r>
              <w:t xml:space="preserve">Scale phase</w:t>
            </w:r>
          </w:p>
        </w:tc>
      </w:tr>
      <w:tr>
        <w:trPr>
          <w:cantSplit/>
        </w:trPr>
        <w:tc>
          <w:tcPr>
            <w:tcW w:w="834" w:type="dxa"/>
            <w:noWrap/>
            <w:vAlign w:val="top"/>
          </w:tcPr>
          <w:p>
            <w:pPr>
              <w:pStyle w:val="TableText"/>
              <w:jc w:val="left"/>
            </w:pPr>
            <w:r>
              <w:t xml:space="preserve">SR-11</w:t>
            </w:r>
          </w:p>
        </w:tc>
        <w:tc>
          <w:tcPr>
            <w:tcW w:w="3610" w:type="dxa"/>
            <w:vAlign w:val="top"/>
          </w:tcPr>
          <w:p>
            <w:pPr>
              <w:pStyle w:val="TableText"/>
              <w:jc w:val="left"/>
            </w:pPr>
            <w:r>
              <w:t xml:space="preserve">A failed refund needs manual action</w:t>
            </w:r>
          </w:p>
        </w:tc>
        <w:tc>
          <w:tcPr>
            <w:tcW w:w="3350" w:type="dxa"/>
            <w:vAlign w:val="top"/>
          </w:tcPr>
          <w:p>
            <w:pPr>
              <w:pStyle w:val="TableText"/>
              <w:jc w:val="left"/>
            </w:pPr>
            <w:r>
              <w:t xml:space="preserve">Compensation failure flagged by nightly reconciliation and alerted</w:t>
            </w:r>
          </w:p>
        </w:tc>
        <w:tc>
          <w:tcPr>
            <w:tcW w:w="3181" w:type="dxa"/>
            <w:vAlign w:val="top"/>
          </w:tcPr>
          <w:p>
            <w:pPr>
              <w:pStyle w:val="TableText"/>
              <w:jc w:val="left"/>
            </w:pPr>
            <w:r>
              <w:t xml:space="preserve">Automatic refund retry through the outbox</w:t>
            </w:r>
          </w:p>
        </w:tc>
        <w:tc>
          <w:tcPr>
            <w:tcW w:w="1514" w:type="dxa"/>
            <w:vAlign w:val="top"/>
          </w:tcPr>
          <w:p>
            <w:pPr>
              <w:pStyle w:val="TableText"/>
              <w:jc w:val="left"/>
            </w:pPr>
            <w:r>
              <w:t xml:space="preserve">iorta TechNXT</w:t>
            </w:r>
          </w:p>
        </w:tc>
        <w:tc>
          <w:tcPr>
            <w:tcW w:w="1470" w:type="dxa"/>
            <w:vAlign w:val="top"/>
          </w:tcPr>
          <w:p>
            <w:pPr>
              <w:pStyle w:val="TableText"/>
              <w:jc w:val="left"/>
            </w:pPr>
            <w:r>
              <w:t xml:space="preserve">Before go-live</w:t>
            </w:r>
          </w:p>
        </w:tc>
      </w:tr>
      <w:tr>
        <w:trPr>
          <w:cantSplit/>
        </w:trPr>
        <w:tc>
          <w:tcPr>
            <w:tcW w:w="834" w:type="dxa"/>
            <w:shd w:val="clear" w:color="auto" w:fill="F4F7FB"/>
            <w:noWrap/>
            <w:vAlign w:val="top"/>
          </w:tcPr>
          <w:p>
            <w:pPr>
              <w:pStyle w:val="TableText"/>
              <w:jc w:val="left"/>
            </w:pPr>
            <w:r>
              <w:t xml:space="preserve">SR-12</w:t>
            </w:r>
          </w:p>
        </w:tc>
        <w:tc>
          <w:tcPr>
            <w:tcW w:w="3610" w:type="dxa"/>
            <w:shd w:val="clear" w:color="auto" w:fill="F4F7FB"/>
            <w:vAlign w:val="top"/>
          </w:tcPr>
          <w:p>
            <w:pPr>
              <w:pStyle w:val="TableText"/>
              <w:jc w:val="left"/>
            </w:pPr>
            <w:r>
              <w:t xml:space="preserve">Sandbox adapters do not cancel a timed-out request</w:t>
            </w:r>
          </w:p>
        </w:tc>
        <w:tc>
          <w:tcPr>
            <w:tcW w:w="3350" w:type="dxa"/>
            <w:shd w:val="clear" w:color="auto" w:fill="F4F7FB"/>
            <w:vAlign w:val="top"/>
          </w:tcPr>
          <w:p>
            <w:pPr>
              <w:pStyle w:val="TableText"/>
              <w:jc w:val="left"/>
            </w:pPr>
            <w:r>
              <w:t xml:space="preserve">TASCO core client cancels on timeout; circuit breakers</w:t>
            </w:r>
          </w:p>
        </w:tc>
        <w:tc>
          <w:tcPr>
            <w:tcW w:w="3181" w:type="dxa"/>
            <w:shd w:val="clear" w:color="auto" w:fill="F4F7FB"/>
            <w:vAlign w:val="top"/>
          </w:tcPr>
          <w:p>
            <w:pPr>
              <w:pStyle w:val="TableText"/>
              <w:jc w:val="left"/>
            </w:pPr>
            <w:r>
              <w:t xml:space="preserve">Cancellation in every real adapter</w:t>
            </w:r>
          </w:p>
        </w:tc>
        <w:tc>
          <w:tcPr>
            <w:tcW w:w="1514" w:type="dxa"/>
            <w:shd w:val="clear" w:color="auto" w:fill="F4F7FB"/>
            <w:vAlign w:val="top"/>
          </w:tcPr>
          <w:p>
            <w:pPr>
              <w:pStyle w:val="TableText"/>
              <w:jc w:val="left"/>
            </w:pPr>
            <w:r>
              <w:t xml:space="preserve">iorta TechNXT</w:t>
            </w:r>
          </w:p>
        </w:tc>
        <w:tc>
          <w:tcPr>
            <w:tcW w:w="1470" w:type="dxa"/>
            <w:shd w:val="clear" w:color="auto" w:fill="F4F7FB"/>
            <w:vAlign w:val="top"/>
          </w:tcPr>
          <w:p>
            <w:pPr>
              <w:pStyle w:val="TableText"/>
              <w:jc w:val="left"/>
            </w:pPr>
            <w:r>
              <w:t xml:space="preserve">With real adapters</w:t>
            </w:r>
          </w:p>
        </w:tc>
      </w:tr>
      <w:tr>
        <w:trPr>
          <w:cantSplit/>
        </w:trPr>
        <w:tc>
          <w:tcPr>
            <w:tcW w:w="834" w:type="dxa"/>
            <w:noWrap/>
            <w:vAlign w:val="top"/>
          </w:tcPr>
          <w:p>
            <w:pPr>
              <w:pStyle w:val="TableText"/>
              <w:jc w:val="left"/>
            </w:pPr>
            <w:r>
              <w:t xml:space="preserve">SR-13</w:t>
            </w:r>
          </w:p>
        </w:tc>
        <w:tc>
          <w:tcPr>
            <w:tcW w:w="3610" w:type="dxa"/>
            <w:vAlign w:val="top"/>
          </w:tcPr>
          <w:p>
            <w:pPr>
              <w:pStyle w:val="TableText"/>
              <w:jc w:val="left"/>
            </w:pPr>
            <w:r>
              <w:t xml:space="preserve">Ingested record values are key-checked but not type-checked; images are not yet signed</w:t>
            </w:r>
          </w:p>
        </w:tc>
        <w:tc>
          <w:tcPr>
            <w:tcW w:w="3350" w:type="dxa"/>
            <w:vAlign w:val="top"/>
          </w:tcPr>
          <w:p>
            <w:pPr>
              <w:pStyle w:val="TableText"/>
              <w:jc w:val="left"/>
            </w:pPr>
            <w:r>
              <w:t xml:space="preserve">Field allow-list; container scanning; SBOM</w:t>
            </w:r>
          </w:p>
        </w:tc>
        <w:tc>
          <w:tcPr>
            <w:tcW w:w="3181" w:type="dxa"/>
            <w:vAlign w:val="top"/>
          </w:tcPr>
          <w:p>
            <w:pPr>
              <w:pStyle w:val="TableText"/>
              <w:jc w:val="left"/>
            </w:pPr>
            <w:r>
              <w:t xml:space="preserve">Typed record schema; image signing with admission control</w:t>
            </w:r>
          </w:p>
        </w:tc>
        <w:tc>
          <w:tcPr>
            <w:tcW w:w="1514" w:type="dxa"/>
            <w:vAlign w:val="top"/>
          </w:tcPr>
          <w:p>
            <w:pPr>
              <w:pStyle w:val="TableText"/>
              <w:jc w:val="left"/>
            </w:pPr>
            <w:r>
              <w:t xml:space="preserve">iorta TechNXT, TASCO IT</w:t>
            </w:r>
          </w:p>
        </w:tc>
        <w:tc>
          <w:tcPr>
            <w:tcW w:w="1470" w:type="dxa"/>
            <w:vAlign w:val="top"/>
          </w:tcPr>
          <w:p>
            <w:pPr>
              <w:pStyle w:val="TableText"/>
              <w:jc w:val="left"/>
            </w:pPr>
            <w:r>
              <w:t xml:space="preserve">Before go-live</w:t>
            </w:r>
          </w:p>
        </w:tc>
      </w:tr>
      <w:tr>
        <w:trPr>
          <w:cantSplit/>
        </w:trPr>
        <w:tc>
          <w:tcPr>
            <w:tcW w:w="834" w:type="dxa"/>
            <w:shd w:val="clear" w:color="auto" w:fill="F4F7FB"/>
            <w:noWrap/>
            <w:vAlign w:val="top"/>
          </w:tcPr>
          <w:p>
            <w:pPr>
              <w:pStyle w:val="TableText"/>
              <w:jc w:val="left"/>
            </w:pPr>
            <w:r>
              <w:t xml:space="preserve">SR-14</w:t>
            </w:r>
          </w:p>
        </w:tc>
        <w:tc>
          <w:tcPr>
            <w:tcW w:w="3610" w:type="dxa"/>
            <w:shd w:val="clear" w:color="auto" w:fill="F4F7FB"/>
            <w:vAlign w:val="top"/>
          </w:tcPr>
          <w:p>
            <w:pPr>
              <w:pStyle w:val="TableText"/>
              <w:jc w:val="left"/>
            </w:pPr>
            <w:r>
              <w:t xml:space="preserve">VETC events use a staff credential</w:t>
            </w:r>
          </w:p>
        </w:tc>
        <w:tc>
          <w:tcPr>
            <w:tcW w:w="3350" w:type="dxa"/>
            <w:shd w:val="clear" w:color="auto" w:fill="F4F7FB"/>
            <w:vAlign w:val="top"/>
          </w:tcPr>
          <w:p>
            <w:pPr>
              <w:pStyle w:val="TableText"/>
              <w:jc w:val="left"/>
            </w:pPr>
            <w:r>
              <w:t xml:space="preserve">Permission check; contact policy on every send</w:t>
            </w:r>
          </w:p>
        </w:tc>
        <w:tc>
          <w:tcPr>
            <w:tcW w:w="3181" w:type="dxa"/>
            <w:shd w:val="clear" w:color="auto" w:fill="F4F7FB"/>
            <w:vAlign w:val="top"/>
          </w:tcPr>
          <w:p>
            <w:pPr>
              <w:pStyle w:val="TableText"/>
              <w:jc w:val="left"/>
            </w:pPr>
            <w:r>
              <w:t xml:space="preserve">Machine identity and signed webhook or topic consumer</w:t>
            </w:r>
          </w:p>
        </w:tc>
        <w:tc>
          <w:tcPr>
            <w:tcW w:w="1514" w:type="dxa"/>
            <w:shd w:val="clear" w:color="auto" w:fill="F4F7FB"/>
            <w:vAlign w:val="top"/>
          </w:tcPr>
          <w:p>
            <w:pPr>
              <w:pStyle w:val="TableText"/>
              <w:jc w:val="left"/>
            </w:pPr>
            <w:r>
              <w:t xml:space="preserve">iorta TechNXT, VETC</w:t>
            </w:r>
          </w:p>
        </w:tc>
        <w:tc>
          <w:tcPr>
            <w:tcW w:w="1470" w:type="dxa"/>
            <w:shd w:val="clear" w:color="auto" w:fill="F4F7FB"/>
            <w:vAlign w:val="top"/>
          </w:tcPr>
          <w:p>
            <w:pPr>
              <w:pStyle w:val="TableText"/>
              <w:jc w:val="left"/>
            </w:pPr>
            <w:r>
              <w:t xml:space="preserve">Before go-live</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BodyText"/>
        <w:spacing w:before="160"/>
      </w:pPr>
      <w:r>
        <w:t xml:space="preserve">The automated-call kill switch is tracked in TGP-ARC-06 AI Governance.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Penetration test readiness</w:t>
      </w:r>
      <w:bookmarkEnd w:id="32"/>
    </w:p>
    <w:p>
      <w:pPr>
        <w:pStyle w:val="FirstParagraph"/>
      </w:pPr>
      <w:r>
        <w:t xml:space="preserve">The independent penetration test runs in SIT before go-live. Preparation covers:</w:t>
      </w:r>
    </w:p>
    <w:p>
      <w:pPr>
        <w:pStyle w:val="Compact"/>
        <w:numPr>
          <w:ilvl w:val="0"/>
          <w:numId w:val="1003"/>
        </w:numPr>
      </w:pPr>
      <w:r>
        <w:t xml:space="preserve">SIT configured as production: production mode, demo mode off, real TLS, behind the production ingress and WAF, with a WAF bypass for the testers’ addresses;</w:t>
      </w:r>
    </w:p>
    <w:p>
      <w:pPr>
        <w:pStyle w:val="Compact"/>
        <w:numPr>
          <w:ilvl w:val="0"/>
          <w:numId w:val="1003"/>
        </w:numPr>
      </w:pPr>
      <w:r>
        <w:t xml:space="preserve">test accounts for every role, MFA-enrolled where required, two partners (active and suspended) with keys, and customer links for three profiles in different regions;</w:t>
      </w:r>
    </w:p>
    <w:p>
      <w:pPr>
        <w:pStyle w:val="Compact"/>
        <w:numPr>
          <w:ilvl w:val="0"/>
          <w:numId w:val="1003"/>
        </w:numPr>
      </w:pPr>
      <w:r>
        <w:t xml:space="preserve">the OpenAPI document and the permission tables in section 6;</w:t>
      </w:r>
    </w:p>
    <w:p>
      <w:pPr>
        <w:pStyle w:val="Compact"/>
        <w:numPr>
          <w:ilvl w:val="0"/>
          <w:numId w:val="1003"/>
        </w:numPr>
      </w:pPr>
      <w:r>
        <w:t xml:space="preserve">a synthetic dataset of at least 50,000 profiles with known markers to detect leakage;</w:t>
      </w:r>
    </w:p>
    <w:p>
      <w:pPr>
        <w:pStyle w:val="Compact"/>
        <w:numPr>
          <w:ilvl w:val="0"/>
          <w:numId w:val="1003"/>
        </w:numPr>
      </w:pPr>
      <w:r>
        <w:t xml:space="preserve">sandbox gateways with fault injection for compensation and idempotency tests;</w:t>
      </w:r>
    </w:p>
    <w:p>
      <w:pPr>
        <w:pStyle w:val="Compact"/>
        <w:numPr>
          <w:ilvl w:val="0"/>
          <w:numId w:val="1003"/>
        </w:numPr>
      </w:pPr>
      <w:r>
        <w:t xml:space="preserve">focus areas: authentication and MFA, record-level access, purchase concurrency and idempotency, partner scopes and data exposure, rule injection and maker-checker bypass, link forgery and expiry, audit-chain tampering, front-end scripting, completeness of data subject requests;</w:t>
      </w:r>
    </w:p>
    <w:p>
      <w:pPr>
        <w:pStyle w:val="Compact"/>
        <w:numPr>
          <w:ilvl w:val="0"/>
          <w:numId w:val="1003"/>
        </w:numPr>
      </w:pPr>
      <w:r>
        <w:t xml:space="preserve">out of scope: provider systems (VETC wallet, TASCO core, Zalo, telecom operators);</w:t>
      </w:r>
    </w:p>
    <w:p>
      <w:pPr>
        <w:pStyle w:val="Compact"/>
        <w:numPr>
          <w:ilvl w:val="0"/>
          <w:numId w:val="1003"/>
        </w:numPr>
      </w:pPr>
      <w:r>
        <w:t xml:space="preserve">the security operations team informed of the test window, with tester actions visible in the audit trail and logs;</w:t>
      </w:r>
    </w:p>
    <w:p>
      <w:pPr>
        <w:pStyle w:val="Compact"/>
        <w:numPr>
          <w:ilvl w:val="0"/>
          <w:numId w:val="1003"/>
        </w:numPr>
      </w:pPr>
      <w:r>
        <w:t xml:space="preserve">this document’s residual risk table shared in advance, so test time goes to unknowns.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3" w:name="_Toc300000029"/>
      <w:r>
        <w:rPr>
          <w:rStyle w:val="BookTitle"/>
          <w:bCs w:val="0"/>
          <w:i w:val="0"/>
          <w:iCs w:val="0"/>
          <w:spacing w:val="0"/>
        </w:rPr>
        <w:t xml:space="preserve">Security incident response</w:t>
      </w:r>
      <w:bookmarkEnd w:id="33"/>
    </w:p>
    <w:p>
      <w:pPr>
        <w:pStyle w:val="FirstParagraph"/>
      </w:pPr>
      <w:r>
        <w:t xml:space="preserve">The response follows a standard sequence, adapted to the platform’s controls.</w:t>
      </w:r>
    </w:p>
    <w:p xmlns:a="http://schemas.openxmlformats.org/drawingml/2006/main" xmlns:pic="http://schemas.openxmlformats.org/drawingml/2006/picture">
      <w:pPr>
        <w:pStyle w:val="Figure"/>
      </w:pPr>
      <w:r>
        <w:drawing>
          <wp:inline>
            <wp:extent cx="5727700" cy="2051557"/>
            <wp:effectExtent b="0" l="0" r="0" t="0"/>
            <wp:docPr descr="Security incident response steps" title="" id="5003" name="Picture"/>
            <a:graphic>
              <a:graphicData uri="http://schemas.openxmlformats.org/drawingml/2006/picture">
                <pic:pic>
                  <pic:nvPicPr>
                    <pic:cNvPr descr="/tmp/claude-0/-home-user-TASCO/19e5534d-12b5-5956-9b60-3e77efde0f49/scratchpad/gen/.cache/mermaid/254a0ba5b2d06c68.png" id="51" name="Picture"/>
                    <pic:cNvPicPr>
                      <a:picLocks noChangeArrowheads="1" noChangeAspect="1"/>
                    </pic:cNvPicPr>
                  </pic:nvPicPr>
                  <pic:blipFill>
                    <a:blip r:embed="rIdG2"/>
                    <a:stretch>
                      <a:fillRect/>
                    </a:stretch>
                  </pic:blipFill>
                  <pic:spPr bwMode="auto">
                    <a:xfrm>
                      <a:off x="0" y="0"/>
                      <a:ext cx="5727700" cy="2051557"/>
                    </a:xfrm>
                    <a:prstGeom prst="rect">
                      <a:avLst/>
                    </a:prstGeom>
                    <a:noFill/>
                    <a:ln w="9525">
                      <a:noFill/>
                      <a:headEnd/>
                      <a:tailEnd/>
                    </a:ln>
                  </pic:spPr>
                </pic:pic>
              </a:graphicData>
            </a:graphic>
          </wp:inline>
        </w:drawing>
      </w:r>
    </w:p>
    <w:p>
      <w:pPr>
        <w:pStyle w:val="Caption"/>
      </w:pPr>
      <w:r>
        <w:t xml:space="preserve">Figure 2 – Security incident response steps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27"/>
        <w:gridCol w:w="7200"/>
      </w:tblGrid>
      <w:tr>
        <w:trPr>
          <w:cantSplit/>
          <w:tblHeader/>
        </w:trPr>
        <w:tc>
          <w:tcPr>
            <w:tcW w:w="1827" w:type="dxa"/>
            <w:shd w:val="clear" w:color="auto" w:fill="0F4761"/>
            <w:vAlign w:val="center"/>
          </w:tcPr>
          <w:p>
            <w:pPr>
              <w:pStyle w:val="TableHeading"/>
              <w:jc w:val="left"/>
            </w:pPr>
            <w:r>
              <w:rPr>
                <w:color w:val="FFFFFF"/>
              </w:rPr>
              <w:t xml:space="preserve">Step</w:t>
            </w:r>
          </w:p>
        </w:tc>
        <w:tc>
          <w:tcPr>
            <w:tcW w:w="7200" w:type="dxa"/>
            <w:shd w:val="clear" w:color="auto" w:fill="0F4761"/>
            <w:vAlign w:val="center"/>
          </w:tcPr>
          <w:p>
            <w:pPr>
              <w:pStyle w:val="TableHeading"/>
              <w:jc w:val="left"/>
            </w:pPr>
            <w:r>
              <w:rPr>
                <w:color w:val="FFFFFF"/>
              </w:rPr>
              <w:t xml:space="preserve">Platform actions</w:t>
            </w:r>
          </w:p>
        </w:tc>
      </w:tr>
      <w:tr>
        <w:trPr>
          <w:cantSplit/>
        </w:trPr>
        <w:tc>
          <w:tcPr>
            <w:tcW w:w="1827" w:type="dxa"/>
            <w:vAlign w:val="top"/>
          </w:tcPr>
          <w:p>
            <w:pPr>
              <w:pStyle w:val="TableText"/>
              <w:jc w:val="left"/>
            </w:pPr>
            <w:r>
              <w:t xml:space="preserve">Detect</w:t>
            </w:r>
          </w:p>
        </w:tc>
        <w:tc>
          <w:tcPr>
            <w:tcW w:w="7200" w:type="dxa"/>
            <w:vAlign w:val="top"/>
          </w:tcPr>
          <w:p>
            <w:pPr>
              <w:pStyle w:val="TableText"/>
              <w:jc w:val="left"/>
            </w:pPr>
            <w:r>
              <w:t xml:space="preserve">Security alerts, audit anomalies, reports from partners or customers</w:t>
            </w:r>
          </w:p>
        </w:tc>
      </w:tr>
      <w:tr>
        <w:trPr>
          <w:cantSplit/>
        </w:trPr>
        <w:tc>
          <w:tcPr>
            <w:tcW w:w="1827" w:type="dxa"/>
            <w:shd w:val="clear" w:color="auto" w:fill="F4F7FB"/>
            <w:vAlign w:val="top"/>
          </w:tcPr>
          <w:p>
            <w:pPr>
              <w:pStyle w:val="TableText"/>
              <w:jc w:val="left"/>
            </w:pPr>
            <w:r>
              <w:t xml:space="preserve">Contain</w:t>
            </w:r>
          </w:p>
        </w:tc>
        <w:tc>
          <w:tcPr>
            <w:tcW w:w="7200" w:type="dxa"/>
            <w:shd w:val="clear" w:color="auto" w:fill="F4F7FB"/>
            <w:vAlign w:val="top"/>
          </w:tcPr>
          <w:p>
            <w:pPr>
              <w:pStyle w:val="TableText"/>
              <w:jc w:val="left"/>
            </w:pPr>
            <w:r>
              <w:t xml:space="preserve">Revoke partner keys or suspend a partner; disable a user (effective on the next request); force MFA re-enrolment; suspend the journeys job; rotate the token secret to end all sessions and links; roll back a rule set</w:t>
            </w:r>
          </w:p>
        </w:tc>
      </w:tr>
      <w:tr>
        <w:trPr>
          <w:cantSplit/>
        </w:trPr>
        <w:tc>
          <w:tcPr>
            <w:tcW w:w="1827" w:type="dxa"/>
            <w:vAlign w:val="top"/>
          </w:tcPr>
          <w:p>
            <w:pPr>
              <w:pStyle w:val="TableText"/>
              <w:jc w:val="left"/>
            </w:pPr>
            <w:r>
              <w:t xml:space="preserve">Investigate</w:t>
            </w:r>
          </w:p>
        </w:tc>
        <w:tc>
          <w:tcPr>
            <w:tcW w:w="7200" w:type="dxa"/>
            <w:vAlign w:val="top"/>
          </w:tcPr>
          <w:p>
            <w:pPr>
              <w:pStyle w:val="TableText"/>
              <w:jc w:val="left"/>
            </w:pPr>
            <w:r>
              <w:t xml:space="preserve">Audit search by actor and action; audit-chain verification; request-id correlation across logs; messages and call sessions for customer impact</w:t>
            </w:r>
          </w:p>
        </w:tc>
      </w:tr>
      <w:tr>
        <w:trPr>
          <w:cantSplit/>
        </w:trPr>
        <w:tc>
          <w:tcPr>
            <w:tcW w:w="1827" w:type="dxa"/>
            <w:shd w:val="clear" w:color="auto" w:fill="F4F7FB"/>
            <w:vAlign w:val="top"/>
          </w:tcPr>
          <w:p>
            <w:pPr>
              <w:pStyle w:val="TableText"/>
              <w:jc w:val="left"/>
            </w:pPr>
            <w:r>
              <w:t xml:space="preserve">Recover</w:t>
            </w:r>
          </w:p>
        </w:tc>
        <w:tc>
          <w:tcPr>
            <w:tcW w:w="7200" w:type="dxa"/>
            <w:shd w:val="clear" w:color="auto" w:fill="F4F7FB"/>
            <w:vAlign w:val="top"/>
          </w:tcPr>
          <w:p>
            <w:pPr>
              <w:pStyle w:val="TableText"/>
              <w:jc w:val="left"/>
            </w:pPr>
            <w:r>
              <w:t xml:space="preserve">Point-in-time restore if needed; verify the audit chain; reconcile orders</w:t>
            </w:r>
          </w:p>
        </w:tc>
      </w:tr>
      <w:tr>
        <w:trPr>
          <w:cantSplit/>
        </w:trPr>
        <w:tc>
          <w:tcPr>
            <w:tcW w:w="1827" w:type="dxa"/>
            <w:vAlign w:val="top"/>
          </w:tcPr>
          <w:p>
            <w:pPr>
              <w:pStyle w:val="TableText"/>
              <w:jc w:val="left"/>
            </w:pPr>
            <w:r>
              <w:t xml:space="preserve">Personal data breach</w:t>
            </w:r>
          </w:p>
        </w:tc>
        <w:tc>
          <w:tcPr>
            <w:tcW w:w="7200" w:type="dxa"/>
            <w:vAlign w:val="top"/>
          </w:tcPr>
          <w:p>
            <w:pPr>
              <w:pStyle w:val="TableText"/>
              <w:jc w:val="left"/>
            </w:pPr>
            <w:r>
              <w:t xml:space="preserve">Scope from the audit trail (profile views with personal data, data subject actions). Notify the competent authority within 72 hours of discovery and affected individuals where required, under Decree 13/2023/ND-CP and the 2025 law’s implementing rules (deadlines and channel to be confirmed by TASCO legal).</w:t>
            </w:r>
          </w:p>
        </w:tc>
      </w:tr>
      <w:tr>
        <w:trPr>
          <w:cantSplit/>
        </w:trPr>
        <w:tc>
          <w:tcPr>
            <w:tcW w:w="1827" w:type="dxa"/>
            <w:shd w:val="clear" w:color="auto" w:fill="F4F7FB"/>
            <w:vAlign w:val="top"/>
          </w:tcPr>
          <w:p>
            <w:pPr>
              <w:pStyle w:val="TableText"/>
              <w:jc w:val="left"/>
            </w:pPr>
            <w:r>
              <w:t xml:space="preserve">Evidence</w:t>
            </w:r>
          </w:p>
        </w:tc>
        <w:tc>
          <w:tcPr>
            <w:tcW w:w="7200" w:type="dxa"/>
            <w:shd w:val="clear" w:color="auto" w:fill="F4F7FB"/>
            <w:vAlign w:val="top"/>
          </w:tcPr>
          <w:p>
            <w:pPr>
              <w:pStyle w:val="TableText"/>
              <w:jc w:val="left"/>
            </w:pPr>
            <w:r>
              <w:t xml:space="preserve">Preserve the audit-chain head hash, logs in write-once storage, a database snapshot and cluster events, with chain of custody</w:t>
            </w:r>
          </w:p>
        </w:tc>
      </w:tr>
      <w:tr>
        <w:trPr>
          <w:cantSplit/>
        </w:trPr>
        <w:tc>
          <w:tcPr>
            <w:tcW w:w="1827" w:type="dxa"/>
            <w:vAlign w:val="top"/>
          </w:tcPr>
          <w:p>
            <w:pPr>
              <w:pStyle w:val="TableText"/>
              <w:jc w:val="left"/>
            </w:pPr>
            <w:r>
              <w:t xml:space="preserve">Communication</w:t>
            </w:r>
          </w:p>
        </w:tc>
        <w:tc>
          <w:tcPr>
            <w:tcW w:w="7200" w:type="dxa"/>
            <w:vAlign w:val="top"/>
          </w:tcPr>
          <w:p>
            <w:pPr>
              <w:pStyle w:val="TableText"/>
              <w:jc w:val="left"/>
            </w:pPr>
            <w:r>
              <w:t xml:space="preserve">Pre-approved customer statement that VETC never asks for one-time passwords or payment by phone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Appendix</w:t>
      </w:r>
      <w:bookmarkEnd w:id="34"/>
    </w:p>
    <w:p>
      <w:pPr>
        <w:pStyle w:val="Heading2"/>
      </w:pPr>
      <w:bookmarkStart w:id="35" w:name="_Toc300000031"/>
      <w:r>
        <w:t xml:space="preserve">Regulatory references</w:t>
      </w:r>
      <w:bookmarkEnd w:id="35"/>
    </w:p>
    <w:p>
      <w:pPr>
        <w:pStyle w:val="FirstParagraph"/>
      </w:pPr>
      <w:r>
        <w:t xml:space="preserve">All references are to be confirmed by TASCO legal before production.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75"/>
        <w:gridCol w:w="5952"/>
      </w:tblGrid>
      <w:tr>
        <w:trPr>
          <w:cantSplit/>
          <w:tblHeader/>
        </w:trPr>
        <w:tc>
          <w:tcPr>
            <w:tcW w:w="3075" w:type="dxa"/>
            <w:shd w:val="clear" w:color="auto" w:fill="0F4761"/>
            <w:vAlign w:val="center"/>
          </w:tcPr>
          <w:p>
            <w:pPr>
              <w:pStyle w:val="TableHeading"/>
              <w:jc w:val="left"/>
            </w:pPr>
            <w:r>
              <w:rPr>
                <w:color w:val="FFFFFF"/>
              </w:rPr>
              <w:t xml:space="preserve">Topic</w:t>
            </w:r>
          </w:p>
        </w:tc>
        <w:tc>
          <w:tcPr>
            <w:tcW w:w="5952" w:type="dxa"/>
            <w:shd w:val="clear" w:color="auto" w:fill="0F4761"/>
            <w:vAlign w:val="center"/>
          </w:tcPr>
          <w:p>
            <w:pPr>
              <w:pStyle w:val="TableHeading"/>
              <w:jc w:val="left"/>
            </w:pPr>
            <w:r>
              <w:rPr>
                <w:color w:val="FFFFFF"/>
              </w:rPr>
              <w:t xml:space="preserve">Reference</w:t>
            </w:r>
          </w:p>
        </w:tc>
      </w:tr>
      <w:tr>
        <w:trPr>
          <w:cantSplit/>
        </w:trPr>
        <w:tc>
          <w:tcPr>
            <w:tcW w:w="3075" w:type="dxa"/>
            <w:vAlign w:val="top"/>
          </w:tcPr>
          <w:p>
            <w:pPr>
              <w:pStyle w:val="TableText"/>
              <w:jc w:val="left"/>
            </w:pPr>
            <w:r>
              <w:t xml:space="preserve">Personal data protection</w:t>
            </w:r>
          </w:p>
        </w:tc>
        <w:tc>
          <w:tcPr>
            <w:tcW w:w="5952" w:type="dxa"/>
            <w:vAlign w:val="top"/>
          </w:tcPr>
          <w:p>
            <w:pPr>
              <w:pStyle w:val="TableText"/>
              <w:jc w:val="left"/>
            </w:pPr>
            <w:r>
              <w:t xml:space="preserve">Decree 13/2023/ND-CP; Law on Personal Data Protection 2025 and its implementing decree</w:t>
            </w:r>
          </w:p>
        </w:tc>
      </w:tr>
      <w:tr>
        <w:trPr>
          <w:cantSplit/>
        </w:trPr>
        <w:tc>
          <w:tcPr>
            <w:tcW w:w="3075" w:type="dxa"/>
            <w:shd w:val="clear" w:color="auto" w:fill="F4F7FB"/>
            <w:vAlign w:val="top"/>
          </w:tcPr>
          <w:p>
            <w:pPr>
              <w:pStyle w:val="TableText"/>
              <w:jc w:val="left"/>
            </w:pPr>
            <w:r>
              <w:t xml:space="preserve">Data residency</w:t>
            </w:r>
          </w:p>
        </w:tc>
        <w:tc>
          <w:tcPr>
            <w:tcW w:w="5952" w:type="dxa"/>
            <w:shd w:val="clear" w:color="auto" w:fill="F4F7FB"/>
            <w:vAlign w:val="top"/>
          </w:tcPr>
          <w:p>
            <w:pPr>
              <w:pStyle w:val="TableText"/>
              <w:jc w:val="left"/>
            </w:pPr>
            <w:r>
              <w:t xml:space="preserve">Cybersecurity Law 2018; Decree 53/2022/ND-CP</w:t>
            </w:r>
          </w:p>
        </w:tc>
      </w:tr>
      <w:tr>
        <w:trPr>
          <w:cantSplit/>
        </w:trPr>
        <w:tc>
          <w:tcPr>
            <w:tcW w:w="3075" w:type="dxa"/>
            <w:vAlign w:val="top"/>
          </w:tcPr>
          <w:p>
            <w:pPr>
              <w:pStyle w:val="TableText"/>
              <w:jc w:val="left"/>
            </w:pPr>
            <w:r>
              <w:t xml:space="preserve">Insurance business and compulsory cover</w:t>
            </w:r>
          </w:p>
        </w:tc>
        <w:tc>
          <w:tcPr>
            <w:tcW w:w="5952" w:type="dxa"/>
            <w:vAlign w:val="top"/>
          </w:tcPr>
          <w:p>
            <w:pPr>
              <w:pStyle w:val="TableText"/>
              <w:jc w:val="left"/>
            </w:pPr>
            <w:r>
              <w:t xml:space="preserve">Law on Insurance Business 08/2022/QH15; Decree 67/2023/ND-CP</w:t>
            </w:r>
          </w:p>
        </w:tc>
      </w:tr>
      <w:tr>
        <w:trPr>
          <w:cantSplit/>
        </w:trPr>
        <w:tc>
          <w:tcPr>
            <w:tcW w:w="3075" w:type="dxa"/>
            <w:shd w:val="clear" w:color="auto" w:fill="F4F7FB"/>
            <w:vAlign w:val="top"/>
          </w:tcPr>
          <w:p>
            <w:pPr>
              <w:pStyle w:val="TableText"/>
              <w:jc w:val="left"/>
            </w:pPr>
            <w:r>
              <w:t xml:space="preserve">Marketing messages and calls</w:t>
            </w:r>
          </w:p>
        </w:tc>
        <w:tc>
          <w:tcPr>
            <w:tcW w:w="5952" w:type="dxa"/>
            <w:shd w:val="clear" w:color="auto" w:fill="F4F7FB"/>
            <w:vAlign w:val="top"/>
          </w:tcPr>
          <w:p>
            <w:pPr>
              <w:pStyle w:val="TableText"/>
              <w:jc w:val="left"/>
            </w:pPr>
            <w:r>
              <w:t xml:space="preserve">Decree 91/2020/ND-CP</w:t>
            </w:r>
          </w:p>
        </w:tc>
      </w:tr>
      <w:tr>
        <w:trPr>
          <w:cantSplit/>
        </w:trPr>
        <w:tc>
          <w:tcPr>
            <w:tcW w:w="3075" w:type="dxa"/>
            <w:vAlign w:val="top"/>
          </w:tcPr>
          <w:p>
            <w:pPr>
              <w:pStyle w:val="TableText"/>
              <w:jc w:val="left"/>
            </w:pPr>
            <w:r>
              <w:t xml:space="preserve">Consumer protection</w:t>
            </w:r>
          </w:p>
        </w:tc>
        <w:tc>
          <w:tcPr>
            <w:tcW w:w="5952" w:type="dxa"/>
            <w:vAlign w:val="top"/>
          </w:tcPr>
          <w:p>
            <w:pPr>
              <w:pStyle w:val="TableText"/>
              <w:jc w:val="left"/>
            </w:pPr>
            <w:r>
              <w:t xml:space="preserve">Law on Protection of Consumers’ Rights 2023</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6" w:name="_Toc300000032"/>
      <w:r>
        <w:rPr>
          <w:rStyle w:val="BookTitle"/>
          <w:bCs w:val="0"/>
          <w:i w:val="0"/>
          <w:iCs w:val="0"/>
          <w:spacing w:val="0"/>
        </w:rPr>
        <w:t xml:space="preserve">Sign-Off</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527"/>
        <w:gridCol w:w="2556"/>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527"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556"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5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Personal data breach notification deadlines and channel</w:t>
            </w:r>
          </w:p>
        </w:tc>
        <w:tc>
          <w:tcPr>
            <w:tcW w:w="25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5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Applicable PDP obligations (Decree 13/2023/ND-CP and the Law on Personal Data Protection 2025)</w:t>
            </w:r>
          </w:p>
        </w:tc>
        <w:tc>
          <w:tcPr>
            <w:tcW w:w="25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5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Independent penetration test before go-live</w:t>
            </w:r>
          </w:p>
        </w:tc>
        <w:tc>
          <w:tcPr>
            <w:tcW w:w="25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Information Security</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5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Database role separation and audit-chain anchoring in production</w:t>
            </w:r>
          </w:p>
        </w:tc>
        <w:tc>
          <w:tcPr>
            <w:tcW w:w="25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Infrastructure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54"/>
        <w:gridCol w:w="1659"/>
        <w:gridCol w:w="2599"/>
        <w:gridCol w:w="3715"/>
      </w:tblGrid>
      <w:tr w:rsidR="002B183A" w14:paraId="731A77C7" w14:textId="77777777" w:rsidTr="002923F3">
        <w:trPr>
          <w:cantSplit/>
          <w:trHeight w:val="440"/>
          <w:tblHeader/>
        </w:trPr>
        <w:tc>
          <w:tcPr>
            <w:tcW w:w="1054"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59"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599"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71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5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5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9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71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5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5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9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71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Security</w:t>
            </w:r>
          </w:p>
        </w:tc>
      </w:tr>
      <w:tr w:rsidR="002B183A" w:rsidRPr="00BB346A" w14:paraId="2AD1806B" w14:textId="77777777" w:rsidTr="002923F3">
        <w:trPr>
          <w:cantSplit/>
          <w:trHeight w:val="760"/>
        </w:trPr>
        <w:tc>
          <w:tcPr>
            <w:tcW w:w="105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5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9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71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Solution Architecture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image" Target="media/body_00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Architecture</dc:title>
  <dc:subject>TGP-ARC-04</dc:subject>
  <dc:creator>iorta TechNXT</dc:creator>
  <cp:keywords>TGP-ARC-04; TASCO Insurance; iorta TechNXT</cp:keywords>
  <dc:description>TASCO Motor Insurance Growth Platform</dc:description>
  <cp:lastModifiedBy>iorta TechNXT</cp:lastModifiedBy>
  <cp:revision>1</cp:revision>
  <dcterms:created xsi:type="dcterms:W3CDTF">2026-10-08T02:23:06Z</dcterms:created>
  <dcterms:modified xsi:type="dcterms:W3CDTF">2026-10-08T02:23:06Z</dcterms:modified>
</cp:coreProperties>
</file>