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2347965</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TGP-ARC-05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829056"/>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29056"/>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Deployment and Infrastructure 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07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5</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5</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5</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5</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5</w:t>
        </w:r>
        <w:r>
          <w:rPr>
            <w:noProof/>
            <w:webHidden/>
          </w:rPr>
          <w:fldChar w:fldCharType="end"/>
        </w:r>
      </w:hyperlink>
    </w:p>
    <w:p>
      <w:pPr>
        <w:pStyle w:val="TOC1"/>
      </w:pPr>
      <w:hyperlink w:anchor="_Toc300000008" w:history="1">
        <w:r>
          <w:rPr>
            <w:noProof/>
          </w:rPr>
          <w:t>4.</w:t>
        </w:r>
        <w:r>
          <w:rPr>
            <w:noProof/>
          </w:rPr>
          <w:tab/>
        </w:r>
        <w:r>
          <w:rPr>
            <w:noProof/>
          </w:rPr>
          <w:t xml:space="preserve">Deployment principles</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5</w:t>
        </w:r>
        <w:r>
          <w:rPr>
            <w:noProof/>
            <w:webHidden/>
          </w:rPr>
          <w:fldChar w:fldCharType="end"/>
        </w:r>
      </w:hyperlink>
    </w:p>
    <w:p>
      <w:pPr>
        <w:pStyle w:val="TOC1"/>
      </w:pPr>
      <w:hyperlink w:anchor="_Toc300000009" w:history="1">
        <w:r>
          <w:rPr>
            <w:noProof/>
          </w:rPr>
          <w:t>5.</w:t>
        </w:r>
        <w:r>
          <w:rPr>
            <w:noProof/>
          </w:rPr>
          <w:tab/>
        </w:r>
        <w:r>
          <w:rPr>
            <w:noProof/>
          </w:rPr>
          <w:t xml:space="preserve">Hosting in Vietnam</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6</w:t>
        </w:r>
        <w:r>
          <w:rPr>
            <w:noProof/>
            <w:webHidden/>
          </w:rPr>
          <w:fldChar w:fldCharType="end"/>
        </w:r>
      </w:hyperlink>
    </w:p>
    <w:p>
      <w:pPr>
        <w:pStyle w:val="TOC1"/>
      </w:pPr>
      <w:hyperlink w:anchor="_Toc300000010" w:history="1">
        <w:r>
          <w:rPr>
            <w:noProof/>
          </w:rPr>
          <w:t>6.</w:t>
        </w:r>
        <w:r>
          <w:rPr>
            <w:noProof/>
          </w:rPr>
          <w:tab/>
        </w:r>
        <w:r>
          <w:rPr>
            <w:noProof/>
          </w:rPr>
          <w:t xml:space="preserve">Environments</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7</w:t>
        </w:r>
        <w:r>
          <w:rPr>
            <w:noProof/>
            <w:webHidden/>
          </w:rPr>
          <w:fldChar w:fldCharType="end"/>
        </w:r>
      </w:hyperlink>
    </w:p>
    <w:p>
      <w:pPr>
        <w:pStyle w:val="TOC1"/>
      </w:pPr>
      <w:hyperlink w:anchor="_Toc300000011" w:history="1">
        <w:r>
          <w:rPr>
            <w:noProof/>
          </w:rPr>
          <w:t>7.</w:t>
        </w:r>
        <w:r>
          <w:rPr>
            <w:noProof/>
          </w:rPr>
          <w:tab/>
        </w:r>
        <w:r>
          <w:rPr>
            <w:noProof/>
          </w:rPr>
          <w:t xml:space="preserve">Production topology</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8</w:t>
        </w:r>
        <w:r>
          <w:rPr>
            <w:noProof/>
            <w:webHidden/>
          </w:rPr>
          <w:fldChar w:fldCharType="end"/>
        </w:r>
      </w:hyperlink>
    </w:p>
    <w:p>
      <w:pPr>
        <w:pStyle w:val="TOC2"/>
      </w:pPr>
      <w:hyperlink w:anchor="_Toc300000012" w:history="1">
        <w:r>
          <w:rPr>
            <w:noProof/>
          </w:rPr>
          <w:t>7.1.</w:t>
        </w:r>
        <w:r>
          <w:rPr>
            <w:noProof/>
          </w:rPr>
          <w:tab/>
        </w:r>
        <w:r>
          <w:rPr>
            <w:noProof/>
          </w:rPr>
          <w:t xml:space="preserve">API deployment</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9</w:t>
        </w:r>
        <w:r>
          <w:rPr>
            <w:noProof/>
            <w:webHidden/>
          </w:rPr>
          <w:fldChar w:fldCharType="end"/>
        </w:r>
      </w:hyperlink>
    </w:p>
    <w:p>
      <w:pPr>
        <w:pStyle w:val="TOC2"/>
      </w:pPr>
      <w:hyperlink w:anchor="_Toc300000013" w:history="1">
        <w:r>
          <w:rPr>
            <w:noProof/>
          </w:rPr>
          <w:t>7.2.</w:t>
        </w:r>
        <w:r>
          <w:rPr>
            <w:noProof/>
          </w:rPr>
          <w:tab/>
        </w:r>
        <w:r>
          <w:rPr>
            <w:noProof/>
          </w:rPr>
          <w:t xml:space="preserve">Scheduled jobs</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9</w:t>
        </w:r>
        <w:r>
          <w:rPr>
            <w:noProof/>
            <w:webHidden/>
          </w:rPr>
          <w:fldChar w:fldCharType="end"/>
        </w:r>
      </w:hyperlink>
    </w:p>
    <w:p>
      <w:pPr>
        <w:pStyle w:val="TOC1"/>
      </w:pPr>
      <w:hyperlink w:anchor="_Toc300000014" w:history="1">
        <w:r>
          <w:rPr>
            <w:noProof/>
          </w:rPr>
          <w:t>8.</w:t>
        </w:r>
        <w:r>
          <w:rPr>
            <w:noProof/>
          </w:rPr>
          <w:tab/>
        </w:r>
        <w:r>
          <w:rPr>
            <w:noProof/>
          </w:rPr>
          <w:t xml:space="preserve">Network and edge</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10</w:t>
        </w:r>
        <w:r>
          <w:rPr>
            <w:noProof/>
            <w:webHidden/>
          </w:rPr>
          <w:fldChar w:fldCharType="end"/>
        </w:r>
      </w:hyperlink>
    </w:p>
    <w:p>
      <w:pPr>
        <w:pStyle w:val="TOC2"/>
      </w:pPr>
      <w:hyperlink w:anchor="_Toc300000015" w:history="1">
        <w:r>
          <w:rPr>
            <w:noProof/>
          </w:rPr>
          <w:t>8.1.</w:t>
        </w:r>
        <w:r>
          <w:rPr>
            <w:noProof/>
          </w:rPr>
          <w:tab/>
        </w:r>
        <w:r>
          <w:rPr>
            <w:noProof/>
          </w:rPr>
          <w:t xml:space="preserve">Network controls</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10</w:t>
        </w:r>
        <w:r>
          <w:rPr>
            <w:noProof/>
            <w:webHidden/>
          </w:rPr>
          <w:fldChar w:fldCharType="end"/>
        </w:r>
      </w:hyperlink>
    </w:p>
    <w:p>
      <w:pPr>
        <w:pStyle w:val="TOC2"/>
      </w:pPr>
      <w:hyperlink w:anchor="_Toc300000016" w:history="1">
        <w:r>
          <w:rPr>
            <w:noProof/>
          </w:rPr>
          <w:t>8.2.</w:t>
        </w:r>
        <w:r>
          <w:rPr>
            <w:noProof/>
          </w:rPr>
          <w:tab/>
        </w:r>
        <w:r>
          <w:rPr>
            <w:noProof/>
          </w:rPr>
          <w:t xml:space="preserve">Ingress and WAF</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10</w:t>
        </w:r>
        <w:r>
          <w:rPr>
            <w:noProof/>
            <w:webHidden/>
          </w:rPr>
          <w:fldChar w:fldCharType="end"/>
        </w:r>
      </w:hyperlink>
    </w:p>
    <w:p>
      <w:pPr>
        <w:pStyle w:val="TOC1"/>
      </w:pPr>
      <w:hyperlink w:anchor="_Toc300000017" w:history="1">
        <w:r>
          <w:rPr>
            <w:noProof/>
          </w:rPr>
          <w:t>9.</w:t>
        </w:r>
        <w:r>
          <w:rPr>
            <w:noProof/>
          </w:rPr>
          <w:tab/>
        </w:r>
        <w:r>
          <w:rPr>
            <w:noProof/>
          </w:rPr>
          <w:t xml:space="preserve">PostgreSQL</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10</w:t>
        </w:r>
        <w:r>
          <w:rPr>
            <w:noProof/>
            <w:webHidden/>
          </w:rPr>
          <w:fldChar w:fldCharType="end"/>
        </w:r>
      </w:hyperlink>
    </w:p>
    <w:p>
      <w:pPr>
        <w:pStyle w:val="TOC1"/>
      </w:pPr>
      <w:hyperlink w:anchor="_Toc300000018" w:history="1">
        <w:r>
          <w:rPr>
            <w:noProof/>
          </w:rPr>
          <w:t>10.</w:t>
        </w:r>
        <w:r>
          <w:rPr>
            <w:noProof/>
          </w:rPr>
          <w:tab/>
        </w:r>
        <w:r>
          <w:rPr>
            <w:noProof/>
          </w:rPr>
          <w:t xml:space="preserve">Configuration</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11</w:t>
        </w:r>
        <w:r>
          <w:rPr>
            <w:noProof/>
            <w:webHidden/>
          </w:rPr>
          <w:fldChar w:fldCharType="end"/>
        </w:r>
      </w:hyperlink>
    </w:p>
    <w:p>
      <w:pPr>
        <w:pStyle w:val="TOC1"/>
      </w:pPr>
      <w:hyperlink w:anchor="_Toc300000019" w:history="1">
        <w:r>
          <w:rPr>
            <w:noProof/>
          </w:rPr>
          <w:t>11.</w:t>
        </w:r>
        <w:r>
          <w:rPr>
            <w:noProof/>
          </w:rPr>
          <w:tab/>
        </w:r>
        <w:r>
          <w:rPr>
            <w:noProof/>
          </w:rPr>
          <w:t xml:space="preserve">Secrets management</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12</w:t>
        </w:r>
        <w:r>
          <w:rPr>
            <w:noProof/>
            <w:webHidden/>
          </w:rPr>
          <w:fldChar w:fldCharType="end"/>
        </w:r>
      </w:hyperlink>
    </w:p>
    <w:p>
      <w:pPr>
        <w:pStyle w:val="TOC1"/>
      </w:pPr>
      <w:hyperlink w:anchor="_Toc300000020" w:history="1">
        <w:r>
          <w:rPr>
            <w:noProof/>
          </w:rPr>
          <w:t>12.</w:t>
        </w:r>
        <w:r>
          <w:rPr>
            <w:noProof/>
          </w:rPr>
          <w:tab/>
        </w:r>
        <w:r>
          <w:rPr>
            <w:noProof/>
          </w:rPr>
          <w:t xml:space="preserve">Delivery pipeline</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13</w:t>
        </w:r>
        <w:r>
          <w:rPr>
            <w:noProof/>
            <w:webHidden/>
          </w:rPr>
          <w:fldChar w:fldCharType="end"/>
        </w:r>
      </w:hyperlink>
    </w:p>
    <w:p>
      <w:pPr>
        <w:pStyle w:val="TOC1"/>
      </w:pPr>
      <w:hyperlink w:anchor="_Toc300000021" w:history="1">
        <w:r>
          <w:rPr>
            <w:noProof/>
          </w:rPr>
          <w:t>13.</w:t>
        </w:r>
        <w:r>
          <w:rPr>
            <w:noProof/>
          </w:rPr>
          <w:tab/>
        </w:r>
        <w:r>
          <w:rPr>
            <w:noProof/>
          </w:rPr>
          <w:t xml:space="preserve">Release strategies</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15</w:t>
        </w:r>
        <w:r>
          <w:rPr>
            <w:noProof/>
            <w:webHidden/>
          </w:rPr>
          <w:fldChar w:fldCharType="end"/>
        </w:r>
      </w:hyperlink>
    </w:p>
    <w:p>
      <w:pPr>
        <w:pStyle w:val="TOC1"/>
      </w:pPr>
      <w:hyperlink w:anchor="_Toc300000022" w:history="1">
        <w:r>
          <w:rPr>
            <w:noProof/>
          </w:rPr>
          <w:t>14.</w:t>
        </w:r>
        <w:r>
          <w:rPr>
            <w:noProof/>
          </w:rPr>
          <w:tab/>
        </w:r>
        <w:r>
          <w:rPr>
            <w:noProof/>
          </w:rPr>
          <w:t xml:space="preserve">UAT and local environments</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15</w:t>
        </w:r>
        <w:r>
          <w:rPr>
            <w:noProof/>
            <w:webHidden/>
          </w:rPr>
          <w:fldChar w:fldCharType="end"/>
        </w:r>
      </w:hyperlink>
    </w:p>
    <w:p>
      <w:pPr>
        <w:pStyle w:val="TOC1"/>
      </w:pPr>
      <w:hyperlink w:anchor="_Toc300000023" w:history="1">
        <w:r>
          <w:rPr>
            <w:noProof/>
          </w:rPr>
          <w:t>15.</w:t>
        </w:r>
        <w:r>
          <w:rPr>
            <w:noProof/>
          </w:rPr>
          <w:tab/>
        </w:r>
        <w:r>
          <w:rPr>
            <w:noProof/>
          </w:rPr>
          <w:t xml:space="preserve">Capacity and sizing</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15</w:t>
        </w:r>
        <w:r>
          <w:rPr>
            <w:noProof/>
            <w:webHidden/>
          </w:rPr>
          <w:fldChar w:fldCharType="end"/>
        </w:r>
      </w:hyperlink>
    </w:p>
    <w:p>
      <w:pPr>
        <w:pStyle w:val="TOC2"/>
      </w:pPr>
      <w:hyperlink w:anchor="_Toc300000024" w:history="1">
        <w:r>
          <w:rPr>
            <w:noProof/>
          </w:rPr>
          <w:t>15.1.</w:t>
        </w:r>
        <w:r>
          <w:rPr>
            <w:noProof/>
          </w:rPr>
          <w:tab/>
        </w:r>
        <w:r>
          <w:rPr>
            <w:noProof/>
          </w:rPr>
          <w:t xml:space="preserve">Assumptions</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15</w:t>
        </w:r>
        <w:r>
          <w:rPr>
            <w:noProof/>
            <w:webHidden/>
          </w:rPr>
          <w:fldChar w:fldCharType="end"/>
        </w:r>
      </w:hyperlink>
    </w:p>
    <w:p>
      <w:pPr>
        <w:pStyle w:val="TOC2"/>
      </w:pPr>
      <w:hyperlink w:anchor="_Toc300000025" w:history="1">
        <w:r>
          <w:rPr>
            <w:noProof/>
          </w:rPr>
          <w:t>15.2.</w:t>
        </w:r>
        <w:r>
          <w:rPr>
            <w:noProof/>
          </w:rPr>
          <w:tab/>
        </w:r>
        <w:r>
          <w:rPr>
            <w:noProof/>
          </w:rPr>
          <w:t xml:space="preserve">Storage, year one</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16</w:t>
        </w:r>
        <w:r>
          <w:rPr>
            <w:noProof/>
            <w:webHidden/>
          </w:rPr>
          <w:fldChar w:fldCharType="end"/>
        </w:r>
      </w:hyperlink>
    </w:p>
    <w:p>
      <w:pPr>
        <w:pStyle w:val="TOC2"/>
      </w:pPr>
      <w:hyperlink w:anchor="_Toc300000026" w:history="1">
        <w:r>
          <w:rPr>
            <w:noProof/>
          </w:rPr>
          <w:t>15.3.</w:t>
        </w:r>
        <w:r>
          <w:rPr>
            <w:noProof/>
          </w:rPr>
          <w:tab/>
        </w:r>
        <w:r>
          <w:rPr>
            <w:noProof/>
          </w:rPr>
          <w:t xml:space="preserve">Throughput</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16</w:t>
        </w:r>
        <w:r>
          <w:rPr>
            <w:noProof/>
            <w:webHidden/>
          </w:rPr>
          <w:fldChar w:fldCharType="end"/>
        </w:r>
      </w:hyperlink>
    </w:p>
    <w:p>
      <w:pPr>
        <w:pStyle w:val="TOC2"/>
      </w:pPr>
      <w:hyperlink w:anchor="_Toc300000027" w:history="1">
        <w:r>
          <w:rPr>
            <w:noProof/>
          </w:rPr>
          <w:t>15.4.</w:t>
        </w:r>
        <w:r>
          <w:rPr>
            <w:noProof/>
          </w:rPr>
          <w:tab/>
        </w:r>
        <w:r>
          <w:rPr>
            <w:noProof/>
          </w:rPr>
          <w:t xml:space="preserve">Sizing by environment</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16</w:t>
        </w:r>
        <w:r>
          <w:rPr>
            <w:noProof/>
            <w:webHidden/>
          </w:rPr>
          <w:fldChar w:fldCharType="end"/>
        </w:r>
      </w:hyperlink>
    </w:p>
    <w:p>
      <w:pPr>
        <w:pStyle w:val="TOC1"/>
      </w:pPr>
      <w:hyperlink w:anchor="_Toc300000028" w:history="1">
        <w:r>
          <w:rPr>
            <w:noProof/>
          </w:rPr>
          <w:t>16.</w:t>
        </w:r>
        <w:r>
          <w:rPr>
            <w:noProof/>
          </w:rPr>
          <w:tab/>
        </w:r>
        <w:r>
          <w:rPr>
            <w:noProof/>
          </w:rPr>
          <w:t xml:space="preserve">Resilience and disaster recovery</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17</w:t>
        </w:r>
        <w:r>
          <w:rPr>
            <w:noProof/>
            <w:webHidden/>
          </w:rPr>
          <w:fldChar w:fldCharType="end"/>
        </w:r>
      </w:hyperlink>
    </w:p>
    <w:p>
      <w:pPr>
        <w:pStyle w:val="TOC1"/>
      </w:pPr>
      <w:hyperlink w:anchor="_Toc300000029" w:history="1">
        <w:r>
          <w:rPr>
            <w:noProof/>
          </w:rPr>
          <w:t>17.</w:t>
        </w:r>
        <w:r>
          <w:rPr>
            <w:noProof/>
          </w:rPr>
          <w:tab/>
        </w:r>
        <w:r>
          <w:rPr>
            <w:noProof/>
          </w:rPr>
          <w:t xml:space="preserve">Observability</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17</w:t>
        </w:r>
        <w:r>
          <w:rPr>
            <w:noProof/>
            <w:webHidden/>
          </w:rPr>
          <w:fldChar w:fldCharType="end"/>
        </w:r>
      </w:hyperlink>
    </w:p>
    <w:p>
      <w:pPr>
        <w:pStyle w:val="TOC1"/>
      </w:pPr>
      <w:hyperlink w:anchor="_Toc300000030" w:history="1">
        <w:r>
          <w:rPr>
            <w:noProof/>
          </w:rPr>
          <w:t>18.</w:t>
        </w:r>
        <w:r>
          <w:rPr>
            <w:noProof/>
          </w:rPr>
          <w:tab/>
        </w:r>
        <w:r>
          <w:rPr>
            <w:noProof/>
          </w:rPr>
          <w:t xml:space="preserve">Appendix</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18</w:t>
        </w:r>
        <w:r>
          <w:rPr>
            <w:noProof/>
            <w:webHidden/>
          </w:rPr>
          <w:fldChar w:fldCharType="end"/>
        </w:r>
      </w:hyperlink>
    </w:p>
    <w:p>
      <w:pPr>
        <w:pStyle w:val="TOC2"/>
      </w:pPr>
      <w:hyperlink w:anchor="_Toc300000031" w:history="1">
        <w:r>
          <w:rPr>
            <w:noProof/>
          </w:rPr>
          <w:t>18.1.</w:t>
        </w:r>
        <w:r>
          <w:rPr>
            <w:noProof/>
          </w:rPr>
          <w:tab/>
        </w:r>
        <w:r>
          <w:rPr>
            <w:noProof/>
          </w:rPr>
          <w:t xml:space="preserve">Kubernetes manifests</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18</w:t>
        </w:r>
        <w:r>
          <w:rPr>
            <w:noProof/>
            <w:webHidden/>
          </w:rPr>
          <w:fldChar w:fldCharType="end"/>
        </w:r>
      </w:hyperlink>
    </w:p>
    <w:p>
      <w:pPr>
        <w:pStyle w:val="TOC1"/>
      </w:pPr>
      <w:hyperlink w:anchor="_Toc300000032" w:history="1">
        <w:r>
          <w:rPr>
            <w:noProof/>
          </w:rPr>
          <w:t>19.</w:t>
        </w:r>
        <w:r>
          <w:rPr>
            <w:noProof/>
          </w:rPr>
          <w:tab/>
        </w:r>
        <w:r>
          <w:rPr>
            <w:noProof/>
          </w:rPr>
          <w:t xml:space="preserve">Sign-Off</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19</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57"/>
        <w:gridCol w:w="968"/>
        <w:gridCol w:w="1779"/>
        <w:gridCol w:w="1674"/>
        <w:gridCol w:w="2092"/>
        <w:gridCol w:w="1257"/>
      </w:tblGrid>
      <w:tr w:rsidR="002B183A" w14:paraId="4E198CD6" w14:textId="77777777" w:rsidTr="002923F3">
        <w:trPr>
          <w:cantSplit/>
          <w:trHeight w:val="440"/>
          <w:tblHeader/>
        </w:trPr>
        <w:tc>
          <w:tcPr>
            <w:tcW w:w="1257"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68"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79"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674"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092"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57"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57"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07/10/2026</w:t>
            </w:r>
          </w:p>
        </w:tc>
        <w:tc>
          <w:tcPr>
            <w:tcW w:w="968"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79"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Solution Architecture</w:t>
            </w:r>
          </w:p>
        </w:tc>
        <w:tc>
          <w:tcPr>
            <w:tcW w:w="1674"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IT Infrastructure</w:t>
            </w:r>
          </w:p>
        </w:tc>
        <w:tc>
          <w:tcPr>
            <w:tcW w:w="2092"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57"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2042"/>
        <w:gridCol w:w="6985"/>
      </w:tblGrid>
      <w:tr w:rsidR="002B183A" w14:paraId="388F227F" w14:textId="77777777" w:rsidTr="002923F3">
        <w:trPr>
          <w:cantSplit/>
          <w:trHeight w:val="440"/>
          <w:tblHeader/>
        </w:trPr>
        <w:tc>
          <w:tcPr>
            <w:tcW w:w="2042"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6985"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BI</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intelligence</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CAB</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Change advisory board</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CDN</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Content delivery network</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CI</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Continuous integration</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CPU</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Central processing unit</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DNS</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Domain Name System</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DR</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Disaster recovery</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HSTS</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 Strict Transport Security</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HTTPS</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Hypertext Transfer Protocol Secure</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IOPS</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Input/output operations per second</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IP</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Internet Protocol</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JSON</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JavaScript Object Notation</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KMS</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Key management service</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MFA</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Multi-factor authentication</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mTLS</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Mutual Transport Layer Security</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OWASP</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Open Worldwide Application Security Project</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PITR</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Point-in-time recovery</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SBOM</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Software bill of materials</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SIT</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System integration testing</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SSD</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Solid-state drive</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SSH</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Secure Shell</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SSO</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Single sign-on</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TLS</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Transport Layer Security</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URL</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Uniform resource locator</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UTC</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Coordinated Universal Time</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vCPU</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Virtual central processing unit</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VETC</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Vietnam Electronic Toll Collection</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WAF</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Web application firewall</w:t>
            </w:r>
          </w:p>
        </w:tc>
      </w:tr>
      <w:tr w:rsidR="002B183A" w:rsidRPr="00BB346A" w14:paraId="73CFB63E" w14:textId="77777777" w:rsidTr="002923F3">
        <w:trPr>
          <w:cantSplit/>
          <w:trHeight w:val="449"/>
        </w:trPr>
        <w:tc>
          <w:tcPr>
            <w:tcW w:w="2042"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WAL</w:t>
            </w:r>
          </w:p>
        </w:tc>
        <w:tc>
          <w:tcPr>
            <w:tcW w:w="6985"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Write-ahead log</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document describes how the TASCO Growth Platform is built, deployed and run: the environments, the production topology in Vietnam, the Kubernetes workloads and scheduled jobs, network and ingress controls, PostgreSQL high availability, configuration and secrets, the delivery pipeline, release strategies, capacity, resilience and observability.</w:t>
      </w:r>
    </w:p>
    <w:p>
      <w:pPr>
        <w:pStyle w:val="Heading2"/>
      </w:pPr>
      <w:bookmarkStart w:id="9" w:name="_Toc300000005"/>
      <w:r>
        <w:t xml:space="preserve">Scope</w:t>
      </w:r>
      <w:bookmarkEnd w:id="9"/>
    </w:p>
    <w:p>
      <w:pPr>
        <w:pStyle w:val="FirstParagraph"/>
      </w:pPr>
      <w:r>
        <w:t xml:space="preserve">The deployment assets in the repository (</w:t>
      </w:r>
      <w:r>
        <w:rPr>
          <w:rStyle w:val="CodeChar"/>
        </w:rPr>
        <w:t xml:space="preserve">Dockerfile</w:t>
      </w:r>
      <w:r>
        <w:t xml:space="preserve">,</w:t>
      </w:r>
      <w:r>
        <w:t xml:space="preserve"> </w:t>
      </w:r>
      <w:r>
        <w:rPr>
          <w:rStyle w:val="CodeChar"/>
        </w:rPr>
        <w:t xml:space="preserve">docker-compose.yml</w:t>
      </w:r>
      <w:r>
        <w:t xml:space="preserve">,</w:t>
      </w:r>
      <w:r>
        <w:t xml:space="preserve"> </w:t>
      </w:r>
      <w:r>
        <w:rPr>
          <w:rStyle w:val="CodeChar"/>
        </w:rPr>
        <w:t xml:space="preserve">deploy/k8s/</w:t>
      </w:r>
      <w:r>
        <w:t xml:space="preserve">,</w:t>
      </w:r>
      <w:r>
        <w:t xml:space="preserve"> </w:t>
      </w:r>
      <w:r>
        <w:rPr>
          <w:rStyle w:val="CodeChar"/>
        </w:rPr>
        <w:t xml:space="preserve">railway.json</w:t>
      </w:r>
      <w:r>
        <w:t xml:space="preserve"> </w:t>
      </w:r>
      <w:r>
        <w:t xml:space="preserve">and</w:t>
      </w:r>
      <w:r>
        <w:t xml:space="preserve"> </w:t>
      </w:r>
      <w:r>
        <w:rPr>
          <w:rStyle w:val="CodeChar"/>
        </w:rPr>
        <w:t xml:space="preserve">.github/workflows/ci.yml</w:t>
      </w:r>
      <w:r>
        <w:t xml:space="preserve">) and the production design they implement. Where a value in this document differs from a manifest, the manifest is what is deployed and a change is raised to bring the two back in line.</w:t>
      </w:r>
    </w:p>
    <w:p>
      <w:pPr>
        <w:pStyle w:val="Heading2"/>
      </w:pPr>
      <w:bookmarkStart w:id="10" w:name="_Toc300000006"/>
      <w:r>
        <w:t xml:space="preserve">Audience</w:t>
      </w:r>
      <w:bookmarkEnd w:id="10"/>
    </w:p>
    <w:p>
      <w:pPr>
        <w:pStyle w:val="FirstParagraph"/>
      </w:pPr>
      <w:r>
        <w:t xml:space="preserve">TASCO IT infrastructure and operations, information security, the platform and site reliability engineers of iorta TechNXT, and TASCO finance for the sizing sections.</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65"/>
        <w:gridCol w:w="3682"/>
        <w:gridCol w:w="3880"/>
      </w:tblGrid>
      <w:tr>
        <w:trPr>
          <w:cantSplit/>
          <w:tblHeader/>
        </w:trPr>
        <w:tc>
          <w:tcPr>
            <w:tcW w:w="1465" w:type="dxa"/>
            <w:shd w:val="clear" w:color="auto" w:fill="0F4761"/>
            <w:vAlign w:val="center"/>
          </w:tcPr>
          <w:p>
            <w:pPr>
              <w:pStyle w:val="TableHeading"/>
              <w:jc w:val="left"/>
            </w:pPr>
            <w:r>
              <w:rPr>
                <w:color w:val="FFFFFF"/>
              </w:rPr>
              <w:t xml:space="preserve">ID</w:t>
            </w:r>
          </w:p>
        </w:tc>
        <w:tc>
          <w:tcPr>
            <w:tcW w:w="3682" w:type="dxa"/>
            <w:shd w:val="clear" w:color="auto" w:fill="0F4761"/>
            <w:vAlign w:val="center"/>
          </w:tcPr>
          <w:p>
            <w:pPr>
              <w:pStyle w:val="TableHeading"/>
              <w:jc w:val="left"/>
            </w:pPr>
            <w:r>
              <w:rPr>
                <w:color w:val="FFFFFF"/>
              </w:rPr>
              <w:t xml:space="preserve">Title</w:t>
            </w:r>
          </w:p>
        </w:tc>
        <w:tc>
          <w:tcPr>
            <w:tcW w:w="3880" w:type="dxa"/>
            <w:shd w:val="clear" w:color="auto" w:fill="0F4761"/>
            <w:vAlign w:val="center"/>
          </w:tcPr>
          <w:p>
            <w:pPr>
              <w:pStyle w:val="TableHeading"/>
              <w:jc w:val="left"/>
            </w:pPr>
            <w:r>
              <w:rPr>
                <w:color w:val="FFFFFF"/>
              </w:rPr>
              <w:t xml:space="preserve">Relationship</w:t>
            </w:r>
          </w:p>
        </w:tc>
      </w:tr>
      <w:tr>
        <w:trPr>
          <w:cantSplit/>
        </w:trPr>
        <w:tc>
          <w:tcPr>
            <w:tcW w:w="1465" w:type="dxa"/>
            <w:noWrap/>
            <w:vAlign w:val="top"/>
          </w:tcPr>
          <w:p>
            <w:pPr>
              <w:pStyle w:val="TableText"/>
              <w:jc w:val="left"/>
            </w:pPr>
            <w:r>
              <w:t xml:space="preserve">TGP-ARC-01</w:t>
            </w:r>
          </w:p>
        </w:tc>
        <w:tc>
          <w:tcPr>
            <w:tcW w:w="3682" w:type="dxa"/>
            <w:vAlign w:val="top"/>
          </w:tcPr>
          <w:p>
            <w:pPr>
              <w:pStyle w:val="TableText"/>
              <w:jc w:val="left"/>
            </w:pPr>
            <w:r>
              <w:t xml:space="preserve">Solution Architecture</w:t>
            </w:r>
          </w:p>
        </w:tc>
        <w:tc>
          <w:tcPr>
            <w:tcW w:w="3880" w:type="dxa"/>
            <w:vAlign w:val="top"/>
          </w:tcPr>
          <w:p>
            <w:pPr>
              <w:pStyle w:val="TableText"/>
              <w:jc w:val="left"/>
            </w:pPr>
            <w:r>
              <w:t xml:space="preserve">Runtime processes and quality targets</w:t>
            </w:r>
          </w:p>
        </w:tc>
      </w:tr>
      <w:tr>
        <w:trPr>
          <w:cantSplit/>
        </w:trPr>
        <w:tc>
          <w:tcPr>
            <w:tcW w:w="1465" w:type="dxa"/>
            <w:shd w:val="clear" w:color="auto" w:fill="F4F7FB"/>
            <w:noWrap/>
            <w:vAlign w:val="top"/>
          </w:tcPr>
          <w:p>
            <w:pPr>
              <w:pStyle w:val="TableText"/>
              <w:jc w:val="left"/>
            </w:pPr>
            <w:r>
              <w:t xml:space="preserve">TGP-ARC-04</w:t>
            </w:r>
          </w:p>
        </w:tc>
        <w:tc>
          <w:tcPr>
            <w:tcW w:w="3682" w:type="dxa"/>
            <w:shd w:val="clear" w:color="auto" w:fill="F4F7FB"/>
            <w:vAlign w:val="top"/>
          </w:tcPr>
          <w:p>
            <w:pPr>
              <w:pStyle w:val="TableText"/>
              <w:jc w:val="left"/>
            </w:pPr>
            <w:r>
              <w:t xml:space="preserve">Security Architecture</w:t>
            </w:r>
          </w:p>
        </w:tc>
        <w:tc>
          <w:tcPr>
            <w:tcW w:w="3880" w:type="dxa"/>
            <w:shd w:val="clear" w:color="auto" w:fill="F4F7FB"/>
            <w:vAlign w:val="top"/>
          </w:tcPr>
          <w:p>
            <w:pPr>
              <w:pStyle w:val="TableText"/>
              <w:jc w:val="left"/>
            </w:pPr>
            <w:r>
              <w:t xml:space="preserve">Trust boundaries, secrets and pipeline controls</w:t>
            </w:r>
          </w:p>
        </w:tc>
      </w:tr>
      <w:tr>
        <w:trPr>
          <w:cantSplit/>
        </w:trPr>
        <w:tc>
          <w:tcPr>
            <w:tcW w:w="1465" w:type="dxa"/>
            <w:noWrap/>
            <w:vAlign w:val="top"/>
          </w:tcPr>
          <w:p>
            <w:pPr>
              <w:pStyle w:val="TableText"/>
              <w:jc w:val="left"/>
            </w:pPr>
            <w:r>
              <w:t xml:space="preserve">TGP-ARC-07</w:t>
            </w:r>
          </w:p>
        </w:tc>
        <w:tc>
          <w:tcPr>
            <w:tcW w:w="3682" w:type="dxa"/>
            <w:vAlign w:val="top"/>
          </w:tcPr>
          <w:p>
            <w:pPr>
              <w:pStyle w:val="TableText"/>
              <w:jc w:val="left"/>
            </w:pPr>
            <w:r>
              <w:t xml:space="preserve">Architecture Decision Records</w:t>
            </w:r>
          </w:p>
        </w:tc>
        <w:tc>
          <w:tcPr>
            <w:tcW w:w="3880" w:type="dxa"/>
            <w:vAlign w:val="top"/>
          </w:tcPr>
          <w:p>
            <w:pPr>
              <w:pStyle w:val="TableText"/>
              <w:jc w:val="left"/>
            </w:pPr>
            <w:r>
              <w:t xml:space="preserve">ADR-012 containers and Kubernetes</w:t>
            </w:r>
          </w:p>
        </w:tc>
      </w:tr>
      <w:tr>
        <w:trPr>
          <w:cantSplit/>
        </w:trPr>
        <w:tc>
          <w:tcPr>
            <w:tcW w:w="1465" w:type="dxa"/>
            <w:shd w:val="clear" w:color="auto" w:fill="F4F7FB"/>
            <w:noWrap/>
            <w:vAlign w:val="top"/>
          </w:tcPr>
          <w:p>
            <w:pPr>
              <w:pStyle w:val="TableText"/>
              <w:jc w:val="left"/>
            </w:pPr>
            <w:r>
              <w:t xml:space="preserve">TGP-OPS-01</w:t>
            </w:r>
          </w:p>
        </w:tc>
        <w:tc>
          <w:tcPr>
            <w:tcW w:w="3682" w:type="dxa"/>
            <w:shd w:val="clear" w:color="auto" w:fill="F4F7FB"/>
            <w:vAlign w:val="top"/>
          </w:tcPr>
          <w:p>
            <w:pPr>
              <w:pStyle w:val="TableText"/>
              <w:jc w:val="left"/>
            </w:pPr>
            <w:r>
              <w:t xml:space="preserve">Runbook and Support Guide</w:t>
            </w:r>
          </w:p>
        </w:tc>
        <w:tc>
          <w:tcPr>
            <w:tcW w:w="3880" w:type="dxa"/>
            <w:shd w:val="clear" w:color="auto" w:fill="F4F7FB"/>
            <w:vAlign w:val="top"/>
          </w:tcPr>
          <w:p>
            <w:pPr>
              <w:pStyle w:val="TableText"/>
              <w:jc w:val="left"/>
            </w:pPr>
            <w:r>
              <w:t xml:space="preserve">Day-to-day operation</w:t>
            </w:r>
          </w:p>
        </w:tc>
      </w:tr>
      <w:tr>
        <w:trPr>
          <w:cantSplit/>
        </w:trPr>
        <w:tc>
          <w:tcPr>
            <w:tcW w:w="1465" w:type="dxa"/>
            <w:noWrap/>
            <w:vAlign w:val="top"/>
          </w:tcPr>
          <w:p>
            <w:pPr>
              <w:pStyle w:val="TableText"/>
              <w:jc w:val="left"/>
            </w:pPr>
            <w:r>
              <w:t xml:space="preserve">TGP-OPS-02</w:t>
            </w:r>
          </w:p>
        </w:tc>
        <w:tc>
          <w:tcPr>
            <w:tcW w:w="3682" w:type="dxa"/>
            <w:vAlign w:val="top"/>
          </w:tcPr>
          <w:p>
            <w:pPr>
              <w:pStyle w:val="TableText"/>
              <w:jc w:val="left"/>
            </w:pPr>
            <w:r>
              <w:t xml:space="preserve">Monitoring and Alerting</w:t>
            </w:r>
          </w:p>
        </w:tc>
        <w:tc>
          <w:tcPr>
            <w:tcW w:w="3880" w:type="dxa"/>
            <w:vAlign w:val="top"/>
          </w:tcPr>
          <w:p>
            <w:pPr>
              <w:pStyle w:val="TableText"/>
              <w:jc w:val="left"/>
            </w:pPr>
            <w:r>
              <w:t xml:space="preserve">Dashboards and alert rules</w:t>
            </w:r>
          </w:p>
        </w:tc>
      </w:tr>
      <w:tr>
        <w:trPr>
          <w:cantSplit/>
        </w:trPr>
        <w:tc>
          <w:tcPr>
            <w:tcW w:w="1465" w:type="dxa"/>
            <w:shd w:val="clear" w:color="auto" w:fill="F4F7FB"/>
            <w:noWrap/>
            <w:vAlign w:val="top"/>
          </w:tcPr>
          <w:p>
            <w:pPr>
              <w:pStyle w:val="TableText"/>
              <w:jc w:val="left"/>
            </w:pPr>
            <w:r>
              <w:t xml:space="preserve">TGP-OPS-03</w:t>
            </w:r>
          </w:p>
        </w:tc>
        <w:tc>
          <w:tcPr>
            <w:tcW w:w="3682" w:type="dxa"/>
            <w:shd w:val="clear" w:color="auto" w:fill="F4F7FB"/>
            <w:vAlign w:val="top"/>
          </w:tcPr>
          <w:p>
            <w:pPr>
              <w:pStyle w:val="TableText"/>
              <w:jc w:val="left"/>
            </w:pPr>
            <w:r>
              <w:t xml:space="preserve">Disaster Recovery and Business Continuity Plan</w:t>
            </w:r>
          </w:p>
        </w:tc>
        <w:tc>
          <w:tcPr>
            <w:tcW w:w="3880" w:type="dxa"/>
            <w:shd w:val="clear" w:color="auto" w:fill="F4F7FB"/>
            <w:vAlign w:val="top"/>
          </w:tcPr>
          <w:p>
            <w:pPr>
              <w:pStyle w:val="TableText"/>
              <w:jc w:val="left"/>
            </w:pPr>
            <w:r>
              <w:t xml:space="preserve">Recovery tiers, failover and drills</w:t>
            </w:r>
          </w:p>
        </w:tc>
      </w:tr>
      <w:tr>
        <w:trPr>
          <w:cantSplit/>
        </w:trPr>
        <w:tc>
          <w:tcPr>
            <w:tcW w:w="1465" w:type="dxa"/>
            <w:noWrap/>
            <w:vAlign w:val="top"/>
          </w:tcPr>
          <w:p>
            <w:pPr>
              <w:pStyle w:val="TableText"/>
              <w:jc w:val="left"/>
            </w:pPr>
            <w:r>
              <w:t xml:space="preserve">TGP-OPS-06</w:t>
            </w:r>
          </w:p>
        </w:tc>
        <w:tc>
          <w:tcPr>
            <w:tcW w:w="3682" w:type="dxa"/>
            <w:vAlign w:val="top"/>
          </w:tcPr>
          <w:p>
            <w:pPr>
              <w:pStyle w:val="TableText"/>
              <w:jc w:val="left"/>
            </w:pPr>
            <w:r>
              <w:t xml:space="preserve">Release and Change Management</w:t>
            </w:r>
          </w:p>
        </w:tc>
        <w:tc>
          <w:tcPr>
            <w:tcW w:w="3880" w:type="dxa"/>
            <w:vAlign w:val="top"/>
          </w:tcPr>
          <w:p>
            <w:pPr>
              <w:pStyle w:val="TableText"/>
              <w:jc w:val="left"/>
            </w:pPr>
            <w:r>
              <w:t xml:space="preserve">Release process and change control</w:t>
            </w:r>
          </w:p>
        </w:tc>
      </w:tr>
      <w:tr>
        <w:trPr>
          <w:cantSplit/>
        </w:trPr>
        <w:tc>
          <w:tcPr>
            <w:tcW w:w="1465" w:type="dxa"/>
            <w:shd w:val="clear" w:color="auto" w:fill="F4F7FB"/>
            <w:noWrap/>
            <w:vAlign w:val="top"/>
          </w:tcPr>
          <w:p>
            <w:pPr>
              <w:pStyle w:val="TableText"/>
              <w:jc w:val="left"/>
            </w:pPr>
            <w:r>
              <w:t xml:space="preserve">TGP-QA-03</w:t>
            </w:r>
          </w:p>
        </w:tc>
        <w:tc>
          <w:tcPr>
            <w:tcW w:w="3682" w:type="dxa"/>
            <w:shd w:val="clear" w:color="auto" w:fill="F4F7FB"/>
            <w:vAlign w:val="top"/>
          </w:tcPr>
          <w:p>
            <w:pPr>
              <w:pStyle w:val="TableText"/>
              <w:jc w:val="left"/>
            </w:pPr>
            <w:r>
              <w:t xml:space="preserve">Performance and Capacity Test Plan</w:t>
            </w:r>
          </w:p>
        </w:tc>
        <w:tc>
          <w:tcPr>
            <w:tcW w:w="3880" w:type="dxa"/>
            <w:shd w:val="clear" w:color="auto" w:fill="F4F7FB"/>
            <w:vAlign w:val="top"/>
          </w:tcPr>
          <w:p>
            <w:pPr>
              <w:pStyle w:val="TableText"/>
              <w:jc w:val="left"/>
            </w:pPr>
            <w:r>
              <w:t xml:space="preserve">Capacity validation</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 w:name="_Toc300000008"/>
      <w:r>
        <w:rPr>
          <w:rStyle w:val="BookTitle"/>
          <w:bCs w:val="0"/>
          <w:i w:val="0"/>
          <w:iCs w:val="0"/>
          <w:spacing w:val="0"/>
        </w:rPr>
        <w:t xml:space="preserve">Deployment principles</w:t>
      </w:r>
      <w:bookmarkEnd w:id="1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46"/>
        <w:gridCol w:w="7081"/>
      </w:tblGrid>
      <w:tr>
        <w:trPr>
          <w:cantSplit/>
          <w:tblHeader/>
        </w:trPr>
        <w:tc>
          <w:tcPr>
            <w:tcW w:w="1946" w:type="dxa"/>
            <w:shd w:val="clear" w:color="auto" w:fill="0F4761"/>
            <w:vAlign w:val="center"/>
          </w:tcPr>
          <w:p>
            <w:pPr>
              <w:pStyle w:val="TableHeading"/>
              <w:jc w:val="left"/>
            </w:pPr>
            <w:r>
              <w:rPr>
                <w:color w:val="FFFFFF"/>
              </w:rPr>
              <w:t xml:space="preserve">Principle</w:t>
            </w:r>
          </w:p>
        </w:tc>
        <w:tc>
          <w:tcPr>
            <w:tcW w:w="7081" w:type="dxa"/>
            <w:shd w:val="clear" w:color="auto" w:fill="0F4761"/>
            <w:vAlign w:val="center"/>
          </w:tcPr>
          <w:p>
            <w:pPr>
              <w:pStyle w:val="TableHeading"/>
              <w:jc w:val="left"/>
            </w:pPr>
            <w:r>
              <w:rPr>
                <w:color w:val="FFFFFF"/>
              </w:rPr>
              <w:t xml:space="preserve">Application</w:t>
            </w:r>
          </w:p>
        </w:tc>
      </w:tr>
      <w:tr>
        <w:trPr>
          <w:cantSplit/>
        </w:trPr>
        <w:tc>
          <w:tcPr>
            <w:tcW w:w="1946" w:type="dxa"/>
            <w:vAlign w:val="top"/>
          </w:tcPr>
          <w:p>
            <w:pPr>
              <w:pStyle w:val="TableText"/>
              <w:jc w:val="left"/>
            </w:pPr>
            <w:r>
              <w:t xml:space="preserve">One immutable artefact</w:t>
            </w:r>
          </w:p>
        </w:tc>
        <w:tc>
          <w:tcPr>
            <w:tcW w:w="7081" w:type="dxa"/>
            <w:vAlign w:val="top"/>
          </w:tcPr>
          <w:p>
            <w:pPr>
              <w:pStyle w:val="TableText"/>
              <w:jc w:val="left"/>
            </w:pPr>
            <w:r>
              <w:t xml:space="preserve">The same image, pinned by digest, is promoted from SIT to production and DR. Only configuration differs. The hosted UAT builds the same Dockerfile from the same commit.</w:t>
            </w:r>
          </w:p>
        </w:tc>
      </w:tr>
      <w:tr>
        <w:trPr>
          <w:cantSplit/>
        </w:trPr>
        <w:tc>
          <w:tcPr>
            <w:tcW w:w="1946" w:type="dxa"/>
            <w:shd w:val="clear" w:color="auto" w:fill="F4F7FB"/>
            <w:vAlign w:val="top"/>
          </w:tcPr>
          <w:p>
            <w:pPr>
              <w:pStyle w:val="TableText"/>
              <w:jc w:val="left"/>
            </w:pPr>
            <w:r>
              <w:t xml:space="preserve">Twelve-factor processes</w:t>
            </w:r>
          </w:p>
        </w:tc>
        <w:tc>
          <w:tcPr>
            <w:tcW w:w="7081" w:type="dxa"/>
            <w:shd w:val="clear" w:color="auto" w:fill="F4F7FB"/>
            <w:vAlign w:val="top"/>
          </w:tcPr>
          <w:p>
            <w:pPr>
              <w:pStyle w:val="TableText"/>
              <w:jc w:val="left"/>
            </w:pPr>
            <w:r>
              <w:t xml:space="preserve">Configuration from the environment and secrets from mounted files; JSON logs on standard output; stateless processes with state in PostgreSQL; API and jobs share one image with different commands.</w:t>
            </w:r>
          </w:p>
        </w:tc>
      </w:tr>
      <w:tr>
        <w:trPr>
          <w:cantSplit/>
        </w:trPr>
        <w:tc>
          <w:tcPr>
            <w:tcW w:w="1946" w:type="dxa"/>
            <w:vAlign w:val="top"/>
          </w:tcPr>
          <w:p>
            <w:pPr>
              <w:pStyle w:val="TableText"/>
              <w:jc w:val="left"/>
            </w:pPr>
            <w:r>
              <w:t xml:space="preserve">Least privilege</w:t>
            </w:r>
          </w:p>
        </w:tc>
        <w:tc>
          <w:tcPr>
            <w:tcW w:w="7081" w:type="dxa"/>
            <w:vAlign w:val="top"/>
          </w:tcPr>
          <w:p>
            <w:pPr>
              <w:pStyle w:val="TableText"/>
              <w:jc w:val="left"/>
            </w:pPr>
            <w:r>
              <w:t xml:space="preserve">Containers run as the image’s non-root</w:t>
            </w:r>
            <w:r>
              <w:t xml:space="preserve"> </w:t>
            </w:r>
            <w:r>
              <w:rPr>
                <w:rStyle w:val="CodeChar"/>
              </w:rPr>
              <w:t xml:space="preserve">node</w:t>
            </w:r>
            <w:r>
              <w:t xml:space="preserve"> </w:t>
            </w:r>
            <w:r>
              <w:t xml:space="preserve">user (uid 1000) with a read-only root file system, all Linux capabilities dropped and the default seccomp profile. Network policy denies by default. The database has separate owner and application roles.</w:t>
            </w:r>
          </w:p>
        </w:tc>
      </w:tr>
      <w:tr>
        <w:trPr>
          <w:cantSplit/>
        </w:trPr>
        <w:tc>
          <w:tcPr>
            <w:tcW w:w="1946" w:type="dxa"/>
            <w:shd w:val="clear" w:color="auto" w:fill="F4F7FB"/>
            <w:vAlign w:val="top"/>
          </w:tcPr>
          <w:p>
            <w:pPr>
              <w:pStyle w:val="TableText"/>
              <w:jc w:val="left"/>
            </w:pPr>
            <w:r>
              <w:t xml:space="preserve">Fail safe</w:t>
            </w:r>
          </w:p>
        </w:tc>
        <w:tc>
          <w:tcPr>
            <w:tcW w:w="7081" w:type="dxa"/>
            <w:shd w:val="clear" w:color="auto" w:fill="F4F7FB"/>
            <w:vAlign w:val="top"/>
          </w:tcPr>
          <w:p>
            <w:pPr>
              <w:pStyle w:val="TableText"/>
              <w:jc w:val="left"/>
            </w:pPr>
            <w:r>
              <w:t xml:space="preserve">Production refuses to start without its secrets or a database, or with demo mode on. Readiness stays false until the database answers. On shutdown the pod drops readiness first, drains and exits within 25 seconds.</w:t>
            </w:r>
          </w:p>
        </w:tc>
      </w:tr>
      <w:tr>
        <w:trPr>
          <w:cantSplit/>
        </w:trPr>
        <w:tc>
          <w:tcPr>
            <w:tcW w:w="1946" w:type="dxa"/>
            <w:vAlign w:val="top"/>
          </w:tcPr>
          <w:p>
            <w:pPr>
              <w:pStyle w:val="TableText"/>
              <w:jc w:val="left"/>
            </w:pPr>
            <w:r>
              <w:t xml:space="preserve">Data residency</w:t>
            </w:r>
          </w:p>
        </w:tc>
        <w:tc>
          <w:tcPr>
            <w:tcW w:w="7081" w:type="dxa"/>
            <w:vAlign w:val="top"/>
          </w:tcPr>
          <w:p>
            <w:pPr>
              <w:pStyle w:val="TableText"/>
              <w:jc w:val="left"/>
            </w:pPr>
            <w:r>
              <w:t xml:space="preserve">Production personal data is stored and processed in Vietnam (to be confirmed by TASCO legal under the Cybersecurity Law 2018, Decree 53/2022/ND-CP, Decree 13/2023/ND-CP and the Law on Personal Data Protection 2025).</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Hosting in Vietnam</w:t>
      </w:r>
      <w:bookmarkEnd w:id="13"/>
    </w:p>
    <w:p>
      <w:pPr>
        <w:pStyle w:val="FirstParagraph"/>
      </w:pPr>
      <w:r>
        <w:t xml:space="preserve">Production is hosted in Vietnam on a managed Kubernetes service and a managed PostgreSQL service from a local cloud provider (for example Viettel IDC, VNG Cloud or FPT Cloud), or on TASCO’s or the Tasco group’s private cloud if preferred. The choice is confirmed in discovery against TASCO’s data-residency position and existing contracts. The platform is containerised and uses standard Kubernetes and PostgreSQL features, so it is not tied to a provider. If no managed PostgreSQL option meets residency, PostgreSQL runs on Kubernetes with an operator such as CloudNativePG, or on virtual machines with Patroni.</w:t>
      </w:r>
    </w:p>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4" w:name="_Toc300000010"/>
      <w:r>
        <w:rPr>
          <w:rStyle w:val="BookTitle"/>
          <w:bCs w:val="0"/>
          <w:i w:val="0"/>
          <w:iCs w:val="0"/>
          <w:spacing w:val="0"/>
        </w:rPr>
        <w:t xml:space="preserve">Environments</w:t>
      </w:r>
      <w:bookmarkEnd w:id="1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92"/>
        <w:gridCol w:w="2813"/>
        <w:gridCol w:w="2617"/>
        <w:gridCol w:w="2035"/>
        <w:gridCol w:w="2599"/>
        <w:gridCol w:w="2003"/>
      </w:tblGrid>
      <w:tr>
        <w:trPr>
          <w:cantSplit/>
          <w:tblHeader/>
        </w:trPr>
        <w:tc>
          <w:tcPr>
            <w:tcW w:w="1892" w:type="dxa"/>
            <w:shd w:val="clear" w:color="auto" w:fill="0F4761"/>
            <w:vAlign w:val="center"/>
          </w:tcPr>
          <w:p>
            <w:pPr>
              <w:pStyle w:val="TableHeading"/>
              <w:jc w:val="left"/>
            </w:pPr>
            <w:r>
              <w:rPr>
                <w:color w:val="FFFFFF"/>
              </w:rPr>
              <w:t xml:space="preserve">Environment</w:t>
            </w:r>
          </w:p>
        </w:tc>
        <w:tc>
          <w:tcPr>
            <w:tcW w:w="2813" w:type="dxa"/>
            <w:shd w:val="clear" w:color="auto" w:fill="0F4761"/>
            <w:vAlign w:val="center"/>
          </w:tcPr>
          <w:p>
            <w:pPr>
              <w:pStyle w:val="TableHeading"/>
              <w:jc w:val="left"/>
            </w:pPr>
            <w:r>
              <w:rPr>
                <w:color w:val="FFFFFF"/>
              </w:rPr>
              <w:t xml:space="preserve">Purpose</w:t>
            </w:r>
          </w:p>
        </w:tc>
        <w:tc>
          <w:tcPr>
            <w:tcW w:w="2617" w:type="dxa"/>
            <w:shd w:val="clear" w:color="auto" w:fill="0F4761"/>
            <w:vAlign w:val="center"/>
          </w:tcPr>
          <w:p>
            <w:pPr>
              <w:pStyle w:val="TableHeading"/>
              <w:jc w:val="left"/>
            </w:pPr>
            <w:r>
              <w:rPr>
                <w:color w:val="FFFFFF"/>
              </w:rPr>
              <w:t xml:space="preserve">Hosting</w:t>
            </w:r>
          </w:p>
        </w:tc>
        <w:tc>
          <w:tcPr>
            <w:tcW w:w="2035" w:type="dxa"/>
            <w:shd w:val="clear" w:color="auto" w:fill="0F4761"/>
            <w:vAlign w:val="center"/>
          </w:tcPr>
          <w:p>
            <w:pPr>
              <w:pStyle w:val="TableHeading"/>
              <w:jc w:val="left"/>
            </w:pPr>
            <w:r>
              <w:rPr>
                <w:color w:val="FFFFFF"/>
              </w:rPr>
              <w:t xml:space="preserve">Data</w:t>
            </w:r>
          </w:p>
        </w:tc>
        <w:tc>
          <w:tcPr>
            <w:tcW w:w="2599" w:type="dxa"/>
            <w:shd w:val="clear" w:color="auto" w:fill="0F4761"/>
            <w:vAlign w:val="center"/>
          </w:tcPr>
          <w:p>
            <w:pPr>
              <w:pStyle w:val="TableHeading"/>
              <w:jc w:val="left"/>
            </w:pPr>
            <w:r>
              <w:rPr>
                <w:color w:val="FFFFFF"/>
              </w:rPr>
              <w:t xml:space="preserve">Integrations</w:t>
            </w:r>
          </w:p>
        </w:tc>
        <w:tc>
          <w:tcPr>
            <w:tcW w:w="2003" w:type="dxa"/>
            <w:shd w:val="clear" w:color="auto" w:fill="0F4761"/>
            <w:vAlign w:val="center"/>
          </w:tcPr>
          <w:p>
            <w:pPr>
              <w:pStyle w:val="TableHeading"/>
              <w:jc w:val="left"/>
            </w:pPr>
            <w:r>
              <w:rPr>
                <w:color w:val="FFFFFF"/>
              </w:rPr>
              <w:t xml:space="preserve">Promotion gate</w:t>
            </w:r>
          </w:p>
        </w:tc>
      </w:tr>
      <w:tr>
        <w:trPr>
          <w:cantSplit/>
        </w:trPr>
        <w:tc>
          <w:tcPr>
            <w:tcW w:w="1892" w:type="dxa"/>
            <w:vAlign w:val="top"/>
          </w:tcPr>
          <w:p>
            <w:pPr>
              <w:pStyle w:val="TableText"/>
              <w:jc w:val="left"/>
            </w:pPr>
            <w:r>
              <w:t xml:space="preserve">Development</w:t>
            </w:r>
          </w:p>
        </w:tc>
        <w:tc>
          <w:tcPr>
            <w:tcW w:w="2813" w:type="dxa"/>
            <w:vAlign w:val="top"/>
          </w:tcPr>
          <w:p>
            <w:pPr>
              <w:pStyle w:val="TableText"/>
              <w:jc w:val="left"/>
            </w:pPr>
            <w:r>
              <w:t xml:space="preserve">Daily engineering</w:t>
            </w:r>
          </w:p>
        </w:tc>
        <w:tc>
          <w:tcPr>
            <w:tcW w:w="2617" w:type="dxa"/>
            <w:vAlign w:val="top"/>
          </w:tcPr>
          <w:p>
            <w:pPr>
              <w:pStyle w:val="TableText"/>
              <w:jc w:val="left"/>
            </w:pPr>
            <w:r>
              <w:t xml:space="preserve">Laptop: Docker Compose, or in-memory store</w:t>
            </w:r>
          </w:p>
        </w:tc>
        <w:tc>
          <w:tcPr>
            <w:tcW w:w="2035" w:type="dxa"/>
            <w:vAlign w:val="top"/>
          </w:tcPr>
          <w:p>
            <w:pPr>
              <w:pStyle w:val="TableText"/>
              <w:jc w:val="left"/>
            </w:pPr>
            <w:r>
              <w:t xml:space="preserve">Synthetic</w:t>
            </w:r>
          </w:p>
        </w:tc>
        <w:tc>
          <w:tcPr>
            <w:tcW w:w="2599" w:type="dxa"/>
            <w:vAlign w:val="top"/>
          </w:tcPr>
          <w:p>
            <w:pPr>
              <w:pStyle w:val="TableText"/>
              <w:jc w:val="left"/>
            </w:pPr>
            <w:r>
              <w:t xml:space="preserve">Sandbox adapters</w:t>
            </w:r>
          </w:p>
        </w:tc>
        <w:tc>
          <w:tcPr>
            <w:tcW w:w="2003" w:type="dxa"/>
            <w:vAlign w:val="top"/>
          </w:tcPr>
          <w:p>
            <w:pPr>
              <w:pStyle w:val="TableText"/>
              <w:jc w:val="left"/>
            </w:pPr>
            <w:r>
              <w:t xml:space="preserve">None</w:t>
            </w:r>
          </w:p>
        </w:tc>
      </w:tr>
      <w:tr>
        <w:trPr>
          <w:cantSplit/>
        </w:trPr>
        <w:tc>
          <w:tcPr>
            <w:tcW w:w="1892" w:type="dxa"/>
            <w:shd w:val="clear" w:color="auto" w:fill="F4F7FB"/>
            <w:vAlign w:val="top"/>
          </w:tcPr>
          <w:p>
            <w:pPr>
              <w:pStyle w:val="TableText"/>
              <w:jc w:val="left"/>
            </w:pPr>
            <w:r>
              <w:t xml:space="preserve">CI</w:t>
            </w:r>
          </w:p>
        </w:tc>
        <w:tc>
          <w:tcPr>
            <w:tcW w:w="2813" w:type="dxa"/>
            <w:shd w:val="clear" w:color="auto" w:fill="F4F7FB"/>
            <w:vAlign w:val="top"/>
          </w:tcPr>
          <w:p>
            <w:pPr>
              <w:pStyle w:val="TableText"/>
              <w:jc w:val="left"/>
            </w:pPr>
            <w:r>
              <w:t xml:space="preserve">Automated tests on every change</w:t>
            </w:r>
          </w:p>
        </w:tc>
        <w:tc>
          <w:tcPr>
            <w:tcW w:w="2617" w:type="dxa"/>
            <w:shd w:val="clear" w:color="auto" w:fill="F4F7FB"/>
            <w:vAlign w:val="top"/>
          </w:tcPr>
          <w:p>
            <w:pPr>
              <w:pStyle w:val="TableText"/>
              <w:jc w:val="left"/>
            </w:pPr>
            <w:r>
              <w:t xml:space="preserve">GitHub Actions with a PostgreSQL service container</w:t>
            </w:r>
          </w:p>
        </w:tc>
        <w:tc>
          <w:tcPr>
            <w:tcW w:w="2035" w:type="dxa"/>
            <w:shd w:val="clear" w:color="auto" w:fill="F4F7FB"/>
            <w:vAlign w:val="top"/>
          </w:tcPr>
          <w:p>
            <w:pPr>
              <w:pStyle w:val="TableText"/>
              <w:jc w:val="left"/>
            </w:pPr>
            <w:r>
              <w:t xml:space="preserve">Synthetic</w:t>
            </w:r>
          </w:p>
        </w:tc>
        <w:tc>
          <w:tcPr>
            <w:tcW w:w="2599" w:type="dxa"/>
            <w:shd w:val="clear" w:color="auto" w:fill="F4F7FB"/>
            <w:vAlign w:val="top"/>
          </w:tcPr>
          <w:p>
            <w:pPr>
              <w:pStyle w:val="TableText"/>
              <w:jc w:val="left"/>
            </w:pPr>
            <w:r>
              <w:t xml:space="preserve">Sandbox</w:t>
            </w:r>
          </w:p>
        </w:tc>
        <w:tc>
          <w:tcPr>
            <w:tcW w:w="2003" w:type="dxa"/>
            <w:shd w:val="clear" w:color="auto" w:fill="F4F7FB"/>
            <w:vAlign w:val="top"/>
          </w:tcPr>
          <w:p>
            <w:pPr>
              <w:pStyle w:val="TableText"/>
              <w:jc w:val="left"/>
            </w:pPr>
            <w:r>
              <w:t xml:space="preserve">All checks pass</w:t>
            </w:r>
          </w:p>
        </w:tc>
      </w:tr>
      <w:tr>
        <w:trPr>
          <w:cantSplit/>
        </w:trPr>
        <w:tc>
          <w:tcPr>
            <w:tcW w:w="1892" w:type="dxa"/>
            <w:vAlign w:val="top"/>
          </w:tcPr>
          <w:p>
            <w:pPr>
              <w:pStyle w:val="TableText"/>
              <w:jc w:val="left"/>
            </w:pPr>
            <w:r>
              <w:t xml:space="preserve">UAT (live)</w:t>
            </w:r>
          </w:p>
        </w:tc>
        <w:tc>
          <w:tcPr>
            <w:tcW w:w="2813" w:type="dxa"/>
            <w:vAlign w:val="top"/>
          </w:tcPr>
          <w:p>
            <w:pPr>
              <w:pStyle w:val="TableText"/>
              <w:jc w:val="left"/>
            </w:pPr>
            <w:r>
              <w:t xml:space="preserve">Business acceptance and training</w:t>
            </w:r>
          </w:p>
        </w:tc>
        <w:tc>
          <w:tcPr>
            <w:tcW w:w="2617" w:type="dxa"/>
            <w:vAlign w:val="top"/>
          </w:tcPr>
          <w:p>
            <w:pPr>
              <w:pStyle w:val="TableText"/>
              <w:jc w:val="left"/>
            </w:pPr>
            <w:r>
              <w:t xml:space="preserve">Railway with Railway PostgreSQL</w:t>
            </w:r>
          </w:p>
        </w:tc>
        <w:tc>
          <w:tcPr>
            <w:tcW w:w="2035" w:type="dxa"/>
            <w:vAlign w:val="top"/>
          </w:tcPr>
          <w:p>
            <w:pPr>
              <w:pStyle w:val="TableText"/>
              <w:jc w:val="left"/>
            </w:pPr>
            <w:r>
              <w:t xml:space="preserve">Synthetic only</w:t>
            </w:r>
          </w:p>
        </w:tc>
        <w:tc>
          <w:tcPr>
            <w:tcW w:w="2599" w:type="dxa"/>
            <w:vAlign w:val="top"/>
          </w:tcPr>
          <w:p>
            <w:pPr>
              <w:pStyle w:val="TableText"/>
              <w:jc w:val="left"/>
            </w:pPr>
            <w:r>
              <w:t xml:space="preserve">Sandbox adapters, simulated TASCO core</w:t>
            </w:r>
          </w:p>
        </w:tc>
        <w:tc>
          <w:tcPr>
            <w:tcW w:w="2003" w:type="dxa"/>
            <w:vAlign w:val="top"/>
          </w:tcPr>
          <w:p>
            <w:pPr>
              <w:pStyle w:val="TableText"/>
              <w:jc w:val="left"/>
            </w:pPr>
            <w:r>
              <w:t xml:space="preserve">Product owner approval</w:t>
            </w:r>
          </w:p>
        </w:tc>
      </w:tr>
      <w:tr>
        <w:trPr>
          <w:cantSplit/>
        </w:trPr>
        <w:tc>
          <w:tcPr>
            <w:tcW w:w="1892" w:type="dxa"/>
            <w:shd w:val="clear" w:color="auto" w:fill="F4F7FB"/>
            <w:vAlign w:val="top"/>
          </w:tcPr>
          <w:p>
            <w:pPr>
              <w:pStyle w:val="TableText"/>
              <w:jc w:val="left"/>
            </w:pPr>
            <w:r>
              <w:t xml:space="preserve">SIT</w:t>
            </w:r>
          </w:p>
        </w:tc>
        <w:tc>
          <w:tcPr>
            <w:tcW w:w="2813" w:type="dxa"/>
            <w:shd w:val="clear" w:color="auto" w:fill="F4F7FB"/>
            <w:vAlign w:val="top"/>
          </w:tcPr>
          <w:p>
            <w:pPr>
              <w:pStyle w:val="TableText"/>
              <w:jc w:val="left"/>
            </w:pPr>
            <w:r>
              <w:t xml:space="preserve">Integration with TASCO and VETC test systems</w:t>
            </w:r>
          </w:p>
        </w:tc>
        <w:tc>
          <w:tcPr>
            <w:tcW w:w="2617" w:type="dxa"/>
            <w:shd w:val="clear" w:color="auto" w:fill="F4F7FB"/>
            <w:vAlign w:val="top"/>
          </w:tcPr>
          <w:p>
            <w:pPr>
              <w:pStyle w:val="TableText"/>
              <w:jc w:val="left"/>
            </w:pPr>
            <w:r>
              <w:t xml:space="preserve">Kubernetes namespace in the production provider</w:t>
            </w:r>
          </w:p>
        </w:tc>
        <w:tc>
          <w:tcPr>
            <w:tcW w:w="2035" w:type="dxa"/>
            <w:shd w:val="clear" w:color="auto" w:fill="F4F7FB"/>
            <w:vAlign w:val="top"/>
          </w:tcPr>
          <w:p>
            <w:pPr>
              <w:pStyle w:val="TableText"/>
              <w:jc w:val="left"/>
            </w:pPr>
            <w:r>
              <w:t xml:space="preserve">Synthetic plus provider test accounts</w:t>
            </w:r>
          </w:p>
        </w:tc>
        <w:tc>
          <w:tcPr>
            <w:tcW w:w="2599" w:type="dxa"/>
            <w:shd w:val="clear" w:color="auto" w:fill="F4F7FB"/>
            <w:vAlign w:val="top"/>
          </w:tcPr>
          <w:p>
            <w:pPr>
              <w:pStyle w:val="TableText"/>
              <w:jc w:val="left"/>
            </w:pPr>
            <w:r>
              <w:t xml:space="preserve">Real adapters to provider sandboxes</w:t>
            </w:r>
          </w:p>
        </w:tc>
        <w:tc>
          <w:tcPr>
            <w:tcW w:w="2003" w:type="dxa"/>
            <w:shd w:val="clear" w:color="auto" w:fill="F4F7FB"/>
            <w:vAlign w:val="top"/>
          </w:tcPr>
          <w:p>
            <w:pPr>
              <w:pStyle w:val="TableText"/>
              <w:jc w:val="left"/>
            </w:pPr>
            <w:r>
              <w:t xml:space="preserve">Automatic on merge</w:t>
            </w:r>
          </w:p>
        </w:tc>
      </w:tr>
      <w:tr>
        <w:trPr>
          <w:cantSplit/>
        </w:trPr>
        <w:tc>
          <w:tcPr>
            <w:tcW w:w="1892" w:type="dxa"/>
            <w:vAlign w:val="top"/>
          </w:tcPr>
          <w:p>
            <w:pPr>
              <w:pStyle w:val="TableText"/>
              <w:jc w:val="left"/>
            </w:pPr>
            <w:r>
              <w:t xml:space="preserve">Pre-production</w:t>
            </w:r>
          </w:p>
        </w:tc>
        <w:tc>
          <w:tcPr>
            <w:tcW w:w="2813" w:type="dxa"/>
            <w:vAlign w:val="top"/>
          </w:tcPr>
          <w:p>
            <w:pPr>
              <w:pStyle w:val="TableText"/>
              <w:jc w:val="left"/>
            </w:pPr>
            <w:r>
              <w:t xml:space="preserve">Performance, soak, resilience and security tests; release rehearsal</w:t>
            </w:r>
          </w:p>
        </w:tc>
        <w:tc>
          <w:tcPr>
            <w:tcW w:w="2617" w:type="dxa"/>
            <w:vAlign w:val="top"/>
          </w:tcPr>
          <w:p>
            <w:pPr>
              <w:pStyle w:val="TableText"/>
              <w:jc w:val="left"/>
            </w:pPr>
            <w:r>
              <w:t xml:space="preserve">Namespace sized like production</w:t>
            </w:r>
          </w:p>
        </w:tc>
        <w:tc>
          <w:tcPr>
            <w:tcW w:w="2035" w:type="dxa"/>
            <w:vAlign w:val="top"/>
          </w:tcPr>
          <w:p>
            <w:pPr>
              <w:pStyle w:val="TableText"/>
              <w:jc w:val="left"/>
            </w:pPr>
            <w:r>
              <w:t xml:space="preserve">Masked or synthetic at 6 million scale</w:t>
            </w:r>
          </w:p>
        </w:tc>
        <w:tc>
          <w:tcPr>
            <w:tcW w:w="2599" w:type="dxa"/>
            <w:vAlign w:val="top"/>
          </w:tcPr>
          <w:p>
            <w:pPr>
              <w:pStyle w:val="TableText"/>
              <w:jc w:val="left"/>
            </w:pPr>
            <w:r>
              <w:t xml:space="preserve">Sandbox with fault injection, or provider test systems</w:t>
            </w:r>
          </w:p>
        </w:tc>
        <w:tc>
          <w:tcPr>
            <w:tcW w:w="2003" w:type="dxa"/>
            <w:vAlign w:val="top"/>
          </w:tcPr>
          <w:p>
            <w:pPr>
              <w:pStyle w:val="TableText"/>
              <w:jc w:val="left"/>
            </w:pPr>
            <w:r>
              <w:t xml:space="preserve">Performance report signed off</w:t>
            </w:r>
          </w:p>
        </w:tc>
      </w:tr>
      <w:tr>
        <w:trPr>
          <w:cantSplit/>
        </w:trPr>
        <w:tc>
          <w:tcPr>
            <w:tcW w:w="1892" w:type="dxa"/>
            <w:shd w:val="clear" w:color="auto" w:fill="F4F7FB"/>
            <w:vAlign w:val="top"/>
          </w:tcPr>
          <w:p>
            <w:pPr>
              <w:pStyle w:val="TableText"/>
              <w:jc w:val="left"/>
            </w:pPr>
            <w:r>
              <w:t xml:space="preserve">Production</w:t>
            </w:r>
          </w:p>
        </w:tc>
        <w:tc>
          <w:tcPr>
            <w:tcW w:w="2813" w:type="dxa"/>
            <w:shd w:val="clear" w:color="auto" w:fill="F4F7FB"/>
            <w:vAlign w:val="top"/>
          </w:tcPr>
          <w:p>
            <w:pPr>
              <w:pStyle w:val="TableText"/>
              <w:jc w:val="left"/>
            </w:pPr>
            <w:r>
              <w:t xml:space="preserve">Live service</w:t>
            </w:r>
          </w:p>
        </w:tc>
        <w:tc>
          <w:tcPr>
            <w:tcW w:w="2617" w:type="dxa"/>
            <w:shd w:val="clear" w:color="auto" w:fill="F4F7FB"/>
            <w:vAlign w:val="top"/>
          </w:tcPr>
          <w:p>
            <w:pPr>
              <w:pStyle w:val="TableText"/>
              <w:jc w:val="left"/>
            </w:pPr>
            <w:r>
              <w:t xml:space="preserve">Managed Kubernetes in Vietnam, three zones</w:t>
            </w:r>
          </w:p>
        </w:tc>
        <w:tc>
          <w:tcPr>
            <w:tcW w:w="2035" w:type="dxa"/>
            <w:shd w:val="clear" w:color="auto" w:fill="F4F7FB"/>
            <w:vAlign w:val="top"/>
          </w:tcPr>
          <w:p>
            <w:pPr>
              <w:pStyle w:val="TableText"/>
              <w:jc w:val="left"/>
            </w:pPr>
            <w:r>
              <w:t xml:space="preserve">Real, encrypted</w:t>
            </w:r>
          </w:p>
        </w:tc>
        <w:tc>
          <w:tcPr>
            <w:tcW w:w="2599" w:type="dxa"/>
            <w:shd w:val="clear" w:color="auto" w:fill="F4F7FB"/>
            <w:vAlign w:val="top"/>
          </w:tcPr>
          <w:p>
            <w:pPr>
              <w:pStyle w:val="TableText"/>
              <w:jc w:val="left"/>
            </w:pPr>
            <w:r>
              <w:t xml:space="preserve">Production providers</w:t>
            </w:r>
          </w:p>
        </w:tc>
        <w:tc>
          <w:tcPr>
            <w:tcW w:w="2003" w:type="dxa"/>
            <w:shd w:val="clear" w:color="auto" w:fill="F4F7FB"/>
            <w:vAlign w:val="top"/>
          </w:tcPr>
          <w:p>
            <w:pPr>
              <w:pStyle w:val="TableText"/>
              <w:jc w:val="left"/>
            </w:pPr>
            <w:r>
              <w:t xml:space="preserve">CAB approval and change window</w:t>
            </w:r>
          </w:p>
        </w:tc>
      </w:tr>
      <w:tr>
        <w:trPr>
          <w:cantSplit/>
        </w:trPr>
        <w:tc>
          <w:tcPr>
            <w:tcW w:w="1892" w:type="dxa"/>
            <w:vAlign w:val="top"/>
          </w:tcPr>
          <w:p>
            <w:pPr>
              <w:pStyle w:val="TableText"/>
              <w:jc w:val="left"/>
            </w:pPr>
            <w:r>
              <w:t xml:space="preserve">DR</w:t>
            </w:r>
          </w:p>
        </w:tc>
        <w:tc>
          <w:tcPr>
            <w:tcW w:w="2813" w:type="dxa"/>
            <w:vAlign w:val="top"/>
          </w:tcPr>
          <w:p>
            <w:pPr>
              <w:pStyle w:val="TableText"/>
              <w:jc w:val="left"/>
            </w:pPr>
            <w:r>
              <w:t xml:space="preserve">Warm standby</w:t>
            </w:r>
          </w:p>
        </w:tc>
        <w:tc>
          <w:tcPr>
            <w:tcW w:w="2617" w:type="dxa"/>
            <w:vAlign w:val="top"/>
          </w:tcPr>
          <w:p>
            <w:pPr>
              <w:pStyle w:val="TableText"/>
              <w:jc w:val="left"/>
            </w:pPr>
            <w:r>
              <w:t xml:space="preserve">Second Vietnamese region or data centre</w:t>
            </w:r>
          </w:p>
        </w:tc>
        <w:tc>
          <w:tcPr>
            <w:tcW w:w="2035" w:type="dxa"/>
            <w:vAlign w:val="top"/>
          </w:tcPr>
          <w:p>
            <w:pPr>
              <w:pStyle w:val="TableText"/>
              <w:jc w:val="left"/>
            </w:pPr>
            <w:r>
              <w:t xml:space="preserve">Replica of production</w:t>
            </w:r>
          </w:p>
        </w:tc>
        <w:tc>
          <w:tcPr>
            <w:tcW w:w="2599" w:type="dxa"/>
            <w:vAlign w:val="top"/>
          </w:tcPr>
          <w:p>
            <w:pPr>
              <w:pStyle w:val="TableText"/>
              <w:jc w:val="left"/>
            </w:pPr>
            <w:r>
              <w:t xml:space="preserve">Production providers</w:t>
            </w:r>
          </w:p>
        </w:tc>
        <w:tc>
          <w:tcPr>
            <w:tcW w:w="2003" w:type="dxa"/>
            <w:vAlign w:val="top"/>
          </w:tcPr>
          <w:p>
            <w:pPr>
              <w:pStyle w:val="TableText"/>
              <w:jc w:val="left"/>
            </w:pPr>
            <w:r>
              <w:t xml:space="preserve">DR drill twice a year</w:t>
            </w:r>
          </w:p>
        </w:tc>
      </w:tr>
    </w:tbl>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pPr>
        <w:pStyle w:val="BodyText"/>
        <w:spacing w:before="160"/>
      </w:pPr>
      <w:r>
        <w:t xml:space="preserve">The hosted UAT runs at</w:t>
      </w:r>
      <w:r>
        <w:t xml:space="preserve"> </w:t>
      </w:r>
      <w:r>
        <w:rPr>
          <w:rStyle w:val="CodeChar"/>
        </w:rPr>
        <w:t xml:space="preserve">https://tasco-growth-api-uat.up.railway.app</w:t>
      </w:r>
      <w:r>
        <w:t xml:space="preserve"> </w:t>
      </w:r>
      <w:r>
        <w:t xml:space="preserve">with demo mode on, which enables demonstration sign-in helpers, simulated dates and the seed job. Its password is distributed in the access workbook and never written in documents. SIT, pre-production, production and DR run in production mode with demo mode off; the Kubernetes configuration sets both, and production refuses to start otherwise.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5" w:name="_Toc300000011"/>
      <w:r>
        <w:rPr>
          <w:rStyle w:val="BookTitle"/>
          <w:bCs w:val="0"/>
          <w:i w:val="0"/>
          <w:iCs w:val="0"/>
          <w:spacing w:val="0"/>
        </w:rPr>
        <w:t xml:space="preserve">Production topology</w:t>
      </w:r>
      <w:bookmarkEnd w:id="15"/>
    </w:p>
    <w:p>
      <w:pPr>
        <w:pStyle w:val="FirstParagraph"/>
      </w:pPr>
      <w:r>
        <w:t xml:space="preserve">The diagram shows the production deployment in one Vietnamese region. Customers, staff and partners reach the platform through the WAF; the API pods and the scheduled jobs share one PostgreSQL cluster; all outbound calls leave through the egress proxy.</w:t>
      </w:r>
    </w:p>
    <w:p xmlns:a="http://schemas.openxmlformats.org/drawingml/2006/main" xmlns:pic="http://schemas.openxmlformats.org/drawingml/2006/picture">
      <w:pPr>
        <w:pStyle w:val="Figure"/>
      </w:pPr>
      <w:r>
        <w:drawing>
          <wp:inline>
            <wp:extent cx="5727700" cy="4585631"/>
            <wp:effectExtent b="0" l="0" r="0" t="0"/>
            <wp:docPr descr="Production topology in one Vietnamese region" title="" id="5002" name="Picture"/>
            <a:graphic>
              <a:graphicData uri="http://schemas.openxmlformats.org/drawingml/2006/picture">
                <pic:pic>
                  <pic:nvPicPr>
                    <pic:cNvPr descr="/tmp/claude-0/-home-user-TASCO/19e5534d-12b5-5956-9b60-3e77efde0f49/scratchpad/gen/.cache/mermaid/b7c51d8768d979b6.png" id="30" name="Picture"/>
                    <pic:cNvPicPr>
                      <a:picLocks noChangeArrowheads="1" noChangeAspect="1"/>
                    </pic:cNvPicPr>
                  </pic:nvPicPr>
                  <pic:blipFill>
                    <a:blip r:embed="rIdG1"/>
                    <a:stretch>
                      <a:fillRect/>
                    </a:stretch>
                  </pic:blipFill>
                  <pic:spPr bwMode="auto">
                    <a:xfrm>
                      <a:off x="0" y="0"/>
                      <a:ext cx="5727700" cy="4585631"/>
                    </a:xfrm>
                    <a:prstGeom prst="rect">
                      <a:avLst/>
                    </a:prstGeom>
                    <a:noFill/>
                    <a:ln w="9525">
                      <a:noFill/>
                      <a:headEnd/>
                      <a:tailEnd/>
                    </a:ln>
                  </pic:spPr>
                </pic:pic>
              </a:graphicData>
            </a:graphic>
          </wp:inline>
        </w:drawing>
      </w:r>
    </w:p>
    <w:p>
      <w:pPr>
        <w:pStyle w:val="Caption"/>
      </w:pPr>
      <w:r>
        <w:t xml:space="preserve">Figure 1 – Production topology in one Vietnamese region</w:t>
      </w:r>
    </w:p>
    <w:p>
      <w:pPr>
        <w:pStyle w:val="BodyText"/>
      </w:pPr>
      <w:r>
        <w:t xml:space="preserve">The outbox relay runs in two places: every API pod relays pending events once a second, and the relay job drains anything left every five minutes as a safety net. A read replica for reporting and a cross-region replica for DR are described in section 7 and section 14.</w:t>
      </w:r>
    </w:p>
    <w:p>
      <w:pPr>
        <w:pStyle w:val="Heading2"/>
      </w:pPr>
      <w:bookmarkStart w:id="16" w:name="_Toc300000012"/>
      <w:r>
        <w:t xml:space="preserve">API deployment</w:t>
      </w:r>
      <w:bookmarkEnd w:id="1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40"/>
        <w:gridCol w:w="7387"/>
      </w:tblGrid>
      <w:tr>
        <w:trPr>
          <w:cantSplit/>
          <w:tblHeader/>
        </w:trPr>
        <w:tc>
          <w:tcPr>
            <w:tcW w:w="1640" w:type="dxa"/>
            <w:shd w:val="clear" w:color="auto" w:fill="0F4761"/>
            <w:vAlign w:val="center"/>
          </w:tcPr>
          <w:p>
            <w:pPr>
              <w:pStyle w:val="TableHeading"/>
              <w:jc w:val="left"/>
            </w:pPr>
            <w:r>
              <w:rPr>
                <w:color w:val="FFFFFF"/>
              </w:rPr>
              <w:t xml:space="preserve">Item</w:t>
            </w:r>
          </w:p>
        </w:tc>
        <w:tc>
          <w:tcPr>
            <w:tcW w:w="7387" w:type="dxa"/>
            <w:shd w:val="clear" w:color="auto" w:fill="0F4761"/>
            <w:vAlign w:val="center"/>
          </w:tcPr>
          <w:p>
            <w:pPr>
              <w:pStyle w:val="TableHeading"/>
              <w:jc w:val="left"/>
            </w:pPr>
            <w:r>
              <w:rPr>
                <w:color w:val="FFFFFF"/>
              </w:rPr>
              <w:t xml:space="preserve">Setting</w:t>
            </w:r>
          </w:p>
        </w:tc>
      </w:tr>
      <w:tr>
        <w:trPr>
          <w:cantSplit/>
        </w:trPr>
        <w:tc>
          <w:tcPr>
            <w:tcW w:w="1640" w:type="dxa"/>
            <w:vAlign w:val="top"/>
          </w:tcPr>
          <w:p>
            <w:pPr>
              <w:pStyle w:val="TableText"/>
              <w:jc w:val="left"/>
            </w:pPr>
            <w:r>
              <w:t xml:space="preserve">Image</w:t>
            </w:r>
          </w:p>
        </w:tc>
        <w:tc>
          <w:tcPr>
            <w:tcW w:w="7387" w:type="dxa"/>
            <w:vAlign w:val="top"/>
          </w:tcPr>
          <w:p>
            <w:pPr>
              <w:pStyle w:val="TableText"/>
              <w:jc w:val="left"/>
            </w:pPr>
            <w:r>
              <w:rPr>
                <w:rStyle w:val="CodeChar"/>
              </w:rPr>
              <w:t xml:space="preserve">tasco-growth-platform</w:t>
            </w:r>
            <w:r>
              <w:t xml:space="preserve">, pinned by digest</w:t>
            </w:r>
          </w:p>
        </w:tc>
      </w:tr>
      <w:tr>
        <w:trPr>
          <w:cantSplit/>
        </w:trPr>
        <w:tc>
          <w:tcPr>
            <w:tcW w:w="1640" w:type="dxa"/>
            <w:shd w:val="clear" w:color="auto" w:fill="F4F7FB"/>
            <w:vAlign w:val="top"/>
          </w:tcPr>
          <w:p>
            <w:pPr>
              <w:pStyle w:val="TableText"/>
              <w:jc w:val="left"/>
            </w:pPr>
            <w:r>
              <w:t xml:space="preserve">Command</w:t>
            </w:r>
          </w:p>
        </w:tc>
        <w:tc>
          <w:tcPr>
            <w:tcW w:w="7387" w:type="dxa"/>
            <w:shd w:val="clear" w:color="auto" w:fill="F4F7FB"/>
            <w:vAlign w:val="top"/>
          </w:tcPr>
          <w:p>
            <w:pPr>
              <w:pStyle w:val="TableText"/>
              <w:jc w:val="left"/>
            </w:pPr>
            <w:r>
              <w:rPr>
                <w:rStyle w:val="CodeChar"/>
              </w:rPr>
              <w:t xml:space="preserve">node src/server.js</w:t>
            </w:r>
          </w:p>
        </w:tc>
      </w:tr>
      <w:tr>
        <w:trPr>
          <w:cantSplit/>
        </w:trPr>
        <w:tc>
          <w:tcPr>
            <w:tcW w:w="1640" w:type="dxa"/>
            <w:vAlign w:val="top"/>
          </w:tcPr>
          <w:p>
            <w:pPr>
              <w:pStyle w:val="TableText"/>
              <w:jc w:val="left"/>
            </w:pPr>
            <w:r>
              <w:t xml:space="preserve">Replicas</w:t>
            </w:r>
          </w:p>
        </w:tc>
        <w:tc>
          <w:tcPr>
            <w:tcW w:w="7387" w:type="dxa"/>
            <w:vAlign w:val="top"/>
          </w:tcPr>
          <w:p>
            <w:pPr>
              <w:pStyle w:val="TableText"/>
              <w:jc w:val="left"/>
            </w:pPr>
            <w:r>
              <w:t xml:space="preserve">3, spread across zones; autoscaler from 3 to 20 on CPU (65%) and memory (75%); scale-down stabilisation 300 s</w:t>
            </w:r>
          </w:p>
        </w:tc>
      </w:tr>
      <w:tr>
        <w:trPr>
          <w:cantSplit/>
        </w:trPr>
        <w:tc>
          <w:tcPr>
            <w:tcW w:w="1640" w:type="dxa"/>
            <w:shd w:val="clear" w:color="auto" w:fill="F4F7FB"/>
            <w:vAlign w:val="top"/>
          </w:tcPr>
          <w:p>
            <w:pPr>
              <w:pStyle w:val="TableText"/>
              <w:jc w:val="left"/>
            </w:pPr>
            <w:r>
              <w:t xml:space="preserve">Resources</w:t>
            </w:r>
          </w:p>
        </w:tc>
        <w:tc>
          <w:tcPr>
            <w:tcW w:w="7387" w:type="dxa"/>
            <w:shd w:val="clear" w:color="auto" w:fill="F4F7FB"/>
            <w:vAlign w:val="top"/>
          </w:tcPr>
          <w:p>
            <w:pPr>
              <w:pStyle w:val="TableText"/>
              <w:jc w:val="left"/>
            </w:pPr>
            <w:r>
              <w:t xml:space="preserve">Request 250m CPU and 256 MiB; limit 1 CPU and 512 MiB; Node heap 384 MiB</w:t>
            </w:r>
          </w:p>
        </w:tc>
      </w:tr>
      <w:tr>
        <w:trPr>
          <w:cantSplit/>
        </w:trPr>
        <w:tc>
          <w:tcPr>
            <w:tcW w:w="1640" w:type="dxa"/>
            <w:vAlign w:val="top"/>
          </w:tcPr>
          <w:p>
            <w:pPr>
              <w:pStyle w:val="TableText"/>
              <w:jc w:val="left"/>
            </w:pPr>
            <w:r>
              <w:t xml:space="preserve">Probes</w:t>
            </w:r>
          </w:p>
        </w:tc>
        <w:tc>
          <w:tcPr>
            <w:tcW w:w="7387" w:type="dxa"/>
            <w:vAlign w:val="top"/>
          </w:tcPr>
          <w:p>
            <w:pPr>
              <w:pStyle w:val="TableText"/>
              <w:jc w:val="left"/>
            </w:pPr>
            <w:r>
              <w:t xml:space="preserve">Liveness</w:t>
            </w:r>
            <w:r>
              <w:t xml:space="preserve"> </w:t>
            </w:r>
            <w:r>
              <w:rPr>
                <w:rStyle w:val="CodeChar"/>
              </w:rPr>
              <w:t xml:space="preserve">/health/live</w:t>
            </w:r>
            <w:r>
              <w:t xml:space="preserve"> </w:t>
            </w:r>
            <w:r>
              <w:t xml:space="preserve">every 10 s; readiness</w:t>
            </w:r>
            <w:r>
              <w:t xml:space="preserve"> </w:t>
            </w:r>
            <w:r>
              <w:rPr>
                <w:rStyle w:val="CodeChar"/>
              </w:rPr>
              <w:t xml:space="preserve">/health/ready</w:t>
            </w:r>
            <w:r>
              <w:t xml:space="preserve"> </w:t>
            </w:r>
            <w:r>
              <w:t xml:space="preserve">every 5 s with a database check; start-up allowance 60 s</w:t>
            </w:r>
          </w:p>
        </w:tc>
      </w:tr>
      <w:tr>
        <w:trPr>
          <w:cantSplit/>
        </w:trPr>
        <w:tc>
          <w:tcPr>
            <w:tcW w:w="1640" w:type="dxa"/>
            <w:shd w:val="clear" w:color="auto" w:fill="F4F7FB"/>
            <w:vAlign w:val="top"/>
          </w:tcPr>
          <w:p>
            <w:pPr>
              <w:pStyle w:val="TableText"/>
              <w:jc w:val="left"/>
            </w:pPr>
            <w:r>
              <w:t xml:space="preserve">Security context</w:t>
            </w:r>
          </w:p>
        </w:tc>
        <w:tc>
          <w:tcPr>
            <w:tcW w:w="7387" w:type="dxa"/>
            <w:shd w:val="clear" w:color="auto" w:fill="F4F7FB"/>
            <w:vAlign w:val="top"/>
          </w:tcPr>
          <w:p>
            <w:pPr>
              <w:pStyle w:val="TableText"/>
              <w:jc w:val="left"/>
            </w:pPr>
            <w:r>
              <w:t xml:space="preserve">Non-root uid 1000, read-only root file system, no privilege escalation, all capabilities dropped, default seccomp, no service account token</w:t>
            </w:r>
          </w:p>
        </w:tc>
      </w:tr>
      <w:tr>
        <w:trPr>
          <w:cantSplit/>
        </w:trPr>
        <w:tc>
          <w:tcPr>
            <w:tcW w:w="1640" w:type="dxa"/>
            <w:vAlign w:val="top"/>
          </w:tcPr>
          <w:p>
            <w:pPr>
              <w:pStyle w:val="TableText"/>
              <w:jc w:val="left"/>
            </w:pPr>
            <w:r>
              <w:t xml:space="preserve">Writable paths</w:t>
            </w:r>
          </w:p>
        </w:tc>
        <w:tc>
          <w:tcPr>
            <w:tcW w:w="7387" w:type="dxa"/>
            <w:vAlign w:val="top"/>
          </w:tcPr>
          <w:p>
            <w:pPr>
              <w:pStyle w:val="TableText"/>
              <w:jc w:val="left"/>
            </w:pPr>
            <w:r>
              <w:rPr>
                <w:rStyle w:val="CodeChar"/>
              </w:rPr>
              <w:t xml:space="preserve">/tmp</w:t>
            </w:r>
            <w:r>
              <w:t xml:space="preserve"> </w:t>
            </w:r>
            <w:r>
              <w:t xml:space="preserve">only (64 MiB)</w:t>
            </w:r>
          </w:p>
        </w:tc>
      </w:tr>
      <w:tr>
        <w:trPr>
          <w:cantSplit/>
        </w:trPr>
        <w:tc>
          <w:tcPr>
            <w:tcW w:w="1640" w:type="dxa"/>
            <w:shd w:val="clear" w:color="auto" w:fill="F4F7FB"/>
            <w:vAlign w:val="top"/>
          </w:tcPr>
          <w:p>
            <w:pPr>
              <w:pStyle w:val="TableText"/>
              <w:jc w:val="left"/>
            </w:pPr>
            <w:r>
              <w:t xml:space="preserve">Disruption</w:t>
            </w:r>
          </w:p>
        </w:tc>
        <w:tc>
          <w:tcPr>
            <w:tcW w:w="7387" w:type="dxa"/>
            <w:shd w:val="clear" w:color="auto" w:fill="F4F7FB"/>
            <w:vAlign w:val="top"/>
          </w:tcPr>
          <w:p>
            <w:pPr>
              <w:pStyle w:val="TableText"/>
              <w:jc w:val="left"/>
            </w:pPr>
            <w:r>
              <w:t xml:space="preserve">Pod disruption budget of at least 2 available; rolling updates with no unavailable pod</w:t>
            </w:r>
          </w:p>
        </w:tc>
      </w:tr>
      <w:tr>
        <w:trPr>
          <w:cantSplit/>
        </w:trPr>
        <w:tc>
          <w:tcPr>
            <w:tcW w:w="1640" w:type="dxa"/>
            <w:vAlign w:val="top"/>
          </w:tcPr>
          <w:p>
            <w:pPr>
              <w:pStyle w:val="TableText"/>
              <w:jc w:val="left"/>
            </w:pPr>
            <w:r>
              <w:t xml:space="preserve">Termination</w:t>
            </w:r>
          </w:p>
        </w:tc>
        <w:tc>
          <w:tcPr>
            <w:tcW w:w="7387" w:type="dxa"/>
            <w:vAlign w:val="top"/>
          </w:tcPr>
          <w:p>
            <w:pPr>
              <w:pStyle w:val="TableText"/>
              <w:jc w:val="left"/>
            </w:pPr>
            <w:r>
              <w:t xml:space="preserve">30 s grace period; the application forces exit at 25 s</w:t>
            </w:r>
          </w:p>
        </w:tc>
      </w:tr>
    </w:tbl>
    <w:p>
      <w:pPr>
        <w:pStyle w:val="BodyText"/>
        <w:spacing w:before="160"/>
      </w:pPr>
      <w:r>
        <w:t xml:space="preserve">The image has no init process; the server handles termination signals itself.</w:t>
      </w:r>
    </w:p>
    <w:p>
      <w:pPr>
        <w:pStyle w:val="Heading2"/>
      </w:pPr>
      <w:bookmarkStart w:id="17" w:name="_Toc300000013"/>
      <w:r>
        <w:t xml:space="preserve">Scheduled jobs</w:t>
      </w:r>
      <w:bookmarkEnd w:id="17"/>
    </w:p>
    <w:p>
      <w:pPr>
        <w:pStyle w:val="FirstParagraph"/>
      </w:pPr>
      <w:r>
        <w:t xml:space="preserve">All jobs run the same image with</w:t>
      </w:r>
      <w:r>
        <w:t xml:space="preserve"> </w:t>
      </w:r>
      <w:r>
        <w:rPr>
          <w:rStyle w:val="CodeChar"/>
        </w:rPr>
        <w:t xml:space="preserve">node src/jobs/cli.js &lt;job&gt;</w:t>
      </w:r>
      <w:r>
        <w:t xml:space="preserve">, never overlap (</w:t>
      </w:r>
      <w:r>
        <w:rPr>
          <w:rStyle w:val="CodeChar"/>
        </w:rPr>
        <w:t xml:space="preserve">concurrencyPolicy: Forbid</w:t>
      </w:r>
      <w:r>
        <w:t xml:space="preserve">) and retry once. Schedules are set in UTC; the table shows Vietnam time.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92"/>
        <w:gridCol w:w="1459"/>
        <w:gridCol w:w="5676"/>
      </w:tblGrid>
      <w:tr>
        <w:trPr>
          <w:cantSplit/>
          <w:tblHeader/>
        </w:trPr>
        <w:tc>
          <w:tcPr>
            <w:tcW w:w="1892" w:type="dxa"/>
            <w:shd w:val="clear" w:color="auto" w:fill="0F4761"/>
            <w:vAlign w:val="center"/>
          </w:tcPr>
          <w:p>
            <w:pPr>
              <w:pStyle w:val="TableHeading"/>
              <w:jc w:val="left"/>
            </w:pPr>
            <w:r>
              <w:rPr>
                <w:color w:val="FFFFFF"/>
              </w:rPr>
              <w:t xml:space="preserve">Job</w:t>
            </w:r>
          </w:p>
        </w:tc>
        <w:tc>
          <w:tcPr>
            <w:tcW w:w="1459" w:type="dxa"/>
            <w:shd w:val="clear" w:color="auto" w:fill="0F4761"/>
            <w:vAlign w:val="center"/>
          </w:tcPr>
          <w:p>
            <w:pPr>
              <w:pStyle w:val="TableHeading"/>
              <w:jc w:val="left"/>
            </w:pPr>
            <w:r>
              <w:rPr>
                <w:color w:val="FFFFFF"/>
              </w:rPr>
              <w:t xml:space="preserve">Vietnam time</w:t>
            </w:r>
          </w:p>
        </w:tc>
        <w:tc>
          <w:tcPr>
            <w:tcW w:w="5676" w:type="dxa"/>
            <w:shd w:val="clear" w:color="auto" w:fill="0F4761"/>
            <w:vAlign w:val="center"/>
          </w:tcPr>
          <w:p>
            <w:pPr>
              <w:pStyle w:val="TableHeading"/>
              <w:jc w:val="left"/>
            </w:pPr>
            <w:r>
              <w:rPr>
                <w:color w:val="FFFFFF"/>
              </w:rPr>
              <w:t xml:space="preserve">What it does</w:t>
            </w:r>
          </w:p>
        </w:tc>
      </w:tr>
      <w:tr>
        <w:trPr>
          <w:cantSplit/>
        </w:trPr>
        <w:tc>
          <w:tcPr>
            <w:tcW w:w="1892" w:type="dxa"/>
            <w:vAlign w:val="top"/>
          </w:tcPr>
          <w:p>
            <w:pPr>
              <w:pStyle w:val="TableText"/>
              <w:jc w:val="left"/>
            </w:pPr>
            <w:r>
              <w:rPr>
                <w:rStyle w:val="CodeChar"/>
              </w:rPr>
              <w:t xml:space="preserve">journeys</w:t>
            </w:r>
          </w:p>
        </w:tc>
        <w:tc>
          <w:tcPr>
            <w:tcW w:w="1459" w:type="dxa"/>
            <w:vAlign w:val="top"/>
          </w:tcPr>
          <w:p>
            <w:pPr>
              <w:pStyle w:val="TableText"/>
              <w:jc w:val="left"/>
            </w:pPr>
            <w:r>
              <w:t xml:space="preserve">08:15 daily</w:t>
            </w:r>
          </w:p>
        </w:tc>
        <w:tc>
          <w:tcPr>
            <w:tcW w:w="5676" w:type="dxa"/>
            <w:vAlign w:val="top"/>
          </w:tcPr>
          <w:p>
            <w:pPr>
              <w:pStyle w:val="TableText"/>
              <w:jc w:val="left"/>
            </w:pPr>
            <w:r>
              <w:t xml:space="preserve">Runs all due touchpoints inside the 08:00 to 20:00 contact window; steps blocked only by the window stay scheduled</w:t>
            </w:r>
          </w:p>
        </w:tc>
      </w:tr>
      <w:tr>
        <w:trPr>
          <w:cantSplit/>
        </w:trPr>
        <w:tc>
          <w:tcPr>
            <w:tcW w:w="1892" w:type="dxa"/>
            <w:shd w:val="clear" w:color="auto" w:fill="F4F7FB"/>
            <w:vAlign w:val="top"/>
          </w:tcPr>
          <w:p>
            <w:pPr>
              <w:pStyle w:val="TableText"/>
              <w:jc w:val="left"/>
            </w:pPr>
            <w:r>
              <w:rPr>
                <w:rStyle w:val="CodeChar"/>
              </w:rPr>
              <w:t xml:space="preserve">recompute</w:t>
            </w:r>
          </w:p>
        </w:tc>
        <w:tc>
          <w:tcPr>
            <w:tcW w:w="1459" w:type="dxa"/>
            <w:shd w:val="clear" w:color="auto" w:fill="F4F7FB"/>
            <w:vAlign w:val="top"/>
          </w:tcPr>
          <w:p>
            <w:pPr>
              <w:pStyle w:val="TableText"/>
              <w:jc w:val="left"/>
            </w:pPr>
            <w:r>
              <w:t xml:space="preserve">00:30 daily</w:t>
            </w:r>
          </w:p>
        </w:tc>
        <w:tc>
          <w:tcPr>
            <w:tcW w:w="5676" w:type="dxa"/>
            <w:shd w:val="clear" w:color="auto" w:fill="F4F7FB"/>
            <w:vAlign w:val="top"/>
          </w:tcPr>
          <w:p>
            <w:pPr>
              <w:pStyle w:val="TableText"/>
              <w:jc w:val="left"/>
            </w:pPr>
            <w:r>
              <w:t xml:space="preserve">Re-scores all leads so time-dependent facts move on</w:t>
            </w:r>
          </w:p>
        </w:tc>
      </w:tr>
      <w:tr>
        <w:trPr>
          <w:cantSplit/>
        </w:trPr>
        <w:tc>
          <w:tcPr>
            <w:tcW w:w="1892" w:type="dxa"/>
            <w:vAlign w:val="top"/>
          </w:tcPr>
          <w:p>
            <w:pPr>
              <w:pStyle w:val="TableText"/>
              <w:jc w:val="left"/>
            </w:pPr>
            <w:r>
              <w:rPr>
                <w:rStyle w:val="CodeChar"/>
              </w:rPr>
              <w:t xml:space="preserve">sync-catalogue</w:t>
            </w:r>
          </w:p>
        </w:tc>
        <w:tc>
          <w:tcPr>
            <w:tcW w:w="1459" w:type="dxa"/>
            <w:vAlign w:val="top"/>
          </w:tcPr>
          <w:p>
            <w:pPr>
              <w:pStyle w:val="TableText"/>
              <w:jc w:val="left"/>
            </w:pPr>
            <w:r>
              <w:t xml:space="preserve">01:00 daily</w:t>
            </w:r>
          </w:p>
        </w:tc>
        <w:tc>
          <w:tcPr>
            <w:tcW w:w="5676" w:type="dxa"/>
            <w:vAlign w:val="top"/>
          </w:tcPr>
          <w:p>
            <w:pPr>
              <w:pStyle w:val="TableText"/>
              <w:jc w:val="left"/>
            </w:pPr>
            <w:r>
              <w:t xml:space="preserve">Fetches TASCO core’s product catalogue and proposes changes for maker-checker approval; never activates them</w:t>
            </w:r>
          </w:p>
        </w:tc>
      </w:tr>
      <w:tr>
        <w:trPr>
          <w:cantSplit/>
        </w:trPr>
        <w:tc>
          <w:tcPr>
            <w:tcW w:w="1892" w:type="dxa"/>
            <w:shd w:val="clear" w:color="auto" w:fill="F4F7FB"/>
            <w:vAlign w:val="top"/>
          </w:tcPr>
          <w:p>
            <w:pPr>
              <w:pStyle w:val="TableText"/>
              <w:jc w:val="left"/>
            </w:pPr>
            <w:r>
              <w:rPr>
                <w:rStyle w:val="CodeChar"/>
              </w:rPr>
              <w:t xml:space="preserve">reconcile</w:t>
            </w:r>
          </w:p>
        </w:tc>
        <w:tc>
          <w:tcPr>
            <w:tcW w:w="1459" w:type="dxa"/>
            <w:shd w:val="clear" w:color="auto" w:fill="F4F7FB"/>
            <w:vAlign w:val="top"/>
          </w:tcPr>
          <w:p>
            <w:pPr>
              <w:pStyle w:val="TableText"/>
              <w:jc w:val="left"/>
            </w:pPr>
            <w:r>
              <w:t xml:space="preserve">02:00 daily</w:t>
            </w:r>
          </w:p>
        </w:tc>
        <w:tc>
          <w:tcPr>
            <w:tcW w:w="5676" w:type="dxa"/>
            <w:shd w:val="clear" w:color="auto" w:fill="F4F7FB"/>
            <w:vAlign w:val="top"/>
          </w:tcPr>
          <w:p>
            <w:pPr>
              <w:pStyle w:val="TableText"/>
              <w:jc w:val="left"/>
            </w:pPr>
            <w:r>
              <w:t xml:space="preserve">Flags completed orders without payment reference or policy, stuck payments, failed payments and failed compensations</w:t>
            </w:r>
          </w:p>
        </w:tc>
      </w:tr>
      <w:tr>
        <w:trPr>
          <w:cantSplit/>
        </w:trPr>
        <w:tc>
          <w:tcPr>
            <w:tcW w:w="1892" w:type="dxa"/>
            <w:vAlign w:val="top"/>
          </w:tcPr>
          <w:p>
            <w:pPr>
              <w:pStyle w:val="TableText"/>
              <w:jc w:val="left"/>
            </w:pPr>
            <w:r>
              <w:rPr>
                <w:rStyle w:val="CodeChar"/>
              </w:rPr>
              <w:t xml:space="preserve">retention</w:t>
            </w:r>
          </w:p>
        </w:tc>
        <w:tc>
          <w:tcPr>
            <w:tcW w:w="1459" w:type="dxa"/>
            <w:vAlign w:val="top"/>
          </w:tcPr>
          <w:p>
            <w:pPr>
              <w:pStyle w:val="TableText"/>
              <w:jc w:val="left"/>
            </w:pPr>
            <w:r>
              <w:t xml:space="preserve">03:00 daily</w:t>
            </w:r>
          </w:p>
        </w:tc>
        <w:tc>
          <w:tcPr>
            <w:tcW w:w="5676" w:type="dxa"/>
            <w:vAlign w:val="top"/>
          </w:tcPr>
          <w:p>
            <w:pPr>
              <w:pStyle w:val="TableText"/>
              <w:jc w:val="left"/>
            </w:pPr>
            <w:r>
              <w:t xml:space="preserve">Deletes source records after 365 days and call sessions after 180 days; other entities go to the archival pipeline</w:t>
            </w:r>
          </w:p>
        </w:tc>
      </w:tr>
      <w:tr>
        <w:trPr>
          <w:cantSplit/>
        </w:trPr>
        <w:tc>
          <w:tcPr>
            <w:tcW w:w="1892" w:type="dxa"/>
            <w:shd w:val="clear" w:color="auto" w:fill="F4F7FB"/>
            <w:vAlign w:val="top"/>
          </w:tcPr>
          <w:p>
            <w:pPr>
              <w:pStyle w:val="TableText"/>
              <w:jc w:val="left"/>
            </w:pPr>
            <w:r>
              <w:rPr>
                <w:rStyle w:val="CodeChar"/>
              </w:rPr>
              <w:t xml:space="preserve">relay</w:t>
            </w:r>
          </w:p>
        </w:tc>
        <w:tc>
          <w:tcPr>
            <w:tcW w:w="1459" w:type="dxa"/>
            <w:shd w:val="clear" w:color="auto" w:fill="F4F7FB"/>
            <w:vAlign w:val="top"/>
          </w:tcPr>
          <w:p>
            <w:pPr>
              <w:pStyle w:val="TableText"/>
              <w:jc w:val="left"/>
            </w:pPr>
            <w:r>
              <w:t xml:space="preserve">Every 5 minutes</w:t>
            </w:r>
          </w:p>
        </w:tc>
        <w:tc>
          <w:tcPr>
            <w:tcW w:w="5676" w:type="dxa"/>
            <w:shd w:val="clear" w:color="auto" w:fill="F4F7FB"/>
            <w:vAlign w:val="top"/>
          </w:tcPr>
          <w:p>
            <w:pPr>
              <w:pStyle w:val="TableText"/>
              <w:jc w:val="left"/>
            </w:pPr>
            <w:r>
              <w:t xml:space="preserve">Drains the event outbox as a safety net for the in-pod relay</w:t>
            </w:r>
          </w:p>
        </w:tc>
      </w:tr>
      <w:tr>
        <w:trPr>
          <w:cantSplit/>
        </w:trPr>
        <w:tc>
          <w:tcPr>
            <w:tcW w:w="1892" w:type="dxa"/>
            <w:vAlign w:val="top"/>
          </w:tcPr>
          <w:p>
            <w:pPr>
              <w:pStyle w:val="TableText"/>
              <w:jc w:val="left"/>
            </w:pPr>
            <w:r>
              <w:rPr>
                <w:rStyle w:val="CodeChar"/>
              </w:rPr>
              <w:t xml:space="preserve">migrate</w:t>
            </w:r>
          </w:p>
        </w:tc>
        <w:tc>
          <w:tcPr>
            <w:tcW w:w="1459" w:type="dxa"/>
            <w:vAlign w:val="top"/>
          </w:tcPr>
          <w:p>
            <w:pPr>
              <w:pStyle w:val="TableText"/>
              <w:jc w:val="left"/>
            </w:pPr>
            <w:r>
              <w:t xml:space="preserve">Before each release</w:t>
            </w:r>
          </w:p>
        </w:tc>
        <w:tc>
          <w:tcPr>
            <w:tcW w:w="5676" w:type="dxa"/>
            <w:vAlign w:val="top"/>
          </w:tcPr>
          <w:p>
            <w:pPr>
              <w:pStyle w:val="TableText"/>
              <w:jc w:val="left"/>
            </w:pPr>
            <w:r>
              <w:t xml:space="preserve">Applies database migrations under an advisory lock</w:t>
            </w:r>
          </w:p>
        </w:tc>
      </w:tr>
    </w:tbl>
    <w:p>
      <w:pPr>
        <w:pStyle w:val="BodyText"/>
        <w:spacing w:before="160"/>
      </w:pPr>
      <w:r>
        <w:t xml:space="preserve">Job outcomes are recorded in the job history (visible in the staff console) and in the logs. Failed jobs raise an alert from the Kubernetes job metrics. Journey runs can be added hourly within the contact window if volumes require it.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8" w:name="_Toc300000014"/>
      <w:r>
        <w:rPr>
          <w:rStyle w:val="BookTitle"/>
          <w:bCs w:val="0"/>
          <w:i w:val="0"/>
          <w:iCs w:val="0"/>
          <w:spacing w:val="0"/>
        </w:rPr>
        <w:t xml:space="preserve">Network and edge</w:t>
      </w:r>
      <w:bookmarkEnd w:id="18"/>
    </w:p>
    <w:p>
      <w:pPr>
        <w:pStyle w:val="Heading2"/>
      </w:pPr>
      <w:bookmarkStart w:id="19" w:name="_Toc300000015"/>
      <w:r>
        <w:t xml:space="preserve">Network controls</w:t>
      </w:r>
      <w:bookmarkEnd w:id="19"/>
    </w:p>
    <w:p>
      <w:pPr>
        <w:pStyle w:val="FirstParagraph"/>
      </w:pPr>
      <w:r>
        <w:t xml:space="preserve">Network zones and trust boundaries are described in TGP-ARC-04 Security Architecture. The table lists how they are enforced in the cluster.</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061"/>
        <w:gridCol w:w="6966"/>
      </w:tblGrid>
      <w:tr>
        <w:trPr>
          <w:cantSplit/>
          <w:tblHeader/>
        </w:trPr>
        <w:tc>
          <w:tcPr>
            <w:tcW w:w="2061" w:type="dxa"/>
            <w:shd w:val="clear" w:color="auto" w:fill="0F4761"/>
            <w:vAlign w:val="center"/>
          </w:tcPr>
          <w:p>
            <w:pPr>
              <w:pStyle w:val="TableHeading"/>
              <w:jc w:val="left"/>
            </w:pPr>
            <w:r>
              <w:rPr>
                <w:color w:val="FFFFFF"/>
              </w:rPr>
              <w:t xml:space="preserve">Control</w:t>
            </w:r>
          </w:p>
        </w:tc>
        <w:tc>
          <w:tcPr>
            <w:tcW w:w="6966" w:type="dxa"/>
            <w:shd w:val="clear" w:color="auto" w:fill="0F4761"/>
            <w:vAlign w:val="center"/>
          </w:tcPr>
          <w:p>
            <w:pPr>
              <w:pStyle w:val="TableHeading"/>
              <w:jc w:val="left"/>
            </w:pPr>
            <w:r>
              <w:rPr>
                <w:color w:val="FFFFFF"/>
              </w:rPr>
              <w:t xml:space="preserve">Implementation</w:t>
            </w:r>
          </w:p>
        </w:tc>
      </w:tr>
      <w:tr>
        <w:trPr>
          <w:cantSplit/>
        </w:trPr>
        <w:tc>
          <w:tcPr>
            <w:tcW w:w="2061" w:type="dxa"/>
            <w:vAlign w:val="top"/>
          </w:tcPr>
          <w:p>
            <w:pPr>
              <w:pStyle w:val="TableText"/>
              <w:jc w:val="left"/>
            </w:pPr>
            <w:r>
              <w:t xml:space="preserve">Default deny</w:t>
            </w:r>
          </w:p>
        </w:tc>
        <w:tc>
          <w:tcPr>
            <w:tcW w:w="6966" w:type="dxa"/>
            <w:vAlign w:val="top"/>
          </w:tcPr>
          <w:p>
            <w:pPr>
              <w:pStyle w:val="TableText"/>
              <w:jc w:val="left"/>
            </w:pPr>
            <w:r>
              <w:t xml:space="preserve">Network policy with no ingress or egress in the application namespace, then allow-lists: ingress from the ingress controller and monitoring to port 8080; egress to the PostgreSQL subnet on 5432, DNS and the egress proxy on 3128</w:t>
            </w:r>
          </w:p>
        </w:tc>
      </w:tr>
      <w:tr>
        <w:trPr>
          <w:cantSplit/>
        </w:trPr>
        <w:tc>
          <w:tcPr>
            <w:tcW w:w="2061" w:type="dxa"/>
            <w:shd w:val="clear" w:color="auto" w:fill="F4F7FB"/>
            <w:vAlign w:val="top"/>
          </w:tcPr>
          <w:p>
            <w:pPr>
              <w:pStyle w:val="TableText"/>
              <w:jc w:val="left"/>
            </w:pPr>
            <w:r>
              <w:t xml:space="preserve">Workload identity</w:t>
            </w:r>
          </w:p>
        </w:tc>
        <w:tc>
          <w:tcPr>
            <w:tcW w:w="6966" w:type="dxa"/>
            <w:shd w:val="clear" w:color="auto" w:fill="F4F7FB"/>
            <w:vAlign w:val="top"/>
          </w:tcPr>
          <w:p>
            <w:pPr>
              <w:pStyle w:val="TableText"/>
              <w:jc w:val="left"/>
            </w:pPr>
            <w:r>
              <w:t xml:space="preserve">Separate service accounts for the API, each job and migrations, with no token mounted; the migrator owns the schema and the application role has data rights only</w:t>
            </w:r>
          </w:p>
        </w:tc>
      </w:tr>
      <w:tr>
        <w:trPr>
          <w:cantSplit/>
        </w:trPr>
        <w:tc>
          <w:tcPr>
            <w:tcW w:w="2061" w:type="dxa"/>
            <w:vAlign w:val="top"/>
          </w:tcPr>
          <w:p>
            <w:pPr>
              <w:pStyle w:val="TableText"/>
              <w:jc w:val="left"/>
            </w:pPr>
            <w:r>
              <w:t xml:space="preserve">Encrypted connections</w:t>
            </w:r>
          </w:p>
        </w:tc>
        <w:tc>
          <w:tcPr>
            <w:tcW w:w="6966" w:type="dxa"/>
            <w:vAlign w:val="top"/>
          </w:tcPr>
          <w:p>
            <w:pPr>
              <w:pStyle w:val="TableText"/>
              <w:jc w:val="left"/>
            </w:pPr>
            <w:r>
              <w:t xml:space="preserve">TLS to PostgreSQL with certificate verification; mTLS to providers through the egress proxy</w:t>
            </w:r>
          </w:p>
        </w:tc>
      </w:tr>
      <w:tr>
        <w:trPr>
          <w:cantSplit/>
        </w:trPr>
        <w:tc>
          <w:tcPr>
            <w:tcW w:w="2061" w:type="dxa"/>
            <w:shd w:val="clear" w:color="auto" w:fill="F4F7FB"/>
            <w:vAlign w:val="top"/>
          </w:tcPr>
          <w:p>
            <w:pPr>
              <w:pStyle w:val="TableText"/>
              <w:jc w:val="left"/>
            </w:pPr>
            <w:r>
              <w:t xml:space="preserve">Administrative access</w:t>
            </w:r>
          </w:p>
        </w:tc>
        <w:tc>
          <w:tcPr>
            <w:tcW w:w="6966" w:type="dxa"/>
            <w:shd w:val="clear" w:color="auto" w:fill="F4F7FB"/>
            <w:vAlign w:val="top"/>
          </w:tcPr>
          <w:p>
            <w:pPr>
              <w:pStyle w:val="TableText"/>
              <w:jc w:val="left"/>
            </w:pPr>
            <w:r>
              <w:t xml:space="preserve">No SSH to nodes; cluster access through SSO with MFA and just-in-time roles; database break-glass through a bastion with session recording</w:t>
            </w:r>
          </w:p>
        </w:tc>
      </w:tr>
      <w:tr>
        <w:trPr>
          <w:cantSplit/>
        </w:trPr>
        <w:tc>
          <w:tcPr>
            <w:tcW w:w="2061" w:type="dxa"/>
            <w:vAlign w:val="top"/>
          </w:tcPr>
          <w:p>
            <w:pPr>
              <w:pStyle w:val="TableText"/>
              <w:jc w:val="left"/>
            </w:pPr>
            <w:r>
              <w:t xml:space="preserve">Service mesh</w:t>
            </w:r>
          </w:p>
        </w:tc>
        <w:tc>
          <w:tcPr>
            <w:tcW w:w="6966" w:type="dxa"/>
            <w:vAlign w:val="top"/>
          </w:tcPr>
          <w:p>
            <w:pPr>
              <w:pStyle w:val="TableText"/>
              <w:jc w:val="left"/>
            </w:pPr>
            <w:r>
              <w:t xml:space="preserve">Optional, for pod-to-pod mTLS if more services are added</w:t>
            </w:r>
          </w:p>
        </w:tc>
      </w:tr>
    </w:tbl>
    <w:p>
      <w:pPr>
        <w:pStyle w:val="Heading2"/>
      </w:pPr>
      <w:bookmarkStart w:id="20" w:name="_Toc300000016"/>
      <w:r>
        <w:t xml:space="preserve">Ingress and WAF</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297"/>
        <w:gridCol w:w="7730"/>
      </w:tblGrid>
      <w:tr>
        <w:trPr>
          <w:cantSplit/>
          <w:tblHeader/>
        </w:trPr>
        <w:tc>
          <w:tcPr>
            <w:tcW w:w="1297" w:type="dxa"/>
            <w:shd w:val="clear" w:color="auto" w:fill="0F4761"/>
            <w:vAlign w:val="center"/>
          </w:tcPr>
          <w:p>
            <w:pPr>
              <w:pStyle w:val="TableHeading"/>
              <w:jc w:val="left"/>
            </w:pPr>
            <w:r>
              <w:rPr>
                <w:color w:val="FFFFFF"/>
              </w:rPr>
              <w:t xml:space="preserve">Control</w:t>
            </w:r>
          </w:p>
        </w:tc>
        <w:tc>
          <w:tcPr>
            <w:tcW w:w="7730" w:type="dxa"/>
            <w:shd w:val="clear" w:color="auto" w:fill="0F4761"/>
            <w:vAlign w:val="center"/>
          </w:tcPr>
          <w:p>
            <w:pPr>
              <w:pStyle w:val="TableHeading"/>
              <w:jc w:val="left"/>
            </w:pPr>
            <w:r>
              <w:rPr>
                <w:color w:val="FFFFFF"/>
              </w:rPr>
              <w:t xml:space="preserve">Setting</w:t>
            </w:r>
          </w:p>
        </w:tc>
      </w:tr>
      <w:tr>
        <w:trPr>
          <w:cantSplit/>
        </w:trPr>
        <w:tc>
          <w:tcPr>
            <w:tcW w:w="1297" w:type="dxa"/>
            <w:vAlign w:val="top"/>
          </w:tcPr>
          <w:p>
            <w:pPr>
              <w:pStyle w:val="TableText"/>
              <w:jc w:val="left"/>
            </w:pPr>
            <w:r>
              <w:t xml:space="preserve">TLS</w:t>
            </w:r>
          </w:p>
        </w:tc>
        <w:tc>
          <w:tcPr>
            <w:tcW w:w="7730" w:type="dxa"/>
            <w:vAlign w:val="top"/>
          </w:tcPr>
          <w:p>
            <w:pPr>
              <w:pStyle w:val="TableText"/>
              <w:jc w:val="left"/>
            </w:pPr>
            <w:r>
              <w:t xml:space="preserve">TLS 1.2 or higher (1.3 preferred) with modern ciphers; certificates from cert-manager; HSTS also set by the application</w:t>
            </w:r>
          </w:p>
        </w:tc>
      </w:tr>
      <w:tr>
        <w:trPr>
          <w:cantSplit/>
        </w:trPr>
        <w:tc>
          <w:tcPr>
            <w:tcW w:w="1297" w:type="dxa"/>
            <w:shd w:val="clear" w:color="auto" w:fill="F4F7FB"/>
            <w:vAlign w:val="top"/>
          </w:tcPr>
          <w:p>
            <w:pPr>
              <w:pStyle w:val="TableText"/>
              <w:jc w:val="left"/>
            </w:pPr>
            <w:r>
              <w:t xml:space="preserve">Client address</w:t>
            </w:r>
          </w:p>
        </w:tc>
        <w:tc>
          <w:tcPr>
            <w:tcW w:w="7730" w:type="dxa"/>
            <w:shd w:val="clear" w:color="auto" w:fill="F4F7FB"/>
            <w:vAlign w:val="top"/>
          </w:tcPr>
          <w:p>
            <w:pPr>
              <w:pStyle w:val="TableText"/>
              <w:jc w:val="left"/>
            </w:pPr>
            <w:r>
              <w:t xml:space="preserve">The application takes the client IP from the right-most trusted forwarded hop (</w:t>
            </w:r>
            <w:r>
              <w:rPr>
                <w:rStyle w:val="CodeChar"/>
              </w:rPr>
              <w:t xml:space="preserve">TRUST_PROXY_HOPS</w:t>
            </w:r>
            <w:r>
              <w:t xml:space="preserve">, one hop by default, two with a CDN in front)</w:t>
            </w:r>
          </w:p>
        </w:tc>
      </w:tr>
      <w:tr>
        <w:trPr>
          <w:cantSplit/>
        </w:trPr>
        <w:tc>
          <w:tcPr>
            <w:tcW w:w="1297" w:type="dxa"/>
            <w:vAlign w:val="top"/>
          </w:tcPr>
          <w:p>
            <w:pPr>
              <w:pStyle w:val="TableText"/>
              <w:jc w:val="left"/>
            </w:pPr>
            <w:r>
              <w:t xml:space="preserve">Rate limiting</w:t>
            </w:r>
          </w:p>
        </w:tc>
        <w:tc>
          <w:tcPr>
            <w:tcW w:w="7730" w:type="dxa"/>
            <w:vAlign w:val="top"/>
          </w:tcPr>
          <w:p>
            <w:pPr>
              <w:pStyle w:val="TableText"/>
              <w:jc w:val="left"/>
            </w:pPr>
            <w:r>
              <w:t xml:space="preserve">50 requests per second per client IP at the ingress, shared across pods; stricter limits for sign-in and customer session at the gateway; per-partner quotas at the gateway. The in-process limiter (300 per minute, 10 sign-ins per minute per IP) is a per-pod second line.</w:t>
            </w:r>
          </w:p>
        </w:tc>
      </w:tr>
      <w:tr>
        <w:trPr>
          <w:cantSplit/>
        </w:trPr>
        <w:tc>
          <w:tcPr>
            <w:tcW w:w="1297" w:type="dxa"/>
            <w:shd w:val="clear" w:color="auto" w:fill="F4F7FB"/>
            <w:vAlign w:val="top"/>
          </w:tcPr>
          <w:p>
            <w:pPr>
              <w:pStyle w:val="TableText"/>
              <w:jc w:val="left"/>
            </w:pPr>
            <w:r>
              <w:t xml:space="preserve">Body size</w:t>
            </w:r>
          </w:p>
        </w:tc>
        <w:tc>
          <w:tcPr>
            <w:tcW w:w="7730" w:type="dxa"/>
            <w:shd w:val="clear" w:color="auto" w:fill="F4F7FB"/>
            <w:vAlign w:val="top"/>
          </w:tcPr>
          <w:p>
            <w:pPr>
              <w:pStyle w:val="TableText"/>
              <w:jc w:val="left"/>
            </w:pPr>
            <w:r>
              <w:t xml:space="preserve">1 MiB</w:t>
            </w:r>
          </w:p>
        </w:tc>
      </w:tr>
      <w:tr>
        <w:trPr>
          <w:cantSplit/>
        </w:trPr>
        <w:tc>
          <w:tcPr>
            <w:tcW w:w="1297" w:type="dxa"/>
            <w:vAlign w:val="top"/>
          </w:tcPr>
          <w:p>
            <w:pPr>
              <w:pStyle w:val="TableText"/>
              <w:jc w:val="left"/>
            </w:pPr>
            <w:r>
              <w:t xml:space="preserve">Path rules</w:t>
            </w:r>
          </w:p>
        </w:tc>
        <w:tc>
          <w:tcPr>
            <w:tcW w:w="7730" w:type="dxa"/>
            <w:vAlign w:val="top"/>
          </w:tcPr>
          <w:p>
            <w:pPr>
              <w:pStyle w:val="TableText"/>
              <w:jc w:val="left"/>
            </w:pPr>
            <w:r>
              <w:t xml:space="preserve">Metrics blocked from outside the cluster; the API description and staff APIs can be restricted to TASCO and VETC corporate addresses</w:t>
            </w:r>
          </w:p>
        </w:tc>
      </w:tr>
      <w:tr>
        <w:trPr>
          <w:cantSplit/>
        </w:trPr>
        <w:tc>
          <w:tcPr>
            <w:tcW w:w="1297" w:type="dxa"/>
            <w:shd w:val="clear" w:color="auto" w:fill="F4F7FB"/>
            <w:vAlign w:val="top"/>
          </w:tcPr>
          <w:p>
            <w:pPr>
              <w:pStyle w:val="TableText"/>
              <w:jc w:val="left"/>
            </w:pPr>
            <w:r>
              <w:t xml:space="preserve">WAF</w:t>
            </w:r>
          </w:p>
        </w:tc>
        <w:tc>
          <w:tcPr>
            <w:tcW w:w="7730" w:type="dxa"/>
            <w:shd w:val="clear" w:color="auto" w:fill="F4F7FB"/>
            <w:vAlign w:val="top"/>
          </w:tcPr>
          <w:p>
            <w:pPr>
              <w:pStyle w:val="TableText"/>
              <w:jc w:val="left"/>
            </w:pPr>
            <w:r>
              <w:t xml:space="preserve">ModSecurity with the OWASP core rule set, paranoia level 2 on the API, tuned for rule payloads; bot management on customer and public endpoints</w:t>
            </w:r>
          </w:p>
        </w:tc>
      </w:tr>
      <w:tr>
        <w:trPr>
          <w:cantSplit/>
        </w:trPr>
        <w:tc>
          <w:tcPr>
            <w:tcW w:w="1297" w:type="dxa"/>
            <w:vAlign w:val="top"/>
          </w:tcPr>
          <w:p>
            <w:pPr>
              <w:pStyle w:val="TableText"/>
              <w:jc w:val="left"/>
            </w:pPr>
            <w:r>
              <w:t xml:space="preserve">Partner mTLS</w:t>
            </w:r>
          </w:p>
        </w:tc>
        <w:tc>
          <w:tcPr>
            <w:tcW w:w="7730" w:type="dxa"/>
            <w:vAlign w:val="top"/>
          </w:tcPr>
          <w:p>
            <w:pPr>
              <w:pStyle w:val="TableText"/>
              <w:jc w:val="left"/>
            </w:pPr>
            <w:r>
              <w:t xml:space="preserve">Target: a separate partner host with client certificate verification</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1" w:name="_Toc300000017"/>
      <w:r>
        <w:rPr>
          <w:rStyle w:val="BookTitle"/>
          <w:bCs w:val="0"/>
          <w:i w:val="0"/>
          <w:iCs w:val="0"/>
          <w:spacing w:val="0"/>
        </w:rPr>
        <w:t xml:space="preserve">PostgreSQL</w:t>
      </w:r>
      <w:bookmarkEnd w:id="2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96"/>
        <w:gridCol w:w="7331"/>
      </w:tblGrid>
      <w:tr>
        <w:trPr>
          <w:cantSplit/>
          <w:tblHeader/>
        </w:trPr>
        <w:tc>
          <w:tcPr>
            <w:tcW w:w="1696" w:type="dxa"/>
            <w:shd w:val="clear" w:color="auto" w:fill="0F4761"/>
            <w:vAlign w:val="center"/>
          </w:tcPr>
          <w:p>
            <w:pPr>
              <w:pStyle w:val="TableHeading"/>
              <w:jc w:val="left"/>
            </w:pPr>
            <w:r>
              <w:rPr>
                <w:color w:val="FFFFFF"/>
              </w:rPr>
              <w:t xml:space="preserve">Aspect</w:t>
            </w:r>
          </w:p>
        </w:tc>
        <w:tc>
          <w:tcPr>
            <w:tcW w:w="7331" w:type="dxa"/>
            <w:shd w:val="clear" w:color="auto" w:fill="0F4761"/>
            <w:vAlign w:val="center"/>
          </w:tcPr>
          <w:p>
            <w:pPr>
              <w:pStyle w:val="TableHeading"/>
              <w:jc w:val="left"/>
            </w:pPr>
            <w:r>
              <w:rPr>
                <w:color w:val="FFFFFF"/>
              </w:rPr>
              <w:t xml:space="preserve">Design</w:t>
            </w:r>
          </w:p>
        </w:tc>
      </w:tr>
      <w:tr>
        <w:trPr>
          <w:cantSplit/>
        </w:trPr>
        <w:tc>
          <w:tcPr>
            <w:tcW w:w="1696" w:type="dxa"/>
            <w:vAlign w:val="top"/>
          </w:tcPr>
          <w:p>
            <w:pPr>
              <w:pStyle w:val="TableText"/>
              <w:jc w:val="left"/>
            </w:pPr>
            <w:r>
              <w:t xml:space="preserve">Service</w:t>
            </w:r>
          </w:p>
        </w:tc>
        <w:tc>
          <w:tcPr>
            <w:tcW w:w="7331" w:type="dxa"/>
            <w:vAlign w:val="top"/>
          </w:tcPr>
          <w:p>
            <w:pPr>
              <w:pStyle w:val="TableText"/>
              <w:jc w:val="left"/>
            </w:pPr>
            <w:r>
              <w:t xml:space="preserve">Managed PostgreSQL 16 in a Vietnamese region</w:t>
            </w:r>
          </w:p>
        </w:tc>
      </w:tr>
      <w:tr>
        <w:trPr>
          <w:cantSplit/>
        </w:trPr>
        <w:tc>
          <w:tcPr>
            <w:tcW w:w="1696" w:type="dxa"/>
            <w:shd w:val="clear" w:color="auto" w:fill="F4F7FB"/>
            <w:vAlign w:val="top"/>
          </w:tcPr>
          <w:p>
            <w:pPr>
              <w:pStyle w:val="TableText"/>
              <w:jc w:val="left"/>
            </w:pPr>
            <w:r>
              <w:t xml:space="preserve">High availability</w:t>
            </w:r>
          </w:p>
        </w:tc>
        <w:tc>
          <w:tcPr>
            <w:tcW w:w="7331" w:type="dxa"/>
            <w:shd w:val="clear" w:color="auto" w:fill="F4F7FB"/>
            <w:vAlign w:val="top"/>
          </w:tcPr>
          <w:p>
            <w:pPr>
              <w:pStyle w:val="TableText"/>
              <w:jc w:val="left"/>
            </w:pPr>
            <w:r>
              <w:t xml:space="preserve">Primary with a synchronous standby in another zone; automatic failover in about 30 to 60 seconds. The connection pool reconnects; failed requests return 5xx and idempotent retries are safe.</w:t>
            </w:r>
          </w:p>
        </w:tc>
      </w:tr>
      <w:tr>
        <w:trPr>
          <w:cantSplit/>
        </w:trPr>
        <w:tc>
          <w:tcPr>
            <w:tcW w:w="1696" w:type="dxa"/>
            <w:vAlign w:val="top"/>
          </w:tcPr>
          <w:p>
            <w:pPr>
              <w:pStyle w:val="TableText"/>
              <w:jc w:val="left"/>
            </w:pPr>
            <w:r>
              <w:t xml:space="preserve">Backups</w:t>
            </w:r>
          </w:p>
        </w:tc>
        <w:tc>
          <w:tcPr>
            <w:tcW w:w="7331" w:type="dxa"/>
            <w:vAlign w:val="top"/>
          </w:tcPr>
          <w:p>
            <w:pPr>
              <w:pStyle w:val="TableText"/>
              <w:jc w:val="left"/>
            </w:pPr>
            <w:r>
              <w:t xml:space="preserve">Continuous WAL archiving and daily base backups, encrypted with the KMS; point-in-time recovery for 35 days; monthly snapshots kept 12 months; restore tested quarterly</w:t>
            </w:r>
          </w:p>
        </w:tc>
      </w:tr>
      <w:tr>
        <w:trPr>
          <w:cantSplit/>
        </w:trPr>
        <w:tc>
          <w:tcPr>
            <w:tcW w:w="1696" w:type="dxa"/>
            <w:shd w:val="clear" w:color="auto" w:fill="F4F7FB"/>
            <w:vAlign w:val="top"/>
          </w:tcPr>
          <w:p>
            <w:pPr>
              <w:pStyle w:val="TableText"/>
              <w:jc w:val="left"/>
            </w:pPr>
            <w:r>
              <w:t xml:space="preserve">Read replica</w:t>
            </w:r>
          </w:p>
        </w:tc>
        <w:tc>
          <w:tcPr>
            <w:tcW w:w="7331" w:type="dxa"/>
            <w:shd w:val="clear" w:color="auto" w:fill="F4F7FB"/>
            <w:vAlign w:val="top"/>
          </w:tcPr>
          <w:p>
            <w:pPr>
              <w:pStyle w:val="TableText"/>
              <w:jc w:val="left"/>
            </w:pPr>
            <w:r>
              <w:t xml:space="preserve">Asynchronous replica for dashboards, BI extracts and analytics feeds</w:t>
            </w:r>
          </w:p>
        </w:tc>
      </w:tr>
      <w:tr>
        <w:trPr>
          <w:cantSplit/>
        </w:trPr>
        <w:tc>
          <w:tcPr>
            <w:tcW w:w="1696" w:type="dxa"/>
            <w:vAlign w:val="top"/>
          </w:tcPr>
          <w:p>
            <w:pPr>
              <w:pStyle w:val="TableText"/>
              <w:jc w:val="left"/>
            </w:pPr>
            <w:r>
              <w:t xml:space="preserve">DR</w:t>
            </w:r>
          </w:p>
        </w:tc>
        <w:tc>
          <w:tcPr>
            <w:tcW w:w="7331" w:type="dxa"/>
            <w:vAlign w:val="top"/>
          </w:tcPr>
          <w:p>
            <w:pPr>
              <w:pStyle w:val="TableText"/>
              <w:jc w:val="left"/>
            </w:pPr>
            <w:r>
              <w:t xml:space="preserve">Cross-region asynchronous replica, promoted in a declared disaster</w:t>
            </w:r>
          </w:p>
        </w:tc>
      </w:tr>
      <w:tr>
        <w:trPr>
          <w:cantSplit/>
        </w:trPr>
        <w:tc>
          <w:tcPr>
            <w:tcW w:w="1696" w:type="dxa"/>
            <w:shd w:val="clear" w:color="auto" w:fill="F4F7FB"/>
            <w:vAlign w:val="top"/>
          </w:tcPr>
          <w:p>
            <w:pPr>
              <w:pStyle w:val="TableText"/>
              <w:jc w:val="left"/>
            </w:pPr>
            <w:r>
              <w:t xml:space="preserve">Connections</w:t>
            </w:r>
          </w:p>
        </w:tc>
        <w:tc>
          <w:tcPr>
            <w:tcW w:w="7331" w:type="dxa"/>
            <w:shd w:val="clear" w:color="auto" w:fill="F4F7FB"/>
            <w:vAlign w:val="top"/>
          </w:tcPr>
          <w:p>
            <w:pPr>
              <w:pStyle w:val="TableText"/>
              <w:jc w:val="left"/>
            </w:pPr>
            <w:r>
              <w:t xml:space="preserve">Pool of 10 per process; with 20 API pods and the jobs that is about 260 connections, so a transaction-mode connection pooler sits in front</w:t>
            </w:r>
          </w:p>
        </w:tc>
      </w:tr>
      <w:tr>
        <w:trPr>
          <w:cantSplit/>
        </w:trPr>
        <w:tc>
          <w:tcPr>
            <w:tcW w:w="1696" w:type="dxa"/>
            <w:vAlign w:val="top"/>
          </w:tcPr>
          <w:p>
            <w:pPr>
              <w:pStyle w:val="TableText"/>
              <w:jc w:val="left"/>
            </w:pPr>
            <w:r>
              <w:t xml:space="preserve">Parameters</w:t>
            </w:r>
          </w:p>
        </w:tc>
        <w:tc>
          <w:tcPr>
            <w:tcW w:w="7331" w:type="dxa"/>
            <w:vAlign w:val="top"/>
          </w:tcPr>
          <w:p>
            <w:pPr>
              <w:pStyle w:val="TableText"/>
              <w:jc w:val="left"/>
            </w:pPr>
            <w:r>
              <w:t xml:space="preserve">Statement timeout 15 s (set by the application); idle-in-transaction timeout 60 s; slow-query log from 500 ms; query statistics enabled</w:t>
            </w:r>
          </w:p>
        </w:tc>
      </w:tr>
      <w:tr>
        <w:trPr>
          <w:cantSplit/>
        </w:trPr>
        <w:tc>
          <w:tcPr>
            <w:tcW w:w="1696" w:type="dxa"/>
            <w:shd w:val="clear" w:color="auto" w:fill="F4F7FB"/>
            <w:vAlign w:val="top"/>
          </w:tcPr>
          <w:p>
            <w:pPr>
              <w:pStyle w:val="TableText"/>
              <w:jc w:val="left"/>
            </w:pPr>
            <w:r>
              <w:t xml:space="preserve">Roles</w:t>
            </w:r>
          </w:p>
        </w:tc>
        <w:tc>
          <w:tcPr>
            <w:tcW w:w="7331" w:type="dxa"/>
            <w:shd w:val="clear" w:color="auto" w:fill="F4F7FB"/>
            <w:vAlign w:val="top"/>
          </w:tcPr>
          <w:p>
            <w:pPr>
              <w:pStyle w:val="TableText"/>
              <w:jc w:val="left"/>
            </w:pPr>
            <w:r>
              <w:t xml:space="preserve">Owner role for migrations, tables and triggers; application role with data rights and insert and select only on the audit log, no truncate or schema rights; read-only role for the replica</w:t>
            </w:r>
          </w:p>
        </w:tc>
      </w:tr>
      <w:tr>
        <w:trPr>
          <w:cantSplit/>
        </w:trPr>
        <w:tc>
          <w:tcPr>
            <w:tcW w:w="1696" w:type="dxa"/>
            <w:vAlign w:val="top"/>
          </w:tcPr>
          <w:p>
            <w:pPr>
              <w:pStyle w:val="TableText"/>
              <w:jc w:val="left"/>
            </w:pPr>
            <w:r>
              <w:t xml:space="preserve">Encryption</w:t>
            </w:r>
          </w:p>
        </w:tc>
        <w:tc>
          <w:tcPr>
            <w:tcW w:w="7331" w:type="dxa"/>
            <w:vAlign w:val="top"/>
          </w:tcPr>
          <w:p>
            <w:pPr>
              <w:pStyle w:val="TableText"/>
              <w:jc w:val="left"/>
            </w:pPr>
            <w:r>
              <w:t xml:space="preserve">Storage encryption with the KMS; TLS enforced; personal fields additionally encrypted by the application</w:t>
            </w:r>
          </w:p>
        </w:tc>
      </w:tr>
      <w:tr>
        <w:trPr>
          <w:cantSplit/>
        </w:trPr>
        <w:tc>
          <w:tcPr>
            <w:tcW w:w="1696" w:type="dxa"/>
            <w:shd w:val="clear" w:color="auto" w:fill="F4F7FB"/>
            <w:vAlign w:val="top"/>
          </w:tcPr>
          <w:p>
            <w:pPr>
              <w:pStyle w:val="TableText"/>
              <w:jc w:val="left"/>
            </w:pPr>
            <w:r>
              <w:t xml:space="preserve">Partitioning</w:t>
            </w:r>
          </w:p>
        </w:tc>
        <w:tc>
          <w:tcPr>
            <w:tcW w:w="7331" w:type="dxa"/>
            <w:shd w:val="clear" w:color="auto" w:fill="F4F7FB"/>
            <w:vAlign w:val="top"/>
          </w:tcPr>
          <w:p>
            <w:pPr>
              <w:pStyle w:val="TableText"/>
              <w:jc w:val="left"/>
            </w:pPr>
            <w:r>
              <w:t xml:space="preserve">Messages, touchpoints and domain events partitioned by month at scale, through a new numbered migration</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2" w:name="_Toc300000018"/>
      <w:r>
        <w:rPr>
          <w:rStyle w:val="BookTitle"/>
          <w:bCs w:val="0"/>
          <w:i w:val="0"/>
          <w:iCs w:val="0"/>
          <w:spacing w:val="0"/>
        </w:rPr>
        <w:t xml:space="preserve">Configuration</w:t>
      </w:r>
      <w:bookmarkEnd w:id="22"/>
    </w:p>
    <w:p>
      <w:pPr>
        <w:pStyle w:val="FirstParagraph"/>
      </w:pPr>
      <w:r>
        <w:t xml:space="preserve">All settings are read by</w:t>
      </w:r>
      <w:r>
        <w:t xml:space="preserve"> </w:t>
      </w:r>
      <w:r>
        <w:rPr>
          <w:rStyle w:val="CodeChar"/>
        </w:rPr>
        <w:t xml:space="preserve">src/shared/config.js</w:t>
      </w:r>
      <w:r>
        <w:t xml:space="preserve">. Non-secret values sit in a configuration map; secrets are mounted files referenced by</w:t>
      </w:r>
      <w:r>
        <w:t xml:space="preserve"> </w:t>
      </w:r>
      <w:r>
        <w:rPr>
          <w:rStyle w:val="CodeChar"/>
        </w:rPr>
        <w:t xml:space="preserve">&lt;NAME&gt;_FILE</w:t>
      </w:r>
      <w:r>
        <w:t xml:space="preserv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394"/>
        <w:gridCol w:w="2464"/>
        <w:gridCol w:w="3169"/>
      </w:tblGrid>
      <w:tr>
        <w:trPr>
          <w:cantSplit/>
          <w:tblHeader/>
        </w:trPr>
        <w:tc>
          <w:tcPr>
            <w:tcW w:w="3394" w:type="dxa"/>
            <w:shd w:val="clear" w:color="auto" w:fill="0F4761"/>
            <w:vAlign w:val="center"/>
          </w:tcPr>
          <w:p>
            <w:pPr>
              <w:pStyle w:val="TableHeading"/>
              <w:jc w:val="left"/>
            </w:pPr>
            <w:r>
              <w:rPr>
                <w:color w:val="FFFFFF"/>
              </w:rPr>
              <w:t xml:space="preserve">Setting</w:t>
            </w:r>
          </w:p>
        </w:tc>
        <w:tc>
          <w:tcPr>
            <w:tcW w:w="2464" w:type="dxa"/>
            <w:shd w:val="clear" w:color="auto" w:fill="0F4761"/>
            <w:vAlign w:val="center"/>
          </w:tcPr>
          <w:p>
            <w:pPr>
              <w:pStyle w:val="TableHeading"/>
              <w:jc w:val="left"/>
            </w:pPr>
            <w:r>
              <w:rPr>
                <w:color w:val="FFFFFF"/>
              </w:rPr>
              <w:t xml:space="preserve">Default</w:t>
            </w:r>
          </w:p>
        </w:tc>
        <w:tc>
          <w:tcPr>
            <w:tcW w:w="3169" w:type="dxa"/>
            <w:shd w:val="clear" w:color="auto" w:fill="0F4761"/>
            <w:vAlign w:val="center"/>
          </w:tcPr>
          <w:p>
            <w:pPr>
              <w:pStyle w:val="TableHeading"/>
              <w:jc w:val="left"/>
            </w:pPr>
            <w:r>
              <w:rPr>
                <w:color w:val="FFFFFF"/>
              </w:rPr>
              <w:t xml:space="preserve">Production</w:t>
            </w:r>
          </w:p>
        </w:tc>
      </w:tr>
      <w:tr>
        <w:trPr>
          <w:cantSplit/>
        </w:trPr>
        <w:tc>
          <w:tcPr>
            <w:tcW w:w="3394" w:type="dxa"/>
            <w:noWrap/>
            <w:vAlign w:val="top"/>
          </w:tcPr>
          <w:p>
            <w:pPr>
              <w:pStyle w:val="TableText"/>
              <w:jc w:val="left"/>
            </w:pPr>
            <w:r>
              <w:rPr>
                <w:rStyle w:val="CodeChar"/>
              </w:rPr>
              <w:t xml:space="preserve">NODE_ENV</w:t>
            </w:r>
          </w:p>
        </w:tc>
        <w:tc>
          <w:tcPr>
            <w:tcW w:w="2464" w:type="dxa"/>
            <w:vAlign w:val="top"/>
          </w:tcPr>
          <w:p>
            <w:pPr>
              <w:pStyle w:val="TableText"/>
              <w:jc w:val="left"/>
            </w:pPr>
            <w:r>
              <w:rPr>
                <w:rStyle w:val="CodeChar"/>
              </w:rPr>
              <w:t xml:space="preserve">development</w:t>
            </w:r>
          </w:p>
        </w:tc>
        <w:tc>
          <w:tcPr>
            <w:tcW w:w="3169" w:type="dxa"/>
            <w:vAlign w:val="top"/>
          </w:tcPr>
          <w:p>
            <w:pPr>
              <w:pStyle w:val="TableText"/>
              <w:jc w:val="left"/>
            </w:pPr>
            <w:r>
              <w:rPr>
                <w:rStyle w:val="CodeChar"/>
              </w:rPr>
              <w:t xml:space="preserve">production</w:t>
            </w:r>
          </w:p>
        </w:tc>
      </w:tr>
      <w:tr>
        <w:trPr>
          <w:cantSplit/>
        </w:trPr>
        <w:tc>
          <w:tcPr>
            <w:tcW w:w="3394" w:type="dxa"/>
            <w:shd w:val="clear" w:color="auto" w:fill="F4F7FB"/>
            <w:vAlign w:val="top"/>
          </w:tcPr>
          <w:p>
            <w:pPr>
              <w:pStyle w:val="TableText"/>
              <w:jc w:val="left"/>
            </w:pPr>
            <w:r>
              <w:rPr>
                <w:rStyle w:val="CodeChar"/>
              </w:rPr>
              <w:t xml:space="preserve">PORT</w:t>
            </w:r>
          </w:p>
        </w:tc>
        <w:tc>
          <w:tcPr>
            <w:tcW w:w="2464" w:type="dxa"/>
            <w:shd w:val="clear" w:color="auto" w:fill="F4F7FB"/>
            <w:vAlign w:val="top"/>
          </w:tcPr>
          <w:p>
            <w:pPr>
              <w:pStyle w:val="TableText"/>
              <w:jc w:val="left"/>
            </w:pPr>
            <w:r>
              <w:t xml:space="preserve">3000</w:t>
            </w:r>
          </w:p>
        </w:tc>
        <w:tc>
          <w:tcPr>
            <w:tcW w:w="3169" w:type="dxa"/>
            <w:shd w:val="clear" w:color="auto" w:fill="F4F7FB"/>
            <w:vAlign w:val="top"/>
          </w:tcPr>
          <w:p>
            <w:pPr>
              <w:pStyle w:val="TableText"/>
              <w:jc w:val="left"/>
            </w:pPr>
            <w:r>
              <w:t xml:space="preserve">8080</w:t>
            </w:r>
          </w:p>
        </w:tc>
      </w:tr>
      <w:tr>
        <w:trPr>
          <w:cantSplit/>
        </w:trPr>
        <w:tc>
          <w:tcPr>
            <w:tcW w:w="3394" w:type="dxa"/>
            <w:noWrap/>
            <w:vAlign w:val="top"/>
          </w:tcPr>
          <w:p>
            <w:pPr>
              <w:pStyle w:val="TableText"/>
              <w:jc w:val="left"/>
            </w:pPr>
            <w:r>
              <w:rPr>
                <w:rStyle w:val="CodeChar"/>
              </w:rPr>
              <w:t xml:space="preserve">PUBLIC_BASE_URL</w:t>
            </w:r>
          </w:p>
        </w:tc>
        <w:tc>
          <w:tcPr>
            <w:tcW w:w="2464" w:type="dxa"/>
            <w:vAlign w:val="top"/>
          </w:tcPr>
          <w:p>
            <w:pPr>
              <w:pStyle w:val="TableText"/>
              <w:jc w:val="left"/>
            </w:pPr>
            <w:r>
              <w:t xml:space="preserve">Local address</w:t>
            </w:r>
          </w:p>
        </w:tc>
        <w:tc>
          <w:tcPr>
            <w:tcW w:w="3169" w:type="dxa"/>
            <w:vAlign w:val="top"/>
          </w:tcPr>
          <w:p>
            <w:pPr>
              <w:pStyle w:val="TableText"/>
              <w:jc w:val="left"/>
            </w:pPr>
            <w:r>
              <w:t xml:space="preserve">The platform’s public address, used in links and certificate URLs</w:t>
            </w:r>
          </w:p>
        </w:tc>
      </w:tr>
      <w:tr>
        <w:trPr>
          <w:cantSplit/>
        </w:trPr>
        <w:tc>
          <w:tcPr>
            <w:tcW w:w="3394" w:type="dxa"/>
            <w:shd w:val="clear" w:color="auto" w:fill="F4F7FB"/>
            <w:vAlign w:val="top"/>
          </w:tcPr>
          <w:p>
            <w:pPr>
              <w:pStyle w:val="TableText"/>
              <w:jc w:val="left"/>
            </w:pPr>
            <w:r>
              <w:rPr>
                <w:rStyle w:val="CodeChar"/>
              </w:rPr>
              <w:t xml:space="preserve">DATABASE_URL</w:t>
            </w:r>
            <w:r>
              <w:t xml:space="preserve"> </w:t>
            </w:r>
            <w:r>
              <w:t xml:space="preserve">(file)</w:t>
            </w:r>
          </w:p>
        </w:tc>
        <w:tc>
          <w:tcPr>
            <w:tcW w:w="2464" w:type="dxa"/>
            <w:shd w:val="clear" w:color="auto" w:fill="F4F7FB"/>
            <w:vAlign w:val="top"/>
          </w:tcPr>
          <w:p>
            <w:pPr>
              <w:pStyle w:val="TableText"/>
              <w:jc w:val="left"/>
            </w:pPr>
            <w:r>
              <w:t xml:space="preserve">In-memory store outside production</w:t>
            </w:r>
          </w:p>
        </w:tc>
        <w:tc>
          <w:tcPr>
            <w:tcW w:w="3169" w:type="dxa"/>
            <w:shd w:val="clear" w:color="auto" w:fill="F4F7FB"/>
            <w:vAlign w:val="top"/>
          </w:tcPr>
          <w:p>
            <w:pPr>
              <w:pStyle w:val="TableText"/>
              <w:jc w:val="left"/>
            </w:pPr>
            <w:r>
              <w:t xml:space="preserve">Required</w:t>
            </w:r>
          </w:p>
        </w:tc>
      </w:tr>
      <w:tr>
        <w:trPr>
          <w:cantSplit/>
        </w:trPr>
        <w:tc>
          <w:tcPr>
            <w:tcW w:w="3394" w:type="dxa"/>
            <w:vAlign w:val="top"/>
          </w:tcPr>
          <w:p>
            <w:pPr>
              <w:pStyle w:val="TableText"/>
              <w:jc w:val="left"/>
            </w:pPr>
            <w:r>
              <w:rPr>
                <w:rStyle w:val="CodeChar"/>
              </w:rPr>
              <w:t xml:space="preserve">DATABASE_SSL</w:t>
            </w:r>
            <w:r>
              <w:t xml:space="preserve">,</w:t>
            </w:r>
            <w:r>
              <w:t xml:space="preserve"> </w:t>
            </w:r>
            <w:r>
              <w:rPr>
                <w:rStyle w:val="CodeChar"/>
              </w:rPr>
              <w:t xml:space="preserve">DB_POOL_MAX</w:t>
            </w:r>
          </w:p>
        </w:tc>
        <w:tc>
          <w:tcPr>
            <w:tcW w:w="2464" w:type="dxa"/>
            <w:vAlign w:val="top"/>
          </w:tcPr>
          <w:p>
            <w:pPr>
              <w:pStyle w:val="TableText"/>
              <w:jc w:val="left"/>
            </w:pPr>
            <w:r>
              <w:t xml:space="preserve">On in production, 10</w:t>
            </w:r>
          </w:p>
        </w:tc>
        <w:tc>
          <w:tcPr>
            <w:tcW w:w="3169" w:type="dxa"/>
            <w:vAlign w:val="top"/>
          </w:tcPr>
          <w:p>
            <w:pPr>
              <w:pStyle w:val="TableText"/>
              <w:jc w:val="left"/>
            </w:pPr>
            <w:r>
              <w:rPr>
                <w:rStyle w:val="CodeChar"/>
              </w:rPr>
              <w:t xml:space="preserve">true</w:t>
            </w:r>
            <w:r>
              <w:t xml:space="preserve">, 10</w:t>
            </w:r>
          </w:p>
        </w:tc>
      </w:tr>
      <w:tr>
        <w:trPr>
          <w:cantSplit/>
        </w:trPr>
        <w:tc>
          <w:tcPr>
            <w:tcW w:w="3394" w:type="dxa"/>
            <w:shd w:val="clear" w:color="auto" w:fill="F4F7FB"/>
            <w:vAlign w:val="top"/>
          </w:tcPr>
          <w:p>
            <w:pPr>
              <w:pStyle w:val="TableText"/>
              <w:jc w:val="left"/>
            </w:pPr>
            <w:r>
              <w:rPr>
                <w:rStyle w:val="CodeChar"/>
              </w:rPr>
              <w:t xml:space="preserve">JWT_SECRET</w:t>
            </w:r>
            <w:r>
              <w:t xml:space="preserve"> </w:t>
            </w:r>
            <w:r>
              <w:t xml:space="preserve">(file)</w:t>
            </w:r>
          </w:p>
        </w:tc>
        <w:tc>
          <w:tcPr>
            <w:tcW w:w="2464" w:type="dxa"/>
            <w:shd w:val="clear" w:color="auto" w:fill="F4F7FB"/>
            <w:vAlign w:val="top"/>
          </w:tcPr>
          <w:p>
            <w:pPr>
              <w:pStyle w:val="TableText"/>
              <w:jc w:val="left"/>
            </w:pPr>
            <w:r>
              <w:t xml:space="preserve">Random in development</w:t>
            </w:r>
          </w:p>
        </w:tc>
        <w:tc>
          <w:tcPr>
            <w:tcW w:w="3169" w:type="dxa"/>
            <w:shd w:val="clear" w:color="auto" w:fill="F4F7FB"/>
            <w:vAlign w:val="top"/>
          </w:tcPr>
          <w:p>
            <w:pPr>
              <w:pStyle w:val="TableText"/>
              <w:jc w:val="left"/>
            </w:pPr>
            <w:r>
              <w:t xml:space="preserve">Required, at least 48 random bytes</w:t>
            </w:r>
          </w:p>
        </w:tc>
      </w:tr>
      <w:tr>
        <w:trPr>
          <w:cantSplit/>
        </w:trPr>
        <w:tc>
          <w:tcPr>
            <w:tcW w:w="3394" w:type="dxa"/>
            <w:vAlign w:val="top"/>
          </w:tcPr>
          <w:p>
            <w:pPr>
              <w:pStyle w:val="TableText"/>
              <w:jc w:val="left"/>
            </w:pPr>
            <w:r>
              <w:rPr>
                <w:rStyle w:val="CodeChar"/>
              </w:rPr>
              <w:t xml:space="preserve">JWT_TTL_SECONDS</w:t>
            </w:r>
          </w:p>
        </w:tc>
        <w:tc>
          <w:tcPr>
            <w:tcW w:w="2464" w:type="dxa"/>
            <w:vAlign w:val="top"/>
          </w:tcPr>
          <w:p>
            <w:pPr>
              <w:pStyle w:val="TableText"/>
              <w:jc w:val="left"/>
            </w:pPr>
            <w:r>
              <w:t xml:space="preserve">1,800</w:t>
            </w:r>
          </w:p>
        </w:tc>
        <w:tc>
          <w:tcPr>
            <w:tcW w:w="3169" w:type="dxa"/>
            <w:vAlign w:val="top"/>
          </w:tcPr>
          <w:p>
            <w:pPr>
              <w:pStyle w:val="TableText"/>
              <w:jc w:val="left"/>
            </w:pPr>
            <w:r>
              <w:t xml:space="preserve">1,800</w:t>
            </w:r>
          </w:p>
        </w:tc>
      </w:tr>
      <w:tr>
        <w:trPr>
          <w:cantSplit/>
        </w:trPr>
        <w:tc>
          <w:tcPr>
            <w:tcW w:w="3394" w:type="dxa"/>
            <w:shd w:val="clear" w:color="auto" w:fill="F4F7FB"/>
            <w:vAlign w:val="top"/>
          </w:tcPr>
          <w:p>
            <w:pPr>
              <w:pStyle w:val="TableText"/>
              <w:jc w:val="left"/>
            </w:pPr>
            <w:r>
              <w:rPr>
                <w:rStyle w:val="CodeChar"/>
              </w:rPr>
              <w:t xml:space="preserve">MFA_REQUIRED_ROLES</w:t>
            </w:r>
          </w:p>
        </w:tc>
        <w:tc>
          <w:tcPr>
            <w:tcW w:w="2464" w:type="dxa"/>
            <w:shd w:val="clear" w:color="auto" w:fill="F4F7FB"/>
            <w:vAlign w:val="top"/>
          </w:tcPr>
          <w:p>
            <w:pPr>
              <w:pStyle w:val="TableText"/>
              <w:jc w:val="left"/>
            </w:pPr>
            <w:r>
              <w:t xml:space="preserve">Administrator, rule approver, compliance officer, data steward</w:t>
            </w:r>
          </w:p>
        </w:tc>
        <w:tc>
          <w:tcPr>
            <w:tcW w:w="3169" w:type="dxa"/>
            <w:shd w:val="clear" w:color="auto" w:fill="F4F7FB"/>
            <w:vAlign w:val="top"/>
          </w:tcPr>
          <w:p>
            <w:pPr>
              <w:pStyle w:val="TableText"/>
              <w:jc w:val="left"/>
            </w:pPr>
            <w:r>
              <w:t xml:space="preserve">Add telesales supervisor, partner manager, support engineer (recommended)</w:t>
            </w:r>
          </w:p>
        </w:tc>
      </w:tr>
      <w:tr>
        <w:trPr>
          <w:cantSplit/>
        </w:trPr>
        <w:tc>
          <w:tcPr>
            <w:tcW w:w="3394" w:type="dxa"/>
            <w:vAlign w:val="top"/>
          </w:tcPr>
          <w:p>
            <w:pPr>
              <w:pStyle w:val="TableText"/>
              <w:jc w:val="left"/>
            </w:pPr>
            <w:r>
              <w:rPr>
                <w:rStyle w:val="CodeChar"/>
              </w:rPr>
              <w:t xml:space="preserve">DATA_KEYS</w:t>
            </w:r>
            <w:r>
              <w:t xml:space="preserve">,</w:t>
            </w:r>
            <w:r>
              <w:t xml:space="preserve"> </w:t>
            </w:r>
            <w:r>
              <w:rPr>
                <w:rStyle w:val="CodeChar"/>
              </w:rPr>
              <w:t xml:space="preserve">DATA_KEY_ACTIVE</w:t>
            </w:r>
            <w:r>
              <w:t xml:space="preserve"> </w:t>
            </w:r>
            <w:r>
              <w:t xml:space="preserve">(file)</w:t>
            </w:r>
          </w:p>
        </w:tc>
        <w:tc>
          <w:tcPr>
            <w:tcW w:w="2464" w:type="dxa"/>
            <w:vAlign w:val="top"/>
          </w:tcPr>
          <w:p>
            <w:pPr>
              <w:pStyle w:val="TableText"/>
              <w:jc w:val="left"/>
            </w:pPr>
            <w:r>
              <w:t xml:space="preserve">Random development key</w:t>
            </w:r>
          </w:p>
        </w:tc>
        <w:tc>
          <w:tcPr>
            <w:tcW w:w="3169" w:type="dxa"/>
            <w:vAlign w:val="top"/>
          </w:tcPr>
          <w:p>
            <w:pPr>
              <w:pStyle w:val="TableText"/>
              <w:jc w:val="left"/>
            </w:pPr>
            <w:r>
              <w:t xml:space="preserve">Required; explicit active key</w:t>
            </w:r>
          </w:p>
        </w:tc>
      </w:tr>
      <w:tr>
        <w:trPr>
          <w:cantSplit/>
        </w:trPr>
        <w:tc>
          <w:tcPr>
            <w:tcW w:w="3394" w:type="dxa"/>
            <w:shd w:val="clear" w:color="auto" w:fill="F4F7FB"/>
            <w:vAlign w:val="top"/>
          </w:tcPr>
          <w:p>
            <w:pPr>
              <w:pStyle w:val="TableText"/>
              <w:jc w:val="left"/>
            </w:pPr>
            <w:r>
              <w:rPr>
                <w:rStyle w:val="CodeChar"/>
              </w:rPr>
              <w:t xml:space="preserve">BLIND_INDEX_KEY</w:t>
            </w:r>
            <w:r>
              <w:t xml:space="preserve"> </w:t>
            </w:r>
            <w:r>
              <w:t xml:space="preserve">(file)</w:t>
            </w:r>
          </w:p>
        </w:tc>
        <w:tc>
          <w:tcPr>
            <w:tcW w:w="2464" w:type="dxa"/>
            <w:shd w:val="clear" w:color="auto" w:fill="F4F7FB"/>
            <w:vAlign w:val="top"/>
          </w:tcPr>
          <w:p>
            <w:pPr>
              <w:pStyle w:val="TableText"/>
              <w:jc w:val="left"/>
            </w:pPr>
            <w:r>
              <w:t xml:space="preserve">Random in development</w:t>
            </w:r>
          </w:p>
        </w:tc>
        <w:tc>
          <w:tcPr>
            <w:tcW w:w="3169" w:type="dxa"/>
            <w:shd w:val="clear" w:color="auto" w:fill="F4F7FB"/>
            <w:vAlign w:val="top"/>
          </w:tcPr>
          <w:p>
            <w:pPr>
              <w:pStyle w:val="TableText"/>
              <w:jc w:val="left"/>
            </w:pPr>
            <w:r>
              <w:t xml:space="preserve">Required, 32 bytes</w:t>
            </w:r>
          </w:p>
        </w:tc>
      </w:tr>
      <w:tr>
        <w:trPr>
          <w:cantSplit/>
        </w:trPr>
        <w:tc>
          <w:tcPr>
            <w:tcW w:w="3394" w:type="dxa"/>
            <w:noWrap/>
            <w:vAlign w:val="top"/>
          </w:tcPr>
          <w:p>
            <w:pPr>
              <w:pStyle w:val="TableText"/>
              <w:jc w:val="left"/>
            </w:pPr>
            <w:r>
              <w:rPr>
                <w:rStyle w:val="CodeChar"/>
              </w:rPr>
              <w:t xml:space="preserve">RATING_SOURCE</w:t>
            </w:r>
          </w:p>
        </w:tc>
        <w:tc>
          <w:tcPr>
            <w:tcW w:w="2464" w:type="dxa"/>
            <w:vAlign w:val="top"/>
          </w:tcPr>
          <w:p>
            <w:pPr>
              <w:pStyle w:val="TableText"/>
              <w:jc w:val="left"/>
            </w:pPr>
            <w:r>
              <w:rPr>
                <w:rStyle w:val="CodeChar"/>
              </w:rPr>
              <w:t xml:space="preserve">rules</w:t>
            </w:r>
          </w:p>
        </w:tc>
        <w:tc>
          <w:tcPr>
            <w:tcW w:w="3169" w:type="dxa"/>
            <w:vAlign w:val="top"/>
          </w:tcPr>
          <w:p>
            <w:pPr>
              <w:pStyle w:val="TableText"/>
              <w:jc w:val="left"/>
            </w:pPr>
            <w:r>
              <w:rPr>
                <w:rStyle w:val="CodeChar"/>
              </w:rPr>
              <w:t xml:space="preserve">core</w:t>
            </w:r>
            <w:r>
              <w:t xml:space="preserve"> </w:t>
            </w:r>
            <w:r>
              <w:t xml:space="preserve">or</w:t>
            </w:r>
            <w:r>
              <w:t xml:space="preserve"> </w:t>
            </w:r>
            <w:r>
              <w:rPr>
                <w:rStyle w:val="CodeChar"/>
              </w:rPr>
              <w:t xml:space="preserve">core_with_fallback</w:t>
            </w:r>
            <w:r>
              <w:t xml:space="preserve">, as TASCO decides</w:t>
            </w:r>
          </w:p>
        </w:tc>
      </w:tr>
      <w:tr>
        <w:trPr>
          <w:cantSplit/>
        </w:trPr>
        <w:tc>
          <w:tcPr>
            <w:tcW w:w="3394" w:type="dxa"/>
            <w:shd w:val="clear" w:color="auto" w:fill="F4F7FB"/>
            <w:noWrap/>
            <w:vAlign w:val="top"/>
          </w:tcPr>
          <w:p>
            <w:pPr>
              <w:pStyle w:val="TableText"/>
              <w:jc w:val="left"/>
            </w:pPr>
            <w:r>
              <w:rPr>
                <w:rStyle w:val="CodeChar"/>
              </w:rPr>
              <w:t xml:space="preserve">TASCO_CORE_BASE_URL</w:t>
            </w:r>
          </w:p>
        </w:tc>
        <w:tc>
          <w:tcPr>
            <w:tcW w:w="2464" w:type="dxa"/>
            <w:shd w:val="clear" w:color="auto" w:fill="F4F7FB"/>
            <w:vAlign w:val="top"/>
          </w:tcPr>
          <w:p>
            <w:pPr>
              <w:pStyle w:val="TableText"/>
              <w:jc w:val="left"/>
            </w:pPr>
            <w:r>
              <w:t xml:space="preserve">Empty (simulated core)</w:t>
            </w:r>
          </w:p>
        </w:tc>
        <w:tc>
          <w:tcPr>
            <w:tcW w:w="3169" w:type="dxa"/>
            <w:shd w:val="clear" w:color="auto" w:fill="F4F7FB"/>
            <w:vAlign w:val="top"/>
          </w:tcPr>
          <w:p>
            <w:pPr>
              <w:pStyle w:val="TableText"/>
              <w:jc w:val="left"/>
            </w:pPr>
            <w:r>
              <w:t xml:space="preserve">TASCO core API gateway, HTTPS</w:t>
            </w:r>
          </w:p>
        </w:tc>
      </w:tr>
      <w:tr>
        <w:trPr>
          <w:cantSplit/>
        </w:trPr>
        <w:tc>
          <w:tcPr>
            <w:tcW w:w="3394" w:type="dxa"/>
            <w:vAlign w:val="top"/>
          </w:tcPr>
          <w:p>
            <w:pPr>
              <w:pStyle w:val="TableText"/>
              <w:jc w:val="left"/>
            </w:pPr>
            <w:r>
              <w:rPr>
                <w:rStyle w:val="CodeChar"/>
              </w:rPr>
              <w:t xml:space="preserve">TASCO_CORE_CLIENT_ID</w:t>
            </w:r>
            <w:r>
              <w:t xml:space="preserve">,</w:t>
            </w:r>
            <w:r>
              <w:t xml:space="preserve"> </w:t>
            </w:r>
            <w:r>
              <w:rPr>
                <w:rStyle w:val="CodeChar"/>
              </w:rPr>
              <w:t xml:space="preserve">TASCO_CORE_CLIENT_SECRET</w:t>
            </w:r>
            <w:r>
              <w:t xml:space="preserve"> </w:t>
            </w:r>
            <w:r>
              <w:t xml:space="preserve">(file)</w:t>
            </w:r>
          </w:p>
        </w:tc>
        <w:tc>
          <w:tcPr>
            <w:tcW w:w="2464" w:type="dxa"/>
            <w:vAlign w:val="top"/>
          </w:tcPr>
          <w:p>
            <w:pPr>
              <w:pStyle w:val="TableText"/>
              <w:jc w:val="left"/>
            </w:pPr>
            <w:r>
              <w:t xml:space="preserve">Empty</w:t>
            </w:r>
          </w:p>
        </w:tc>
        <w:tc>
          <w:tcPr>
            <w:tcW w:w="3169" w:type="dxa"/>
            <w:vAlign w:val="top"/>
          </w:tcPr>
          <w:p>
            <w:pPr>
              <w:pStyle w:val="TableText"/>
              <w:jc w:val="left"/>
            </w:pPr>
            <w:r>
              <w:t xml:space="preserve">Required when the core address is set</w:t>
            </w:r>
          </w:p>
        </w:tc>
      </w:tr>
      <w:tr>
        <w:trPr>
          <w:cantSplit/>
        </w:trPr>
        <w:tc>
          <w:tcPr>
            <w:tcW w:w="3394" w:type="dxa"/>
            <w:shd w:val="clear" w:color="auto" w:fill="F4F7FB"/>
            <w:vAlign w:val="top"/>
          </w:tcPr>
          <w:p>
            <w:pPr>
              <w:pStyle w:val="TableText"/>
              <w:jc w:val="left"/>
            </w:pPr>
            <w:r>
              <w:rPr>
                <w:rStyle w:val="CodeChar"/>
              </w:rPr>
              <w:t xml:space="preserve">TASCO_CORE_TOKEN_URL</w:t>
            </w:r>
            <w:r>
              <w:t xml:space="preserve">,</w:t>
            </w:r>
            <w:r>
              <w:t xml:space="preserve"> </w:t>
            </w:r>
            <w:r>
              <w:rPr>
                <w:rStyle w:val="CodeChar"/>
              </w:rPr>
              <w:t xml:space="preserve">TASCO_CORE_SCOPE</w:t>
            </w:r>
          </w:p>
        </w:tc>
        <w:tc>
          <w:tcPr>
            <w:tcW w:w="2464" w:type="dxa"/>
            <w:shd w:val="clear" w:color="auto" w:fill="F4F7FB"/>
            <w:vAlign w:val="top"/>
          </w:tcPr>
          <w:p>
            <w:pPr>
              <w:pStyle w:val="TableText"/>
              <w:jc w:val="left"/>
            </w:pPr>
            <w:r>
              <w:t xml:space="preserve">Core address plus</w:t>
            </w:r>
            <w:r>
              <w:t xml:space="preserve"> </w:t>
            </w:r>
            <w:r>
              <w:rPr>
                <w:rStyle w:val="CodeChar"/>
              </w:rPr>
              <w:t xml:space="preserve">/oauth2/token</w:t>
            </w:r>
            <w:r>
              <w:t xml:space="preserve">; rating and product scopes</w:t>
            </w:r>
          </w:p>
        </w:tc>
        <w:tc>
          <w:tcPr>
            <w:tcW w:w="3169" w:type="dxa"/>
            <w:shd w:val="clear" w:color="auto" w:fill="F4F7FB"/>
            <w:vAlign w:val="top"/>
          </w:tcPr>
          <w:p>
            <w:pPr>
              <w:pStyle w:val="TableText"/>
              <w:jc w:val="left"/>
            </w:pPr>
            <w:r>
              <w:t xml:space="preserve">As agreed with TASCO core</w:t>
            </w:r>
          </w:p>
        </w:tc>
      </w:tr>
      <w:tr>
        <w:trPr>
          <w:cantSplit/>
        </w:trPr>
        <w:tc>
          <w:tcPr>
            <w:tcW w:w="3394" w:type="dxa"/>
            <w:vAlign w:val="top"/>
          </w:tcPr>
          <w:p>
            <w:pPr>
              <w:pStyle w:val="TableText"/>
              <w:jc w:val="left"/>
            </w:pPr>
            <w:r>
              <w:rPr>
                <w:rStyle w:val="CodeChar"/>
              </w:rPr>
              <w:t xml:space="preserve">TASCO_CORE_TIMEOUT_MS</w:t>
            </w:r>
          </w:p>
        </w:tc>
        <w:tc>
          <w:tcPr>
            <w:tcW w:w="2464" w:type="dxa"/>
            <w:vAlign w:val="top"/>
          </w:tcPr>
          <w:p>
            <w:pPr>
              <w:pStyle w:val="TableText"/>
              <w:jc w:val="left"/>
            </w:pPr>
            <w:r>
              <w:t xml:space="preserve">5,000</w:t>
            </w:r>
          </w:p>
        </w:tc>
        <w:tc>
          <w:tcPr>
            <w:tcW w:w="3169" w:type="dxa"/>
            <w:vAlign w:val="top"/>
          </w:tcPr>
          <w:p>
            <w:pPr>
              <w:pStyle w:val="TableText"/>
              <w:jc w:val="left"/>
            </w:pPr>
            <w:r>
              <w:t xml:space="preserve">5,000</w:t>
            </w:r>
          </w:p>
        </w:tc>
      </w:tr>
      <w:tr>
        <w:trPr>
          <w:cantSplit/>
        </w:trPr>
        <w:tc>
          <w:tcPr>
            <w:tcW w:w="3394" w:type="dxa"/>
            <w:shd w:val="clear" w:color="auto" w:fill="F4F7FB"/>
            <w:noWrap/>
            <w:vAlign w:val="top"/>
          </w:tcPr>
          <w:p>
            <w:pPr>
              <w:pStyle w:val="TableText"/>
              <w:jc w:val="left"/>
            </w:pPr>
            <w:r>
              <w:rPr>
                <w:rStyle w:val="CodeChar"/>
              </w:rPr>
              <w:t xml:space="preserve">ALLOW_LOCAL_RATING</w:t>
            </w:r>
          </w:p>
        </w:tc>
        <w:tc>
          <w:tcPr>
            <w:tcW w:w="2464" w:type="dxa"/>
            <w:shd w:val="clear" w:color="auto" w:fill="F4F7FB"/>
            <w:vAlign w:val="top"/>
          </w:tcPr>
          <w:p>
            <w:pPr>
              <w:pStyle w:val="TableText"/>
              <w:jc w:val="left"/>
            </w:pPr>
            <w:r>
              <w:rPr>
                <w:rStyle w:val="CodeChar"/>
              </w:rPr>
              <w:t xml:space="preserve">false</w:t>
            </w:r>
          </w:p>
        </w:tc>
        <w:tc>
          <w:tcPr>
            <w:tcW w:w="3169" w:type="dxa"/>
            <w:shd w:val="clear" w:color="auto" w:fill="F4F7FB"/>
            <w:vAlign w:val="top"/>
          </w:tcPr>
          <w:p>
            <w:pPr>
              <w:pStyle w:val="TableText"/>
              <w:jc w:val="left"/>
            </w:pPr>
            <w:r>
              <w:rPr>
                <w:rStyle w:val="CodeChar"/>
              </w:rPr>
              <w:t xml:space="preserve">false</w:t>
            </w:r>
          </w:p>
        </w:tc>
      </w:tr>
      <w:tr>
        <w:trPr>
          <w:cantSplit/>
        </w:trPr>
        <w:tc>
          <w:tcPr>
            <w:tcW w:w="3394" w:type="dxa"/>
            <w:vAlign w:val="top"/>
          </w:tcPr>
          <w:p>
            <w:pPr>
              <w:pStyle w:val="TableText"/>
              <w:jc w:val="left"/>
            </w:pPr>
            <w:r>
              <w:rPr>
                <w:rStyle w:val="CodeChar"/>
              </w:rPr>
              <w:t xml:space="preserve">CORS_ORIGINS</w:t>
            </w:r>
          </w:p>
        </w:tc>
        <w:tc>
          <w:tcPr>
            <w:tcW w:w="2464" w:type="dxa"/>
            <w:vAlign w:val="top"/>
          </w:tcPr>
          <w:p>
            <w:pPr>
              <w:pStyle w:val="TableText"/>
              <w:jc w:val="left"/>
            </w:pPr>
            <w:r>
              <w:t xml:space="preserve">Same origin only</w:t>
            </w:r>
          </w:p>
        </w:tc>
        <w:tc>
          <w:tcPr>
            <w:tcW w:w="3169" w:type="dxa"/>
            <w:vAlign w:val="top"/>
          </w:tcPr>
          <w:p>
            <w:pPr>
              <w:pStyle w:val="TableText"/>
              <w:jc w:val="left"/>
            </w:pPr>
            <w:r>
              <w:t xml:space="preserve">VETC and Zalo origins only if they call cross-origin</w:t>
            </w:r>
          </w:p>
        </w:tc>
      </w:tr>
      <w:tr>
        <w:trPr>
          <w:cantSplit/>
        </w:trPr>
        <w:tc>
          <w:tcPr>
            <w:tcW w:w="3394" w:type="dxa"/>
            <w:shd w:val="clear" w:color="auto" w:fill="F4F7FB"/>
            <w:vAlign w:val="top"/>
          </w:tcPr>
          <w:p>
            <w:pPr>
              <w:pStyle w:val="TableText"/>
              <w:jc w:val="left"/>
            </w:pPr>
            <w:r>
              <w:rPr>
                <w:rStyle w:val="CodeChar"/>
              </w:rPr>
              <w:t xml:space="preserve">RATE_LIMIT_MAX</w:t>
            </w:r>
            <w:r>
              <w:t xml:space="preserve">,</w:t>
            </w:r>
            <w:r>
              <w:t xml:space="preserve"> </w:t>
            </w:r>
            <w:r>
              <w:rPr>
                <w:rStyle w:val="CodeChar"/>
              </w:rPr>
              <w:t xml:space="preserve">RATE_LIMIT_LOGIN_MAX</w:t>
            </w:r>
          </w:p>
        </w:tc>
        <w:tc>
          <w:tcPr>
            <w:tcW w:w="2464" w:type="dxa"/>
            <w:shd w:val="clear" w:color="auto" w:fill="F4F7FB"/>
            <w:vAlign w:val="top"/>
          </w:tcPr>
          <w:p>
            <w:pPr>
              <w:pStyle w:val="TableText"/>
              <w:jc w:val="left"/>
            </w:pPr>
            <w:r>
              <w:t xml:space="preserve">300, 10 per minute</w:t>
            </w:r>
          </w:p>
        </w:tc>
        <w:tc>
          <w:tcPr>
            <w:tcW w:w="3169" w:type="dxa"/>
            <w:shd w:val="clear" w:color="auto" w:fill="F4F7FB"/>
            <w:vAlign w:val="top"/>
          </w:tcPr>
          <w:p>
            <w:pPr>
              <w:pStyle w:val="TableText"/>
              <w:jc w:val="left"/>
            </w:pPr>
            <w:r>
              <w:t xml:space="preserve">Keep; the edge enforces global limits</w:t>
            </w:r>
          </w:p>
        </w:tc>
      </w:tr>
      <w:tr>
        <w:trPr>
          <w:cantSplit/>
        </w:trPr>
        <w:tc>
          <w:tcPr>
            <w:tcW w:w="3394" w:type="dxa"/>
            <w:vAlign w:val="top"/>
          </w:tcPr>
          <w:p>
            <w:pPr>
              <w:pStyle w:val="TableText"/>
              <w:jc w:val="left"/>
            </w:pPr>
            <w:r>
              <w:rPr>
                <w:rStyle w:val="CodeChar"/>
              </w:rPr>
              <w:t xml:space="preserve">LOCKOUT_MAX_FAILURES</w:t>
            </w:r>
            <w:r>
              <w:t xml:space="preserve">,</w:t>
            </w:r>
            <w:r>
              <w:t xml:space="preserve"> </w:t>
            </w:r>
            <w:r>
              <w:rPr>
                <w:rStyle w:val="CodeChar"/>
              </w:rPr>
              <w:t xml:space="preserve">LOCKOUT_MINUTES</w:t>
            </w:r>
          </w:p>
        </w:tc>
        <w:tc>
          <w:tcPr>
            <w:tcW w:w="2464" w:type="dxa"/>
            <w:vAlign w:val="top"/>
          </w:tcPr>
          <w:p>
            <w:pPr>
              <w:pStyle w:val="TableText"/>
              <w:jc w:val="left"/>
            </w:pPr>
            <w:r>
              <w:t xml:space="preserve">5, 15</w:t>
            </w:r>
          </w:p>
        </w:tc>
        <w:tc>
          <w:tcPr>
            <w:tcW w:w="3169" w:type="dxa"/>
            <w:vAlign w:val="top"/>
          </w:tcPr>
          <w:p>
            <w:pPr>
              <w:pStyle w:val="TableText"/>
              <w:jc w:val="left"/>
            </w:pPr>
            <w:r>
              <w:t xml:space="preserve">Keep</w:t>
            </w:r>
          </w:p>
        </w:tc>
      </w:tr>
      <w:tr>
        <w:trPr>
          <w:cantSplit/>
        </w:trPr>
        <w:tc>
          <w:tcPr>
            <w:tcW w:w="3394" w:type="dxa"/>
            <w:shd w:val="clear" w:color="auto" w:fill="F4F7FB"/>
            <w:vAlign w:val="top"/>
          </w:tcPr>
          <w:p>
            <w:pPr>
              <w:pStyle w:val="TableText"/>
              <w:jc w:val="left"/>
            </w:pPr>
            <w:r>
              <w:rPr>
                <w:rStyle w:val="CodeChar"/>
              </w:rPr>
              <w:t xml:space="preserve">TRUST_PROXY</w:t>
            </w:r>
            <w:r>
              <w:t xml:space="preserve">,</w:t>
            </w:r>
            <w:r>
              <w:t xml:space="preserve"> </w:t>
            </w:r>
            <w:r>
              <w:rPr>
                <w:rStyle w:val="CodeChar"/>
              </w:rPr>
              <w:t xml:space="preserve">TRUST_PROXY_HOPS</w:t>
            </w:r>
          </w:p>
        </w:tc>
        <w:tc>
          <w:tcPr>
            <w:tcW w:w="2464" w:type="dxa"/>
            <w:shd w:val="clear" w:color="auto" w:fill="F4F7FB"/>
            <w:vAlign w:val="top"/>
          </w:tcPr>
          <w:p>
            <w:pPr>
              <w:pStyle w:val="TableText"/>
              <w:jc w:val="left"/>
            </w:pPr>
            <w:r>
              <w:t xml:space="preserve">On in production, 1</w:t>
            </w:r>
          </w:p>
        </w:tc>
        <w:tc>
          <w:tcPr>
            <w:tcW w:w="3169" w:type="dxa"/>
            <w:shd w:val="clear" w:color="auto" w:fill="F4F7FB"/>
            <w:vAlign w:val="top"/>
          </w:tcPr>
          <w:p>
            <w:pPr>
              <w:pStyle w:val="TableText"/>
              <w:jc w:val="left"/>
            </w:pPr>
            <w:r>
              <w:rPr>
                <w:rStyle w:val="CodeChar"/>
              </w:rPr>
              <w:t xml:space="preserve">true</w:t>
            </w:r>
            <w:r>
              <w:t xml:space="preserve">, number of proxies in front</w:t>
            </w:r>
          </w:p>
        </w:tc>
      </w:tr>
      <w:tr>
        <w:trPr>
          <w:cantSplit/>
        </w:trPr>
        <w:tc>
          <w:tcPr>
            <w:tcW w:w="3394" w:type="dxa"/>
            <w:vAlign w:val="top"/>
          </w:tcPr>
          <w:p>
            <w:pPr>
              <w:pStyle w:val="TableText"/>
              <w:jc w:val="left"/>
            </w:pPr>
            <w:r>
              <w:rPr>
                <w:rStyle w:val="CodeChar"/>
              </w:rPr>
              <w:t xml:space="preserve">METRICS_TOKEN</w:t>
            </w:r>
            <w:r>
              <w:t xml:space="preserve"> </w:t>
            </w:r>
            <w:r>
              <w:t xml:space="preserve">(file)</w:t>
            </w:r>
          </w:p>
        </w:tc>
        <w:tc>
          <w:tcPr>
            <w:tcW w:w="2464" w:type="dxa"/>
            <w:vAlign w:val="top"/>
          </w:tcPr>
          <w:p>
            <w:pPr>
              <w:pStyle w:val="TableText"/>
              <w:jc w:val="left"/>
            </w:pPr>
            <w:r>
              <w:t xml:space="preserve">Unset</w:t>
            </w:r>
          </w:p>
        </w:tc>
        <w:tc>
          <w:tcPr>
            <w:tcW w:w="3169" w:type="dxa"/>
            <w:vAlign w:val="top"/>
          </w:tcPr>
          <w:p>
            <w:pPr>
              <w:pStyle w:val="TableText"/>
              <w:jc w:val="left"/>
            </w:pPr>
            <w:r>
              <w:t xml:space="preserve">Required</w:t>
            </w:r>
          </w:p>
        </w:tc>
      </w:tr>
      <w:tr>
        <w:trPr>
          <w:cantSplit/>
        </w:trPr>
        <w:tc>
          <w:tcPr>
            <w:tcW w:w="3394" w:type="dxa"/>
            <w:shd w:val="clear" w:color="auto" w:fill="F4F7FB"/>
            <w:noWrap/>
            <w:vAlign w:val="top"/>
          </w:tcPr>
          <w:p>
            <w:pPr>
              <w:pStyle w:val="TableText"/>
              <w:jc w:val="left"/>
            </w:pPr>
            <w:r>
              <w:rPr>
                <w:rStyle w:val="CodeChar"/>
              </w:rPr>
              <w:t xml:space="preserve">LINK_TTL_DAYS</w:t>
            </w:r>
          </w:p>
        </w:tc>
        <w:tc>
          <w:tcPr>
            <w:tcW w:w="2464" w:type="dxa"/>
            <w:shd w:val="clear" w:color="auto" w:fill="F4F7FB"/>
            <w:vAlign w:val="top"/>
          </w:tcPr>
          <w:p>
            <w:pPr>
              <w:pStyle w:val="TableText"/>
              <w:jc w:val="left"/>
            </w:pPr>
            <w:r>
              <w:t xml:space="preserve">30</w:t>
            </w:r>
          </w:p>
        </w:tc>
        <w:tc>
          <w:tcPr>
            <w:tcW w:w="3169" w:type="dxa"/>
            <w:shd w:val="clear" w:color="auto" w:fill="F4F7FB"/>
            <w:vAlign w:val="top"/>
          </w:tcPr>
          <w:p>
            <w:pPr>
              <w:pStyle w:val="TableText"/>
              <w:jc w:val="left"/>
            </w:pPr>
            <w:r>
              <w:t xml:space="preserve">30</w:t>
            </w:r>
          </w:p>
        </w:tc>
      </w:tr>
      <w:tr>
        <w:trPr>
          <w:cantSplit/>
        </w:trPr>
        <w:tc>
          <w:tcPr>
            <w:tcW w:w="3394" w:type="dxa"/>
            <w:noWrap/>
            <w:vAlign w:val="top"/>
          </w:tcPr>
          <w:p>
            <w:pPr>
              <w:pStyle w:val="TableText"/>
              <w:jc w:val="left"/>
            </w:pPr>
            <w:r>
              <w:rPr>
                <w:rStyle w:val="CodeChar"/>
              </w:rPr>
              <w:t xml:space="preserve">MIGRATE_ON_START</w:t>
            </w:r>
          </w:p>
        </w:tc>
        <w:tc>
          <w:tcPr>
            <w:tcW w:w="2464" w:type="dxa"/>
            <w:vAlign w:val="top"/>
          </w:tcPr>
          <w:p>
            <w:pPr>
              <w:pStyle w:val="TableText"/>
              <w:jc w:val="left"/>
            </w:pPr>
            <w:r>
              <w:t xml:space="preserve">Runs unless</w:t>
            </w:r>
            <w:r>
              <w:t xml:space="preserve"> </w:t>
            </w:r>
            <w:r>
              <w:rPr>
                <w:rStyle w:val="CodeChar"/>
              </w:rPr>
              <w:t xml:space="preserve">false</w:t>
            </w:r>
          </w:p>
        </w:tc>
        <w:tc>
          <w:tcPr>
            <w:tcW w:w="3169" w:type="dxa"/>
            <w:vAlign w:val="top"/>
          </w:tcPr>
          <w:p>
            <w:pPr>
              <w:pStyle w:val="TableText"/>
              <w:jc w:val="left"/>
            </w:pPr>
            <w:r>
              <w:rPr>
                <w:rStyle w:val="CodeChar"/>
              </w:rPr>
              <w:t xml:space="preserve">false</w:t>
            </w:r>
            <w:r>
              <w:t xml:space="preserve">; the migration job runs instead</w:t>
            </w:r>
          </w:p>
        </w:tc>
      </w:tr>
      <w:tr>
        <w:trPr>
          <w:cantSplit/>
        </w:trPr>
        <w:tc>
          <w:tcPr>
            <w:tcW w:w="3394" w:type="dxa"/>
            <w:shd w:val="clear" w:color="auto" w:fill="F4F7FB"/>
            <w:vAlign w:val="top"/>
          </w:tcPr>
          <w:p>
            <w:pPr>
              <w:pStyle w:val="TableText"/>
              <w:jc w:val="left"/>
            </w:pPr>
            <w:r>
              <w:rPr>
                <w:rStyle w:val="CodeChar"/>
              </w:rPr>
              <w:t xml:space="preserve">DEMO_MODE</w:t>
            </w:r>
            <w:r>
              <w:t xml:space="preserve"> </w:t>
            </w:r>
            <w:r>
              <w:t xml:space="preserve">and UAT demo settings</w:t>
            </w:r>
          </w:p>
        </w:tc>
        <w:tc>
          <w:tcPr>
            <w:tcW w:w="2464" w:type="dxa"/>
            <w:shd w:val="clear" w:color="auto" w:fill="F4F7FB"/>
            <w:vAlign w:val="top"/>
          </w:tcPr>
          <w:p>
            <w:pPr>
              <w:pStyle w:val="TableText"/>
              <w:jc w:val="left"/>
            </w:pPr>
            <w:r>
              <w:t xml:space="preserve">Off, unset</w:t>
            </w:r>
          </w:p>
        </w:tc>
        <w:tc>
          <w:tcPr>
            <w:tcW w:w="3169" w:type="dxa"/>
            <w:shd w:val="clear" w:color="auto" w:fill="F4F7FB"/>
            <w:vAlign w:val="top"/>
          </w:tcPr>
          <w:p>
            <w:pPr>
              <w:pStyle w:val="TableText"/>
              <w:jc w:val="left"/>
            </w:pPr>
            <w:r>
              <w:t xml:space="preserve">Off and unset</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3" w:name="_Toc300000019"/>
      <w:r>
        <w:rPr>
          <w:rStyle w:val="BookTitle"/>
          <w:bCs w:val="0"/>
          <w:i w:val="0"/>
          <w:iCs w:val="0"/>
          <w:spacing w:val="0"/>
        </w:rPr>
        <w:t xml:space="preserve">Secrets management</w:t>
      </w:r>
      <w:bookmarkEnd w:id="23"/>
    </w:p>
    <w:p>
      <w:pPr>
        <w:pStyle w:val="FirstParagraph"/>
      </w:pPr>
      <w:r>
        <w:t xml:space="preserve">Secrets are created in the secret store, synchronised into the cluster and mounted into pods as read-only files. The diagram shows the path.</w:t>
      </w:r>
    </w:p>
    <w:p xmlns:a="http://schemas.openxmlformats.org/drawingml/2006/main" xmlns:pic="http://schemas.openxmlformats.org/drawingml/2006/picture">
      <w:pPr>
        <w:pStyle w:val="Figure"/>
      </w:pPr>
      <w:r>
        <w:drawing>
          <wp:inline>
            <wp:extent cx="2390399" cy="3992399"/>
            <wp:effectExtent b="0" l="0" r="0" t="0"/>
            <wp:docPr descr="Path of a secret from the KMS key to the pods" title="" id="5003" name="Picture"/>
            <a:graphic>
              <a:graphicData uri="http://schemas.openxmlformats.org/drawingml/2006/picture">
                <pic:pic>
                  <pic:nvPicPr>
                    <pic:cNvPr descr="/tmp/claude-0/-home-user-TASCO/19e5534d-12b5-5956-9b60-3e77efde0f49/scratchpad/gen/.cache/mermaid/c11a533579a9bd32.png" id="41" name="Picture"/>
                    <pic:cNvPicPr>
                      <a:picLocks noChangeArrowheads="1" noChangeAspect="1"/>
                    </pic:cNvPicPr>
                  </pic:nvPicPr>
                  <pic:blipFill>
                    <a:blip r:embed="rIdG2"/>
                    <a:stretch>
                      <a:fillRect/>
                    </a:stretch>
                  </pic:blipFill>
                  <pic:spPr bwMode="auto">
                    <a:xfrm>
                      <a:off x="0" y="0"/>
                      <a:ext cx="2390399" cy="3992399"/>
                    </a:xfrm>
                    <a:prstGeom prst="rect">
                      <a:avLst/>
                    </a:prstGeom>
                    <a:noFill/>
                    <a:ln w="9525">
                      <a:noFill/>
                      <a:headEnd/>
                      <a:tailEnd/>
                    </a:ln>
                  </pic:spPr>
                </pic:pic>
              </a:graphicData>
            </a:graphic>
          </wp:inline>
        </w:drawing>
      </w:r>
    </w:p>
    <w:p>
      <w:pPr>
        <w:pStyle w:val="Caption"/>
      </w:pPr>
      <w:r>
        <w:t xml:space="preserve">Figure 2 – Path of a secret from the KMS key to the pods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078"/>
        <w:gridCol w:w="1784"/>
        <w:gridCol w:w="5165"/>
      </w:tblGrid>
      <w:tr>
        <w:trPr>
          <w:cantSplit/>
          <w:tblHeader/>
        </w:trPr>
        <w:tc>
          <w:tcPr>
            <w:tcW w:w="2078" w:type="dxa"/>
            <w:shd w:val="clear" w:color="auto" w:fill="0F4761"/>
            <w:vAlign w:val="center"/>
          </w:tcPr>
          <w:p>
            <w:pPr>
              <w:pStyle w:val="TableHeading"/>
              <w:jc w:val="left"/>
            </w:pPr>
            <w:r>
              <w:rPr>
                <w:color w:val="FFFFFF"/>
              </w:rPr>
              <w:t xml:space="preserve">Secret</w:t>
            </w:r>
          </w:p>
        </w:tc>
        <w:tc>
          <w:tcPr>
            <w:tcW w:w="1784" w:type="dxa"/>
            <w:shd w:val="clear" w:color="auto" w:fill="0F4761"/>
            <w:vAlign w:val="center"/>
          </w:tcPr>
          <w:p>
            <w:pPr>
              <w:pStyle w:val="TableHeading"/>
              <w:jc w:val="left"/>
            </w:pPr>
            <w:r>
              <w:rPr>
                <w:color w:val="FFFFFF"/>
              </w:rPr>
              <w:t xml:space="preserve">Rotation</w:t>
            </w:r>
          </w:p>
        </w:tc>
        <w:tc>
          <w:tcPr>
            <w:tcW w:w="5165" w:type="dxa"/>
            <w:shd w:val="clear" w:color="auto" w:fill="0F4761"/>
            <w:vAlign w:val="center"/>
          </w:tcPr>
          <w:p>
            <w:pPr>
              <w:pStyle w:val="TableHeading"/>
              <w:jc w:val="left"/>
            </w:pPr>
            <w:r>
              <w:rPr>
                <w:color w:val="FFFFFF"/>
              </w:rPr>
              <w:t xml:space="preserve">Procedure</w:t>
            </w:r>
          </w:p>
        </w:tc>
      </w:tr>
      <w:tr>
        <w:trPr>
          <w:cantSplit/>
        </w:trPr>
        <w:tc>
          <w:tcPr>
            <w:tcW w:w="2078" w:type="dxa"/>
            <w:vAlign w:val="top"/>
          </w:tcPr>
          <w:p>
            <w:pPr>
              <w:pStyle w:val="TableText"/>
              <w:jc w:val="left"/>
            </w:pPr>
            <w:r>
              <w:t xml:space="preserve">Data keys</w:t>
            </w:r>
          </w:p>
        </w:tc>
        <w:tc>
          <w:tcPr>
            <w:tcW w:w="1784" w:type="dxa"/>
            <w:vAlign w:val="top"/>
          </w:tcPr>
          <w:p>
            <w:pPr>
              <w:pStyle w:val="TableText"/>
              <w:jc w:val="left"/>
            </w:pPr>
            <w:r>
              <w:t xml:space="preserve">Yearly or on suspicion</w:t>
            </w:r>
          </w:p>
        </w:tc>
        <w:tc>
          <w:tcPr>
            <w:tcW w:w="5165" w:type="dxa"/>
            <w:vAlign w:val="top"/>
          </w:tcPr>
          <w:p>
            <w:pPr>
              <w:pStyle w:val="TableText"/>
              <w:jc w:val="left"/>
            </w:pPr>
            <w:r>
              <w:t xml:space="preserve">Add a new key, make it active, restart, run the re-key job (planned), remove the old key after verification</w:t>
            </w:r>
          </w:p>
        </w:tc>
      </w:tr>
      <w:tr>
        <w:trPr>
          <w:cantSplit/>
        </w:trPr>
        <w:tc>
          <w:tcPr>
            <w:tcW w:w="2078" w:type="dxa"/>
            <w:shd w:val="clear" w:color="auto" w:fill="F4F7FB"/>
            <w:vAlign w:val="top"/>
          </w:tcPr>
          <w:p>
            <w:pPr>
              <w:pStyle w:val="TableText"/>
              <w:jc w:val="left"/>
            </w:pPr>
            <w:r>
              <w:t xml:space="preserve">Token secret</w:t>
            </w:r>
          </w:p>
        </w:tc>
        <w:tc>
          <w:tcPr>
            <w:tcW w:w="1784" w:type="dxa"/>
            <w:shd w:val="clear" w:color="auto" w:fill="F4F7FB"/>
            <w:vAlign w:val="top"/>
          </w:tcPr>
          <w:p>
            <w:pPr>
              <w:pStyle w:val="TableText"/>
              <w:jc w:val="left"/>
            </w:pPr>
            <w:r>
              <w:t xml:space="preserve">Every 90 days</w:t>
            </w:r>
          </w:p>
        </w:tc>
        <w:tc>
          <w:tcPr>
            <w:tcW w:w="5165" w:type="dxa"/>
            <w:shd w:val="clear" w:color="auto" w:fill="F4F7FB"/>
            <w:vAlign w:val="top"/>
          </w:tcPr>
          <w:p>
            <w:pPr>
              <w:pStyle w:val="TableText"/>
              <w:jc w:val="left"/>
            </w:pPr>
            <w:r>
              <w:t xml:space="preserve">Rotation ends all sessions and unexpired renewal links; schedule out of hours until multi-key verification or identity provider tokens are in place</w:t>
            </w:r>
          </w:p>
        </w:tc>
      </w:tr>
      <w:tr>
        <w:trPr>
          <w:cantSplit/>
        </w:trPr>
        <w:tc>
          <w:tcPr>
            <w:tcW w:w="2078" w:type="dxa"/>
            <w:vAlign w:val="top"/>
          </w:tcPr>
          <w:p>
            <w:pPr>
              <w:pStyle w:val="TableText"/>
              <w:jc w:val="left"/>
            </w:pPr>
            <w:r>
              <w:t xml:space="preserve">Blind-index key</w:t>
            </w:r>
          </w:p>
        </w:tc>
        <w:tc>
          <w:tcPr>
            <w:tcW w:w="1784" w:type="dxa"/>
            <w:vAlign w:val="top"/>
          </w:tcPr>
          <w:p>
            <w:pPr>
              <w:pStyle w:val="TableText"/>
              <w:jc w:val="left"/>
            </w:pPr>
            <w:r>
              <w:t xml:space="preserve">Only on compromise</w:t>
            </w:r>
          </w:p>
        </w:tc>
        <w:tc>
          <w:tcPr>
            <w:tcW w:w="5165" w:type="dxa"/>
            <w:vAlign w:val="top"/>
          </w:tcPr>
          <w:p>
            <w:pPr>
              <w:pStyle w:val="TableText"/>
              <w:jc w:val="left"/>
            </w:pPr>
            <w:r>
              <w:t xml:space="preserve">Recompute the phone index (planned job)</w:t>
            </w:r>
          </w:p>
        </w:tc>
      </w:tr>
      <w:tr>
        <w:trPr>
          <w:cantSplit/>
        </w:trPr>
        <w:tc>
          <w:tcPr>
            <w:tcW w:w="2078" w:type="dxa"/>
            <w:shd w:val="clear" w:color="auto" w:fill="F4F7FB"/>
            <w:vAlign w:val="top"/>
          </w:tcPr>
          <w:p>
            <w:pPr>
              <w:pStyle w:val="TableText"/>
              <w:jc w:val="left"/>
            </w:pPr>
            <w:r>
              <w:t xml:space="preserve">Database credentials</w:t>
            </w:r>
          </w:p>
        </w:tc>
        <w:tc>
          <w:tcPr>
            <w:tcW w:w="1784" w:type="dxa"/>
            <w:shd w:val="clear" w:color="auto" w:fill="F4F7FB"/>
            <w:vAlign w:val="top"/>
          </w:tcPr>
          <w:p>
            <w:pPr>
              <w:pStyle w:val="TableText"/>
              <w:jc w:val="left"/>
            </w:pPr>
            <w:r>
              <w:t xml:space="preserve">30 to 90 days</w:t>
            </w:r>
          </w:p>
        </w:tc>
        <w:tc>
          <w:tcPr>
            <w:tcW w:w="5165" w:type="dxa"/>
            <w:shd w:val="clear" w:color="auto" w:fill="F4F7FB"/>
            <w:vAlign w:val="top"/>
          </w:tcPr>
          <w:p>
            <w:pPr>
              <w:pStyle w:val="TableText"/>
              <w:jc w:val="left"/>
            </w:pPr>
            <w:r>
              <w:t xml:space="preserve">Dynamic credentials from the secret manager where possible</w:t>
            </w:r>
          </w:p>
        </w:tc>
      </w:tr>
      <w:tr>
        <w:trPr>
          <w:cantSplit/>
        </w:trPr>
        <w:tc>
          <w:tcPr>
            <w:tcW w:w="2078" w:type="dxa"/>
            <w:vAlign w:val="top"/>
          </w:tcPr>
          <w:p>
            <w:pPr>
              <w:pStyle w:val="TableText"/>
              <w:jc w:val="left"/>
            </w:pPr>
            <w:r>
              <w:t xml:space="preserve">TASCO core and provider credentials</w:t>
            </w:r>
          </w:p>
        </w:tc>
        <w:tc>
          <w:tcPr>
            <w:tcW w:w="1784" w:type="dxa"/>
            <w:vAlign w:val="top"/>
          </w:tcPr>
          <w:p>
            <w:pPr>
              <w:pStyle w:val="TableText"/>
              <w:jc w:val="left"/>
            </w:pPr>
            <w:r>
              <w:t xml:space="preserve">Per provider policy</w:t>
            </w:r>
          </w:p>
        </w:tc>
        <w:tc>
          <w:tcPr>
            <w:tcW w:w="5165" w:type="dxa"/>
            <w:vAlign w:val="top"/>
          </w:tcPr>
          <w:p>
            <w:pPr>
              <w:pStyle w:val="TableText"/>
              <w:jc w:val="left"/>
            </w:pPr>
            <w:r>
              <w:t xml:space="preserve">Mounted files, read at start-up; restart to rotate</w:t>
            </w:r>
          </w:p>
        </w:tc>
      </w:tr>
      <w:tr>
        <w:trPr>
          <w:cantSplit/>
        </w:trPr>
        <w:tc>
          <w:tcPr>
            <w:tcW w:w="2078" w:type="dxa"/>
            <w:shd w:val="clear" w:color="auto" w:fill="F4F7FB"/>
            <w:vAlign w:val="top"/>
          </w:tcPr>
          <w:p>
            <w:pPr>
              <w:pStyle w:val="TableText"/>
              <w:jc w:val="left"/>
            </w:pPr>
            <w:r>
              <w:t xml:space="preserve">Partner API keys</w:t>
            </w:r>
          </w:p>
        </w:tc>
        <w:tc>
          <w:tcPr>
            <w:tcW w:w="1784" w:type="dxa"/>
            <w:shd w:val="clear" w:color="auto" w:fill="F4F7FB"/>
            <w:vAlign w:val="top"/>
          </w:tcPr>
          <w:p>
            <w:pPr>
              <w:pStyle w:val="TableText"/>
              <w:jc w:val="left"/>
            </w:pPr>
            <w:r>
              <w:t xml:space="preserve">At most 12 months</w:t>
            </w:r>
          </w:p>
        </w:tc>
        <w:tc>
          <w:tcPr>
            <w:tcW w:w="5165" w:type="dxa"/>
            <w:shd w:val="clear" w:color="auto" w:fill="F4F7FB"/>
            <w:vAlign w:val="top"/>
          </w:tcPr>
          <w:p>
            <w:pPr>
              <w:pStyle w:val="TableText"/>
              <w:jc w:val="left"/>
            </w:pPr>
            <w:r>
              <w:t xml:space="preserve">Issue a new key, partner switches, revoke the old key</w:t>
            </w:r>
          </w:p>
        </w:tc>
      </w:tr>
    </w:tbl>
    <w:p>
      <w:pPr>
        <w:pStyle w:val="BodyText"/>
        <w:spacing w:before="160"/>
      </w:pPr>
      <w:r>
        <w:t xml:space="preserve">No secret is placed in images, Git, configuration maps or environment literals in Kubernetes. Secret scanning runs on every change.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4" w:name="_Toc300000020"/>
      <w:r>
        <w:rPr>
          <w:rStyle w:val="BookTitle"/>
          <w:bCs w:val="0"/>
          <w:i w:val="0"/>
          <w:iCs w:val="0"/>
          <w:spacing w:val="0"/>
        </w:rPr>
        <w:t xml:space="preserve">Delivery pipeline</w:t>
      </w:r>
      <w:bookmarkEnd w:id="24"/>
    </w:p>
    <w:p>
      <w:pPr>
        <w:pStyle w:val="FirstParagraph"/>
      </w:pPr>
      <w:r>
        <w:t xml:space="preserve">Every change passes the same pipeline before it can reach production. The diagram shows the stages; TGP-ARC-04 Security Architecture lists the security gates and TGP-OPS-06 Release and Change Management the approvals.</w:t>
      </w:r>
    </w:p>
    <w:p xmlns:a="http://schemas.openxmlformats.org/drawingml/2006/main" xmlns:pic="http://schemas.openxmlformats.org/drawingml/2006/picture">
      <w:pPr>
        <w:pStyle w:val="Figure"/>
      </w:pPr>
      <w:r>
        <w:drawing>
          <wp:inline>
            <wp:extent cx="5727700" cy="5335439"/>
            <wp:effectExtent b="0" l="0" r="0" t="0"/>
            <wp:docPr descr="Delivery pipeline from pull request to production canary" title="" id="5004" name="Picture"/>
            <a:graphic>
              <a:graphicData uri="http://schemas.openxmlformats.org/drawingml/2006/picture">
                <pic:pic>
                  <pic:nvPicPr>
                    <pic:cNvPr descr="/tmp/claude-0/-home-user-TASCO/19e5534d-12b5-5956-9b60-3e77efde0f49/scratchpad/gen/.cache/mermaid/b120b558a81e4a5a.png" id="45" name="Picture"/>
                    <pic:cNvPicPr>
                      <a:picLocks noChangeArrowheads="1" noChangeAspect="1"/>
                    </pic:cNvPicPr>
                  </pic:nvPicPr>
                  <pic:blipFill>
                    <a:blip r:embed="rIdG3"/>
                    <a:stretch>
                      <a:fillRect/>
                    </a:stretch>
                  </pic:blipFill>
                  <pic:spPr bwMode="auto">
                    <a:xfrm>
                      <a:off x="0" y="0"/>
                      <a:ext cx="5727700" cy="5335439"/>
                    </a:xfrm>
                    <a:prstGeom prst="rect">
                      <a:avLst/>
                    </a:prstGeom>
                    <a:noFill/>
                    <a:ln w="9525">
                      <a:noFill/>
                      <a:headEnd/>
                      <a:tailEnd/>
                    </a:ln>
                  </pic:spPr>
                </pic:pic>
              </a:graphicData>
            </a:graphic>
          </wp:inline>
        </w:drawing>
      </w:r>
    </w:p>
    <w:p>
      <w:pPr>
        <w:pStyle w:val="Caption"/>
      </w:pPr>
      <w:r>
        <w:t xml:space="preserve">Figure 3 – Delivery pipeline from pull request to production canary</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82"/>
        <w:gridCol w:w="6745"/>
      </w:tblGrid>
      <w:tr>
        <w:trPr>
          <w:cantSplit/>
          <w:tblHeader/>
        </w:trPr>
        <w:tc>
          <w:tcPr>
            <w:tcW w:w="2282" w:type="dxa"/>
            <w:shd w:val="clear" w:color="auto" w:fill="0F4761"/>
            <w:vAlign w:val="center"/>
          </w:tcPr>
          <w:p>
            <w:pPr>
              <w:pStyle w:val="TableHeading"/>
              <w:jc w:val="left"/>
            </w:pPr>
            <w:r>
              <w:rPr>
                <w:color w:val="FFFFFF"/>
              </w:rPr>
              <w:t xml:space="preserve">Stage</w:t>
            </w:r>
          </w:p>
        </w:tc>
        <w:tc>
          <w:tcPr>
            <w:tcW w:w="6745" w:type="dxa"/>
            <w:shd w:val="clear" w:color="auto" w:fill="0F4761"/>
            <w:vAlign w:val="center"/>
          </w:tcPr>
          <w:p>
            <w:pPr>
              <w:pStyle w:val="TableHeading"/>
              <w:jc w:val="left"/>
            </w:pPr>
            <w:r>
              <w:rPr>
                <w:color w:val="FFFFFF"/>
              </w:rPr>
              <w:t xml:space="preserve">Gate</w:t>
            </w:r>
          </w:p>
        </w:tc>
      </w:tr>
      <w:tr>
        <w:trPr>
          <w:cantSplit/>
        </w:trPr>
        <w:tc>
          <w:tcPr>
            <w:tcW w:w="2282" w:type="dxa"/>
            <w:vAlign w:val="top"/>
          </w:tcPr>
          <w:p>
            <w:pPr>
              <w:pStyle w:val="TableText"/>
              <w:jc w:val="left"/>
            </w:pPr>
            <w:r>
              <w:t xml:space="preserve">Lint, tests, coverage</w:t>
            </w:r>
          </w:p>
        </w:tc>
        <w:tc>
          <w:tcPr>
            <w:tcW w:w="6745" w:type="dxa"/>
            <w:vAlign w:val="top"/>
          </w:tcPr>
          <w:p>
            <w:pPr>
              <w:pStyle w:val="TableText"/>
              <w:jc w:val="left"/>
            </w:pPr>
            <w:r>
              <w:t xml:space="preserve">Any failure; coverage below 80% lines, 70% branches or 80% functions; OpenAPI drift</w:t>
            </w:r>
          </w:p>
        </w:tc>
      </w:tr>
      <w:tr>
        <w:trPr>
          <w:cantSplit/>
        </w:trPr>
        <w:tc>
          <w:tcPr>
            <w:tcW w:w="2282" w:type="dxa"/>
            <w:shd w:val="clear" w:color="auto" w:fill="F4F7FB"/>
            <w:vAlign w:val="top"/>
          </w:tcPr>
          <w:p>
            <w:pPr>
              <w:pStyle w:val="TableText"/>
              <w:jc w:val="left"/>
            </w:pPr>
            <w:r>
              <w:t xml:space="preserve">PostgreSQL and load smoke</w:t>
            </w:r>
          </w:p>
        </w:tc>
        <w:tc>
          <w:tcPr>
            <w:tcW w:w="6745" w:type="dxa"/>
            <w:shd w:val="clear" w:color="auto" w:fill="F4F7FB"/>
            <w:vAlign w:val="top"/>
          </w:tcPr>
          <w:p>
            <w:pPr>
              <w:pStyle w:val="TableText"/>
              <w:jc w:val="left"/>
            </w:pPr>
            <w:r>
              <w:t xml:space="preserve">Any failure; 95th percentile budget exceeded</w:t>
            </w:r>
          </w:p>
        </w:tc>
      </w:tr>
      <w:tr>
        <w:trPr>
          <w:cantSplit/>
        </w:trPr>
        <w:tc>
          <w:tcPr>
            <w:tcW w:w="2282" w:type="dxa"/>
            <w:vAlign w:val="top"/>
          </w:tcPr>
          <w:p>
            <w:pPr>
              <w:pStyle w:val="TableText"/>
              <w:jc w:val="left"/>
            </w:pPr>
            <w:r>
              <w:t xml:space="preserve">Code, dependency and secret scans</w:t>
            </w:r>
          </w:p>
        </w:tc>
        <w:tc>
          <w:tcPr>
            <w:tcW w:w="6745" w:type="dxa"/>
            <w:vAlign w:val="top"/>
          </w:tcPr>
          <w:p>
            <w:pPr>
              <w:pStyle w:val="TableText"/>
              <w:jc w:val="left"/>
            </w:pPr>
            <w:r>
              <w:t xml:space="preserve">New high or critical static analysis finding; high or above dependency finding; any secret</w:t>
            </w:r>
          </w:p>
        </w:tc>
      </w:tr>
      <w:tr>
        <w:trPr>
          <w:cantSplit/>
        </w:trPr>
        <w:tc>
          <w:tcPr>
            <w:tcW w:w="2282" w:type="dxa"/>
            <w:shd w:val="clear" w:color="auto" w:fill="F4F7FB"/>
            <w:vAlign w:val="top"/>
          </w:tcPr>
          <w:p>
            <w:pPr>
              <w:pStyle w:val="TableText"/>
              <w:jc w:val="left"/>
            </w:pPr>
            <w:r>
              <w:t xml:space="preserve">Image</w:t>
            </w:r>
          </w:p>
        </w:tc>
        <w:tc>
          <w:tcPr>
            <w:tcW w:w="6745" w:type="dxa"/>
            <w:shd w:val="clear" w:color="auto" w:fill="F4F7FB"/>
            <w:vAlign w:val="top"/>
          </w:tcPr>
          <w:p>
            <w:pPr>
              <w:pStyle w:val="TableText"/>
              <w:jc w:val="left"/>
            </w:pPr>
            <w:r>
              <w:t xml:space="preserve">Fixable high or critical vulnerability; image running as root; missing SBOM; high dynamic scan alert</w:t>
            </w:r>
          </w:p>
        </w:tc>
      </w:tr>
      <w:tr>
        <w:trPr>
          <w:cantSplit/>
        </w:trPr>
        <w:tc>
          <w:tcPr>
            <w:tcW w:w="2282" w:type="dxa"/>
            <w:vAlign w:val="top"/>
          </w:tcPr>
          <w:p>
            <w:pPr>
              <w:pStyle w:val="TableText"/>
              <w:jc w:val="left"/>
            </w:pPr>
            <w:r>
              <w:t xml:space="preserve">SIT</w:t>
            </w:r>
          </w:p>
        </w:tc>
        <w:tc>
          <w:tcPr>
            <w:tcW w:w="6745" w:type="dxa"/>
            <w:vAlign w:val="top"/>
          </w:tcPr>
          <w:p>
            <w:pPr>
              <w:pStyle w:val="TableText"/>
              <w:jc w:val="left"/>
            </w:pPr>
            <w:r>
              <w:t xml:space="preserve">Health, sign-in with MFA, and quote, send and customer payment with provider test accounts</w:t>
            </w:r>
          </w:p>
        </w:tc>
      </w:tr>
      <w:tr>
        <w:trPr>
          <w:cantSplit/>
        </w:trPr>
        <w:tc>
          <w:tcPr>
            <w:tcW w:w="2282" w:type="dxa"/>
            <w:shd w:val="clear" w:color="auto" w:fill="F4F7FB"/>
            <w:vAlign w:val="top"/>
          </w:tcPr>
          <w:p>
            <w:pPr>
              <w:pStyle w:val="TableText"/>
              <w:jc w:val="left"/>
            </w:pPr>
            <w:r>
              <w:t xml:space="preserve">Production</w:t>
            </w:r>
          </w:p>
        </w:tc>
        <w:tc>
          <w:tcPr>
            <w:tcW w:w="6745" w:type="dxa"/>
            <w:shd w:val="clear" w:color="auto" w:fill="F4F7FB"/>
            <w:vAlign w:val="top"/>
          </w:tcPr>
          <w:p>
            <w:pPr>
              <w:pStyle w:val="TableText"/>
              <w:jc w:val="left"/>
            </w:pPr>
            <w:r>
              <w:t xml:space="preserve">Signed image digest only (admission policy, target); CAB ticket reference</w:t>
            </w:r>
          </w:p>
        </w:tc>
      </w:tr>
    </w:tbl>
    <w:p>
      <w:pPr>
        <w:pStyle w:val="BodyText"/>
        <w:spacing w:before="160"/>
      </w:pPr>
      <w:r>
        <w:t xml:space="preserve">Promotion is GitOps: the pipeline records the new image digest in the environment’s configuration and the cluster reconciles itself. The pipeline never applies changes to production directly.</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5" w:name="_Toc300000021"/>
      <w:r>
        <w:rPr>
          <w:rStyle w:val="BookTitle"/>
          <w:bCs w:val="0"/>
          <w:i w:val="0"/>
          <w:iCs w:val="0"/>
          <w:spacing w:val="0"/>
        </w:rPr>
        <w:t xml:space="preserve">Release strategies</w:t>
      </w:r>
      <w:bookmarkEnd w:id="2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531"/>
        <w:gridCol w:w="3134"/>
        <w:gridCol w:w="4362"/>
      </w:tblGrid>
      <w:tr>
        <w:trPr>
          <w:cantSplit/>
          <w:tblHeader/>
        </w:trPr>
        <w:tc>
          <w:tcPr>
            <w:tcW w:w="1531" w:type="dxa"/>
            <w:shd w:val="clear" w:color="auto" w:fill="0F4761"/>
            <w:vAlign w:val="center"/>
          </w:tcPr>
          <w:p>
            <w:pPr>
              <w:pStyle w:val="TableHeading"/>
              <w:jc w:val="left"/>
            </w:pPr>
            <w:r>
              <w:rPr>
                <w:color w:val="FFFFFF"/>
              </w:rPr>
              <w:t xml:space="preserve">Strategy</w:t>
            </w:r>
          </w:p>
        </w:tc>
        <w:tc>
          <w:tcPr>
            <w:tcW w:w="3134" w:type="dxa"/>
            <w:shd w:val="clear" w:color="auto" w:fill="0F4761"/>
            <w:vAlign w:val="center"/>
          </w:tcPr>
          <w:p>
            <w:pPr>
              <w:pStyle w:val="TableHeading"/>
              <w:jc w:val="left"/>
            </w:pPr>
            <w:r>
              <w:rPr>
                <w:color w:val="FFFFFF"/>
              </w:rPr>
              <w:t xml:space="preserve">When</w:t>
            </w:r>
          </w:p>
        </w:tc>
        <w:tc>
          <w:tcPr>
            <w:tcW w:w="4362" w:type="dxa"/>
            <w:shd w:val="clear" w:color="auto" w:fill="0F4761"/>
            <w:vAlign w:val="center"/>
          </w:tcPr>
          <w:p>
            <w:pPr>
              <w:pStyle w:val="TableHeading"/>
              <w:jc w:val="left"/>
            </w:pPr>
            <w:r>
              <w:rPr>
                <w:color w:val="FFFFFF"/>
              </w:rPr>
              <w:t xml:space="preserve">How</w:t>
            </w:r>
          </w:p>
        </w:tc>
      </w:tr>
      <w:tr>
        <w:trPr>
          <w:cantSplit/>
        </w:trPr>
        <w:tc>
          <w:tcPr>
            <w:tcW w:w="1531" w:type="dxa"/>
            <w:vAlign w:val="top"/>
          </w:tcPr>
          <w:p>
            <w:pPr>
              <w:pStyle w:val="TableText"/>
              <w:jc w:val="left"/>
            </w:pPr>
            <w:r>
              <w:t xml:space="preserve">Rolling (default)</w:t>
            </w:r>
          </w:p>
        </w:tc>
        <w:tc>
          <w:tcPr>
            <w:tcW w:w="3134" w:type="dxa"/>
            <w:vAlign w:val="top"/>
          </w:tcPr>
          <w:p>
            <w:pPr>
              <w:pStyle w:val="TableText"/>
              <w:jc w:val="left"/>
            </w:pPr>
            <w:r>
              <w:t xml:space="preserve">Backward-compatible code and configuration</w:t>
            </w:r>
          </w:p>
        </w:tc>
        <w:tc>
          <w:tcPr>
            <w:tcW w:w="4362" w:type="dxa"/>
            <w:vAlign w:val="top"/>
          </w:tcPr>
          <w:p>
            <w:pPr>
              <w:pStyle w:val="TableText"/>
              <w:jc w:val="left"/>
            </w:pPr>
            <w:r>
              <w:t xml:space="preserve">One extra pod at a time, none unavailable, readiness-gated</w:t>
            </w:r>
          </w:p>
        </w:tc>
      </w:tr>
      <w:tr>
        <w:trPr>
          <w:cantSplit/>
        </w:trPr>
        <w:tc>
          <w:tcPr>
            <w:tcW w:w="1531" w:type="dxa"/>
            <w:shd w:val="clear" w:color="auto" w:fill="F4F7FB"/>
            <w:vAlign w:val="top"/>
          </w:tcPr>
          <w:p>
            <w:pPr>
              <w:pStyle w:val="TableText"/>
              <w:jc w:val="left"/>
            </w:pPr>
            <w:r>
              <w:t xml:space="preserve">Canary</w:t>
            </w:r>
          </w:p>
        </w:tc>
        <w:tc>
          <w:tcPr>
            <w:tcW w:w="3134" w:type="dxa"/>
            <w:shd w:val="clear" w:color="auto" w:fill="F4F7FB"/>
            <w:vAlign w:val="top"/>
          </w:tcPr>
          <w:p>
            <w:pPr>
              <w:pStyle w:val="TableText"/>
              <w:jc w:val="left"/>
            </w:pPr>
            <w:r>
              <w:t xml:space="preserve">Behaviour changes to journeys or purchase</w:t>
            </w:r>
          </w:p>
        </w:tc>
        <w:tc>
          <w:tcPr>
            <w:tcW w:w="4362" w:type="dxa"/>
            <w:shd w:val="clear" w:color="auto" w:fill="F4F7FB"/>
            <w:vAlign w:val="top"/>
          </w:tcPr>
          <w:p>
            <w:pPr>
              <w:pStyle w:val="TableText"/>
              <w:jc w:val="left"/>
            </w:pPr>
            <w:r>
              <w:t xml:space="preserve">Traffic split 5%, 25%, 100%, with automated checks on error rate, latency, integration errors and completed orders</w:t>
            </w:r>
          </w:p>
        </w:tc>
      </w:tr>
      <w:tr>
        <w:trPr>
          <w:cantSplit/>
        </w:trPr>
        <w:tc>
          <w:tcPr>
            <w:tcW w:w="1531" w:type="dxa"/>
            <w:noWrap/>
            <w:vAlign w:val="top"/>
          </w:tcPr>
          <w:p>
            <w:pPr>
              <w:pStyle w:val="TableText"/>
              <w:jc w:val="left"/>
            </w:pPr>
            <w:r>
              <w:t xml:space="preserve">Blue-green</w:t>
            </w:r>
          </w:p>
        </w:tc>
        <w:tc>
          <w:tcPr>
            <w:tcW w:w="3134" w:type="dxa"/>
            <w:vAlign w:val="top"/>
          </w:tcPr>
          <w:p>
            <w:pPr>
              <w:pStyle w:val="TableText"/>
              <w:jc w:val="left"/>
            </w:pPr>
            <w:r>
              <w:t xml:space="preserve">Database-affecting or major releases</w:t>
            </w:r>
          </w:p>
        </w:tc>
        <w:tc>
          <w:tcPr>
            <w:tcW w:w="4362" w:type="dxa"/>
            <w:vAlign w:val="top"/>
          </w:tcPr>
          <w:p>
            <w:pPr>
              <w:pStyle w:val="TableText"/>
              <w:jc w:val="left"/>
            </w:pPr>
            <w:r>
              <w:t xml:space="preserve">Two deployments; switch after smoke tests. Database changes follow expand and contract.</w:t>
            </w:r>
          </w:p>
        </w:tc>
      </w:tr>
    </w:tbl>
    <w:p>
      <w:pPr>
        <w:pStyle w:val="BodyText"/>
        <w:spacing w:before="160"/>
      </w:pPr>
      <w:r>
        <w:t xml:space="preserve">Three points are specific to this platform. The outbox relay runs in every pod, including canary pods, so event handler changes must stay backward compatible or use a new event type. Scheduled jobs are updated in the same release, after the API rollout succeeds. Rule changes are data, not deployments: they go through maker-checker, not the release process, and reach every pod within 15 seconds.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6" w:name="_Toc300000022"/>
      <w:r>
        <w:rPr>
          <w:rStyle w:val="BookTitle"/>
          <w:bCs w:val="0"/>
          <w:i w:val="0"/>
          <w:iCs w:val="0"/>
          <w:spacing w:val="0"/>
        </w:rPr>
        <w:t xml:space="preserve">UAT and local environments</w:t>
      </w:r>
      <w:bookmarkEnd w:id="26"/>
    </w:p>
    <w:p>
      <w:pPr>
        <w:pStyle w:val="FirstParagraph"/>
      </w:pPr>
      <w:r>
        <w:t xml:space="preserve">The live UAT runs on Railway from the same Dockerfile: start command</w:t>
      </w:r>
      <w:r>
        <w:t xml:space="preserve"> </w:t>
      </w:r>
      <w:r>
        <w:rPr>
          <w:rStyle w:val="CodeChar"/>
        </w:rPr>
        <w:t xml:space="preserve">node src/server.js</w:t>
      </w:r>
      <w:r>
        <w:t xml:space="preserve">, migrations as a pre-deploy command, health check on</w:t>
      </w:r>
      <w:r>
        <w:t xml:space="preserve"> </w:t>
      </w:r>
      <w:r>
        <w:rPr>
          <w:rStyle w:val="CodeChar"/>
        </w:rPr>
        <w:t xml:space="preserve">/health/ready</w:t>
      </w:r>
      <w:r>
        <w:t xml:space="preserve">, restart on failure, two replicas, Railway PostgreSQL. Secrets are Railway variables, because Railway does not mount files. Railway has no network policy and is hosted outside Vietnam, so it holds synthetic data only and is not used for production personal data (to be confirmed by TASCO legal).</w:t>
      </w:r>
    </w:p>
    <w:p>
      <w:pPr>
        <w:pStyle w:val="BodyText"/>
      </w:pPr>
      <w:r>
        <w:t xml:space="preserve">Locally, Docker Compose runs the application and PostgreSQL 16 with demo data and local-only secrets. Without Compose, the application runs on the in-memory store and needs no database.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7" w:name="_Toc300000023"/>
      <w:r>
        <w:rPr>
          <w:rStyle w:val="BookTitle"/>
          <w:bCs w:val="0"/>
          <w:i w:val="0"/>
          <w:iCs w:val="0"/>
          <w:spacing w:val="0"/>
        </w:rPr>
        <w:t xml:space="preserve">Capacity and sizing</w:t>
      </w:r>
      <w:bookmarkEnd w:id="27"/>
    </w:p>
    <w:p>
      <w:pPr>
        <w:pStyle w:val="Heading2"/>
      </w:pPr>
      <w:bookmarkStart w:id="28" w:name="_Toc300000024"/>
      <w:r>
        <w:t xml:space="preserve">Assumptions</w:t>
      </w:r>
      <w:bookmarkEnd w:id="28"/>
    </w:p>
    <w:p>
      <w:pPr>
        <w:pStyle w:val="FirstParagraph"/>
      </w:pPr>
      <w:r>
        <w:t xml:space="preserve">These assumptions are validated in pre-production (TGP-QA-03 Performance and Capacity Test Plan).</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94"/>
        <w:gridCol w:w="8433"/>
      </w:tblGrid>
      <w:tr>
        <w:trPr>
          <w:cantSplit/>
          <w:tblHeader/>
        </w:trPr>
        <w:tc>
          <w:tcPr>
            <w:tcW w:w="594" w:type="dxa"/>
            <w:shd w:val="clear" w:color="auto" w:fill="0F4761"/>
            <w:vAlign w:val="center"/>
          </w:tcPr>
          <w:p>
            <w:pPr>
              <w:pStyle w:val="TableHeading"/>
              <w:jc w:val="left"/>
            </w:pPr>
            <w:r>
              <w:rPr>
                <w:color w:val="FFFFFF"/>
              </w:rPr>
              <w:t xml:space="preserve">ID</w:t>
            </w:r>
          </w:p>
        </w:tc>
        <w:tc>
          <w:tcPr>
            <w:tcW w:w="8433" w:type="dxa"/>
            <w:shd w:val="clear" w:color="auto" w:fill="0F4761"/>
            <w:vAlign w:val="center"/>
          </w:tcPr>
          <w:p>
            <w:pPr>
              <w:pStyle w:val="TableHeading"/>
              <w:jc w:val="left"/>
            </w:pPr>
            <w:r>
              <w:rPr>
                <w:color w:val="FFFFFF"/>
              </w:rPr>
              <w:t xml:space="preserve">Assumption</w:t>
            </w:r>
          </w:p>
        </w:tc>
      </w:tr>
      <w:tr>
        <w:trPr>
          <w:cantSplit/>
        </w:trPr>
        <w:tc>
          <w:tcPr>
            <w:tcW w:w="594" w:type="dxa"/>
            <w:vAlign w:val="top"/>
          </w:tcPr>
          <w:p>
            <w:pPr>
              <w:pStyle w:val="TableText"/>
              <w:jc w:val="left"/>
            </w:pPr>
            <w:r>
              <w:t xml:space="preserve">A1</w:t>
            </w:r>
          </w:p>
        </w:tc>
        <w:tc>
          <w:tcPr>
            <w:tcW w:w="8433" w:type="dxa"/>
            <w:vAlign w:val="top"/>
          </w:tcPr>
          <w:p>
            <w:pPr>
              <w:pStyle w:val="TableText"/>
              <w:jc w:val="left"/>
            </w:pPr>
            <w:r>
              <w:t xml:space="preserve">6.0 million vehicles and about 7.8 million source records</w:t>
            </w:r>
          </w:p>
        </w:tc>
      </w:tr>
      <w:tr>
        <w:trPr>
          <w:cantSplit/>
        </w:trPr>
        <w:tc>
          <w:tcPr>
            <w:tcW w:w="594" w:type="dxa"/>
            <w:shd w:val="clear" w:color="auto" w:fill="F4F7FB"/>
            <w:vAlign w:val="top"/>
          </w:tcPr>
          <w:p>
            <w:pPr>
              <w:pStyle w:val="TableText"/>
              <w:jc w:val="left"/>
            </w:pPr>
            <w:r>
              <w:t xml:space="preserve">A2</w:t>
            </w:r>
          </w:p>
        </w:tc>
        <w:tc>
          <w:tcPr>
            <w:tcW w:w="8433" w:type="dxa"/>
            <w:shd w:val="clear" w:color="auto" w:fill="F4F7FB"/>
            <w:vAlign w:val="top"/>
          </w:tcPr>
          <w:p>
            <w:pPr>
              <w:pStyle w:val="TableText"/>
              <w:jc w:val="left"/>
            </w:pPr>
            <w:r>
              <w:t xml:space="preserve">Expiries spread evenly: about 16,400 vehicles reach expiry each day</w:t>
            </w:r>
          </w:p>
        </w:tc>
      </w:tr>
      <w:tr>
        <w:trPr>
          <w:cantSplit/>
        </w:trPr>
        <w:tc>
          <w:tcPr>
            <w:tcW w:w="594" w:type="dxa"/>
            <w:vAlign w:val="top"/>
          </w:tcPr>
          <w:p>
            <w:pPr>
              <w:pStyle w:val="TableText"/>
              <w:jc w:val="left"/>
            </w:pPr>
            <w:r>
              <w:t xml:space="preserve">A3</w:t>
            </w:r>
          </w:p>
        </w:tc>
        <w:tc>
          <w:tcPr>
            <w:tcW w:w="8433" w:type="dxa"/>
            <w:vAlign w:val="top"/>
          </w:tcPr>
          <w:p>
            <w:pPr>
              <w:pStyle w:val="TableText"/>
              <w:jc w:val="left"/>
            </w:pPr>
            <w:r>
              <w:t xml:space="preserve">About 30% of vehicles in an active journey; about 5 sends per expiring vehicle</w:t>
            </w:r>
          </w:p>
        </w:tc>
      </w:tr>
      <w:tr>
        <w:trPr>
          <w:cantSplit/>
        </w:trPr>
        <w:tc>
          <w:tcPr>
            <w:tcW w:w="594" w:type="dxa"/>
            <w:shd w:val="clear" w:color="auto" w:fill="F4F7FB"/>
            <w:vAlign w:val="top"/>
          </w:tcPr>
          <w:p>
            <w:pPr>
              <w:pStyle w:val="TableText"/>
              <w:jc w:val="left"/>
            </w:pPr>
            <w:r>
              <w:t xml:space="preserve">A4</w:t>
            </w:r>
          </w:p>
        </w:tc>
        <w:tc>
          <w:tcPr>
            <w:tcW w:w="8433" w:type="dxa"/>
            <w:shd w:val="clear" w:color="auto" w:fill="F4F7FB"/>
            <w:vAlign w:val="top"/>
          </w:tcPr>
          <w:p>
            <w:pPr>
              <w:pStyle w:val="TableText"/>
              <w:jc w:val="left"/>
            </w:pPr>
            <w:r>
              <w:t xml:space="preserve">Voice assistant used for about 20% of expiring vehicles: about 3,300 calls a day</w:t>
            </w:r>
          </w:p>
        </w:tc>
      </w:tr>
      <w:tr>
        <w:trPr>
          <w:cantSplit/>
        </w:trPr>
        <w:tc>
          <w:tcPr>
            <w:tcW w:w="594" w:type="dxa"/>
            <w:vAlign w:val="top"/>
          </w:tcPr>
          <w:p>
            <w:pPr>
              <w:pStyle w:val="TableText"/>
              <w:jc w:val="left"/>
            </w:pPr>
            <w:r>
              <w:t xml:space="preserve">A5</w:t>
            </w:r>
          </w:p>
        </w:tc>
        <w:tc>
          <w:tcPr>
            <w:tcW w:w="8433" w:type="dxa"/>
            <w:vAlign w:val="top"/>
          </w:tcPr>
          <w:p>
            <w:pPr>
              <w:pStyle w:val="TableText"/>
              <w:jc w:val="left"/>
            </w:pPr>
            <w:r>
              <w:t xml:space="preserve">About 15% of expiring vehicles buy through the platform: about 2,500 orders a day</w:t>
            </w:r>
          </w:p>
        </w:tc>
      </w:tr>
      <w:tr>
        <w:trPr>
          <w:cantSplit/>
        </w:trPr>
        <w:tc>
          <w:tcPr>
            <w:tcW w:w="594" w:type="dxa"/>
            <w:shd w:val="clear" w:color="auto" w:fill="F4F7FB"/>
            <w:vAlign w:val="top"/>
          </w:tcPr>
          <w:p>
            <w:pPr>
              <w:pStyle w:val="TableText"/>
              <w:jc w:val="left"/>
            </w:pPr>
            <w:r>
              <w:t xml:space="preserve">A6</w:t>
            </w:r>
          </w:p>
        </w:tc>
        <w:tc>
          <w:tcPr>
            <w:tcW w:w="8433" w:type="dxa"/>
            <w:shd w:val="clear" w:color="auto" w:fill="F4F7FB"/>
            <w:vAlign w:val="top"/>
          </w:tcPr>
          <w:p>
            <w:pPr>
              <w:pStyle w:val="TableText"/>
              <w:jc w:val="left"/>
            </w:pPr>
            <w:r>
              <w:t xml:space="preserve">About 300 staff users, mostly telesales; customer traffic peaks after push waves</w:t>
            </w:r>
          </w:p>
        </w:tc>
      </w:tr>
    </w:tbl>
    <w:p>
      <w:pPr>
        <w:pStyle w:val="Heading2"/>
      </w:pPr>
      <w:bookmarkStart w:id="29" w:name="_Toc300000025"/>
      <w:r>
        <w:t xml:space="preserve">Storage, year one</w:t>
      </w:r>
      <w:bookmarkEnd w:id="2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073"/>
        <w:gridCol w:w="3299"/>
        <w:gridCol w:w="3655"/>
      </w:tblGrid>
      <w:tr>
        <w:trPr>
          <w:cantSplit/>
          <w:tblHeader/>
        </w:trPr>
        <w:tc>
          <w:tcPr>
            <w:tcW w:w="2073" w:type="dxa"/>
            <w:shd w:val="clear" w:color="auto" w:fill="0F4761"/>
            <w:vAlign w:val="center"/>
          </w:tcPr>
          <w:p>
            <w:pPr>
              <w:pStyle w:val="TableHeading"/>
              <w:jc w:val="left"/>
            </w:pPr>
            <w:r>
              <w:rPr>
                <w:color w:val="FFFFFF"/>
              </w:rPr>
              <w:t xml:space="preserve">Data</w:t>
            </w:r>
          </w:p>
        </w:tc>
        <w:tc>
          <w:tcPr>
            <w:tcW w:w="3299" w:type="dxa"/>
            <w:shd w:val="clear" w:color="auto" w:fill="0F4761"/>
            <w:vAlign w:val="center"/>
          </w:tcPr>
          <w:p>
            <w:pPr>
              <w:pStyle w:val="TableHeading"/>
              <w:jc w:val="left"/>
            </w:pPr>
            <w:r>
              <w:rPr>
                <w:color w:val="FFFFFF"/>
              </w:rPr>
              <w:t xml:space="preserve">Rows</w:t>
            </w:r>
          </w:p>
        </w:tc>
        <w:tc>
          <w:tcPr>
            <w:tcW w:w="3655" w:type="dxa"/>
            <w:shd w:val="clear" w:color="auto" w:fill="0F4761"/>
            <w:vAlign w:val="center"/>
          </w:tcPr>
          <w:p>
            <w:pPr>
              <w:pStyle w:val="TableHeading"/>
              <w:jc w:val="left"/>
            </w:pPr>
            <w:r>
              <w:rPr>
                <w:color w:val="FFFFFF"/>
              </w:rPr>
              <w:t xml:space="preserve">Size</w:t>
            </w:r>
          </w:p>
        </w:tc>
      </w:tr>
      <w:tr>
        <w:trPr>
          <w:cantSplit/>
        </w:trPr>
        <w:tc>
          <w:tcPr>
            <w:tcW w:w="2073" w:type="dxa"/>
            <w:vAlign w:val="top"/>
          </w:tcPr>
          <w:p>
            <w:pPr>
              <w:pStyle w:val="TableText"/>
              <w:jc w:val="left"/>
            </w:pPr>
            <w:r>
              <w:t xml:space="preserve">Profiles and leads</w:t>
            </w:r>
          </w:p>
        </w:tc>
        <w:tc>
          <w:tcPr>
            <w:tcW w:w="3299" w:type="dxa"/>
            <w:vAlign w:val="top"/>
          </w:tcPr>
          <w:p>
            <w:pPr>
              <w:pStyle w:val="TableText"/>
              <w:jc w:val="left"/>
            </w:pPr>
            <w:r>
              <w:t xml:space="preserve">6 million each</w:t>
            </w:r>
          </w:p>
        </w:tc>
        <w:tc>
          <w:tcPr>
            <w:tcW w:w="3655" w:type="dxa"/>
            <w:vAlign w:val="top"/>
          </w:tcPr>
          <w:p>
            <w:pPr>
              <w:pStyle w:val="TableText"/>
              <w:jc w:val="left"/>
            </w:pPr>
            <w:r>
              <w:t xml:space="preserve">About 40 GB with indexes</w:t>
            </w:r>
          </w:p>
        </w:tc>
      </w:tr>
      <w:tr>
        <w:trPr>
          <w:cantSplit/>
        </w:trPr>
        <w:tc>
          <w:tcPr>
            <w:tcW w:w="2073" w:type="dxa"/>
            <w:shd w:val="clear" w:color="auto" w:fill="F4F7FB"/>
            <w:vAlign w:val="top"/>
          </w:tcPr>
          <w:p>
            <w:pPr>
              <w:pStyle w:val="TableText"/>
              <w:jc w:val="left"/>
            </w:pPr>
            <w:r>
              <w:t xml:space="preserve">Source records</w:t>
            </w:r>
          </w:p>
        </w:tc>
        <w:tc>
          <w:tcPr>
            <w:tcW w:w="3299" w:type="dxa"/>
            <w:shd w:val="clear" w:color="auto" w:fill="F4F7FB"/>
            <w:vAlign w:val="top"/>
          </w:tcPr>
          <w:p>
            <w:pPr>
              <w:pStyle w:val="TableText"/>
              <w:jc w:val="left"/>
            </w:pPr>
            <w:r>
              <w:t xml:space="preserve">7.8 million</w:t>
            </w:r>
          </w:p>
        </w:tc>
        <w:tc>
          <w:tcPr>
            <w:tcW w:w="3655" w:type="dxa"/>
            <w:shd w:val="clear" w:color="auto" w:fill="F4F7FB"/>
            <w:vAlign w:val="top"/>
          </w:tcPr>
          <w:p>
            <w:pPr>
              <w:pStyle w:val="TableText"/>
              <w:jc w:val="left"/>
            </w:pPr>
            <w:r>
              <w:t xml:space="preserve">About 11 GB with indexes</w:t>
            </w:r>
          </w:p>
        </w:tc>
      </w:tr>
      <w:tr>
        <w:trPr>
          <w:cantSplit/>
        </w:trPr>
        <w:tc>
          <w:tcPr>
            <w:tcW w:w="2073" w:type="dxa"/>
            <w:vAlign w:val="top"/>
          </w:tcPr>
          <w:p>
            <w:pPr>
              <w:pStyle w:val="TableText"/>
              <w:jc w:val="left"/>
            </w:pPr>
            <w:r>
              <w:t xml:space="preserve">Touchpoints</w:t>
            </w:r>
          </w:p>
        </w:tc>
        <w:tc>
          <w:tcPr>
            <w:tcW w:w="3299" w:type="dxa"/>
            <w:vAlign w:val="top"/>
          </w:tcPr>
          <w:p>
            <w:pPr>
              <w:pStyle w:val="TableText"/>
              <w:jc w:val="left"/>
            </w:pPr>
            <w:r>
              <w:t xml:space="preserve">About 7 million live, 42 million executed a year</w:t>
            </w:r>
          </w:p>
        </w:tc>
        <w:tc>
          <w:tcPr>
            <w:tcW w:w="3655" w:type="dxa"/>
            <w:vAlign w:val="top"/>
          </w:tcPr>
          <w:p>
            <w:pPr>
              <w:pStyle w:val="TableText"/>
              <w:jc w:val="left"/>
            </w:pPr>
            <w:r>
              <w:t xml:space="preserve">About 30 GB a year before purging</w:t>
            </w:r>
          </w:p>
        </w:tc>
      </w:tr>
      <w:tr>
        <w:trPr>
          <w:cantSplit/>
        </w:trPr>
        <w:tc>
          <w:tcPr>
            <w:tcW w:w="2073" w:type="dxa"/>
            <w:shd w:val="clear" w:color="auto" w:fill="F4F7FB"/>
            <w:vAlign w:val="top"/>
          </w:tcPr>
          <w:p>
            <w:pPr>
              <w:pStyle w:val="TableText"/>
              <w:jc w:val="left"/>
            </w:pPr>
            <w:r>
              <w:t xml:space="preserve">Messages</w:t>
            </w:r>
          </w:p>
        </w:tc>
        <w:tc>
          <w:tcPr>
            <w:tcW w:w="3299" w:type="dxa"/>
            <w:shd w:val="clear" w:color="auto" w:fill="F4F7FB"/>
            <w:vAlign w:val="top"/>
          </w:tcPr>
          <w:p>
            <w:pPr>
              <w:pStyle w:val="TableText"/>
              <w:jc w:val="left"/>
            </w:pPr>
            <w:r>
              <w:t xml:space="preserve">About 30 million a year</w:t>
            </w:r>
          </w:p>
        </w:tc>
        <w:tc>
          <w:tcPr>
            <w:tcW w:w="3655" w:type="dxa"/>
            <w:shd w:val="clear" w:color="auto" w:fill="F4F7FB"/>
            <w:vAlign w:val="top"/>
          </w:tcPr>
          <w:p>
            <w:pPr>
              <w:pStyle w:val="TableText"/>
              <w:jc w:val="left"/>
            </w:pPr>
            <w:r>
              <w:t xml:space="preserve">About 24 GB a year</w:t>
            </w:r>
          </w:p>
        </w:tc>
      </w:tr>
      <w:tr>
        <w:trPr>
          <w:cantSplit/>
        </w:trPr>
        <w:tc>
          <w:tcPr>
            <w:tcW w:w="2073" w:type="dxa"/>
            <w:vAlign w:val="top"/>
          </w:tcPr>
          <w:p>
            <w:pPr>
              <w:pStyle w:val="TableText"/>
              <w:jc w:val="left"/>
            </w:pPr>
            <w:r>
              <w:t xml:space="preserve">Call sessions</w:t>
            </w:r>
          </w:p>
        </w:tc>
        <w:tc>
          <w:tcPr>
            <w:tcW w:w="3299" w:type="dxa"/>
            <w:vAlign w:val="top"/>
          </w:tcPr>
          <w:p>
            <w:pPr>
              <w:pStyle w:val="TableText"/>
              <w:jc w:val="left"/>
            </w:pPr>
            <w:r>
              <w:t xml:space="preserve">About 1.2 million a year, 180-day retention</w:t>
            </w:r>
          </w:p>
        </w:tc>
        <w:tc>
          <w:tcPr>
            <w:tcW w:w="3655" w:type="dxa"/>
            <w:vAlign w:val="top"/>
          </w:tcPr>
          <w:p>
            <w:pPr>
              <w:pStyle w:val="TableText"/>
              <w:jc w:val="left"/>
            </w:pPr>
            <w:r>
              <w:t xml:space="preserve">About 2.5 GB steady</w:t>
            </w:r>
          </w:p>
        </w:tc>
      </w:tr>
      <w:tr>
        <w:trPr>
          <w:cantSplit/>
        </w:trPr>
        <w:tc>
          <w:tcPr>
            <w:tcW w:w="2073" w:type="dxa"/>
            <w:shd w:val="clear" w:color="auto" w:fill="F4F7FB"/>
            <w:vAlign w:val="top"/>
          </w:tcPr>
          <w:p>
            <w:pPr>
              <w:pStyle w:val="TableText"/>
              <w:jc w:val="left"/>
            </w:pPr>
            <w:r>
              <w:t xml:space="preserve">Quotes, orders, policies</w:t>
            </w:r>
          </w:p>
        </w:tc>
        <w:tc>
          <w:tcPr>
            <w:tcW w:w="3299" w:type="dxa"/>
            <w:shd w:val="clear" w:color="auto" w:fill="F4F7FB"/>
            <w:vAlign w:val="top"/>
          </w:tcPr>
          <w:p>
            <w:pPr>
              <w:pStyle w:val="TableText"/>
              <w:jc w:val="left"/>
            </w:pPr>
            <w:r>
              <w:t xml:space="preserve">About 2.7, 0.9 and 1.1 million a year</w:t>
            </w:r>
          </w:p>
        </w:tc>
        <w:tc>
          <w:tcPr>
            <w:tcW w:w="3655" w:type="dxa"/>
            <w:shd w:val="clear" w:color="auto" w:fill="F4F7FB"/>
            <w:vAlign w:val="top"/>
          </w:tcPr>
          <w:p>
            <w:pPr>
              <w:pStyle w:val="TableText"/>
              <w:jc w:val="left"/>
            </w:pPr>
            <w:r>
              <w:t xml:space="preserve">About 10 GB a year</w:t>
            </w:r>
          </w:p>
        </w:tc>
      </w:tr>
      <w:tr>
        <w:trPr>
          <w:cantSplit/>
        </w:trPr>
        <w:tc>
          <w:tcPr>
            <w:tcW w:w="2073" w:type="dxa"/>
            <w:vAlign w:val="top"/>
          </w:tcPr>
          <w:p>
            <w:pPr>
              <w:pStyle w:val="TableText"/>
              <w:jc w:val="left"/>
            </w:pPr>
            <w:r>
              <w:t xml:space="preserve">Audit trail</w:t>
            </w:r>
          </w:p>
        </w:tc>
        <w:tc>
          <w:tcPr>
            <w:tcW w:w="3299" w:type="dxa"/>
            <w:vAlign w:val="top"/>
          </w:tcPr>
          <w:p>
            <w:pPr>
              <w:pStyle w:val="TableText"/>
              <w:jc w:val="left"/>
            </w:pPr>
            <w:r>
              <w:t xml:space="preserve">About 18 million entries a year</w:t>
            </w:r>
          </w:p>
        </w:tc>
        <w:tc>
          <w:tcPr>
            <w:tcW w:w="3655" w:type="dxa"/>
            <w:vAlign w:val="top"/>
          </w:tcPr>
          <w:p>
            <w:pPr>
              <w:pStyle w:val="TableText"/>
              <w:jc w:val="left"/>
            </w:pPr>
            <w:r>
              <w:t xml:space="preserve">About 7 GB a year</w:t>
            </w:r>
          </w:p>
        </w:tc>
      </w:tr>
      <w:tr>
        <w:trPr>
          <w:cantSplit/>
        </w:trPr>
        <w:tc>
          <w:tcPr>
            <w:tcW w:w="2073" w:type="dxa"/>
            <w:shd w:val="clear" w:color="auto" w:fill="F4F7FB"/>
            <w:vAlign w:val="top"/>
          </w:tcPr>
          <w:p>
            <w:pPr>
              <w:pStyle w:val="TableText"/>
              <w:jc w:val="left"/>
            </w:pPr>
            <w:r>
              <w:t xml:space="preserve">Total</w:t>
            </w:r>
          </w:p>
        </w:tc>
        <w:tc>
          <w:tcPr>
            <w:tcW w:w="3299" w:type="dxa"/>
            <w:shd w:val="clear" w:color="auto" w:fill="F4F7FB"/>
            <w:vAlign w:val="top"/>
          </w:tcPr>
          <w:p>
            <w:pPr>
              <w:pStyle w:val="TableText"/>
            </w:pPr>
          </w:p>
        </w:tc>
        <w:tc>
          <w:tcPr>
            <w:tcW w:w="3655" w:type="dxa"/>
            <w:shd w:val="clear" w:color="auto" w:fill="F4F7FB"/>
            <w:vAlign w:val="top"/>
          </w:tcPr>
          <w:p>
            <w:pPr>
              <w:pStyle w:val="TableText"/>
              <w:jc w:val="left"/>
            </w:pPr>
            <w:r>
              <w:t xml:space="preserve">About 120 to 130 GB; provision 500 GB with automatic growth</w:t>
            </w:r>
          </w:p>
        </w:tc>
      </w:tr>
    </w:tbl>
    <w:p>
      <w:pPr>
        <w:pStyle w:val="Heading2"/>
      </w:pPr>
      <w:bookmarkStart w:id="30" w:name="_Toc300000026"/>
      <w:r>
        <w:t xml:space="preserve">Throughput</w:t>
      </w:r>
      <w:bookmarkEnd w:id="3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550"/>
        <w:gridCol w:w="3148"/>
        <w:gridCol w:w="4329"/>
      </w:tblGrid>
      <w:tr>
        <w:trPr>
          <w:cantSplit/>
          <w:tblHeader/>
        </w:trPr>
        <w:tc>
          <w:tcPr>
            <w:tcW w:w="1550" w:type="dxa"/>
            <w:shd w:val="clear" w:color="auto" w:fill="0F4761"/>
            <w:vAlign w:val="center"/>
          </w:tcPr>
          <w:p>
            <w:pPr>
              <w:pStyle w:val="TableHeading"/>
              <w:jc w:val="left"/>
            </w:pPr>
            <w:r>
              <w:rPr>
                <w:color w:val="FFFFFF"/>
              </w:rPr>
              <w:t xml:space="preserve">Workload</w:t>
            </w:r>
          </w:p>
        </w:tc>
        <w:tc>
          <w:tcPr>
            <w:tcW w:w="3148" w:type="dxa"/>
            <w:shd w:val="clear" w:color="auto" w:fill="0F4761"/>
            <w:vAlign w:val="center"/>
          </w:tcPr>
          <w:p>
            <w:pPr>
              <w:pStyle w:val="TableHeading"/>
              <w:jc w:val="left"/>
            </w:pPr>
            <w:r>
              <w:rPr>
                <w:color w:val="FFFFFF"/>
              </w:rPr>
              <w:t xml:space="preserve">Estimate</w:t>
            </w:r>
          </w:p>
        </w:tc>
        <w:tc>
          <w:tcPr>
            <w:tcW w:w="4329" w:type="dxa"/>
            <w:shd w:val="clear" w:color="auto" w:fill="0F4761"/>
            <w:vAlign w:val="center"/>
          </w:tcPr>
          <w:p>
            <w:pPr>
              <w:pStyle w:val="TableHeading"/>
              <w:jc w:val="left"/>
            </w:pPr>
            <w:r>
              <w:rPr>
                <w:color w:val="FFFFFF"/>
              </w:rPr>
              <w:t xml:space="preserve">Implication</w:t>
            </w:r>
          </w:p>
        </w:tc>
      </w:tr>
      <w:tr>
        <w:trPr>
          <w:cantSplit/>
        </w:trPr>
        <w:tc>
          <w:tcPr>
            <w:tcW w:w="1550" w:type="dxa"/>
            <w:vAlign w:val="top"/>
          </w:tcPr>
          <w:p>
            <w:pPr>
              <w:pStyle w:val="TableText"/>
              <w:jc w:val="left"/>
            </w:pPr>
            <w:r>
              <w:t xml:space="preserve">API</w:t>
            </w:r>
          </w:p>
        </w:tc>
        <w:tc>
          <w:tcPr>
            <w:tcW w:w="3148" w:type="dxa"/>
            <w:vAlign w:val="top"/>
          </w:tcPr>
          <w:p>
            <w:pPr>
              <w:pStyle w:val="TableText"/>
              <w:jc w:val="left"/>
            </w:pPr>
            <w:r>
              <w:t xml:space="preserve">10 to 20 requests per second normally; about 150 for 15 minutes after a push wave</w:t>
            </w:r>
          </w:p>
        </w:tc>
        <w:tc>
          <w:tcPr>
            <w:tcW w:w="4329" w:type="dxa"/>
            <w:vAlign w:val="top"/>
          </w:tcPr>
          <w:p>
            <w:pPr>
              <w:pStyle w:val="TableText"/>
              <w:jc w:val="left"/>
            </w:pPr>
            <w:r>
              <w:t xml:space="preserve">Three pods are ample: one process sustained 337 requests per second (95th percentile 103 ms, no errors) in the load smoke</w:t>
            </w:r>
          </w:p>
        </w:tc>
      </w:tr>
      <w:tr>
        <w:trPr>
          <w:cantSplit/>
        </w:trPr>
        <w:tc>
          <w:tcPr>
            <w:tcW w:w="1550" w:type="dxa"/>
            <w:shd w:val="clear" w:color="auto" w:fill="F4F7FB"/>
            <w:vAlign w:val="top"/>
          </w:tcPr>
          <w:p>
            <w:pPr>
              <w:pStyle w:val="TableText"/>
              <w:jc w:val="left"/>
            </w:pPr>
            <w:r>
              <w:t xml:space="preserve">Journey runs</w:t>
            </w:r>
          </w:p>
        </w:tc>
        <w:tc>
          <w:tcPr>
            <w:tcW w:w="3148" w:type="dxa"/>
            <w:shd w:val="clear" w:color="auto" w:fill="F4F7FB"/>
            <w:vAlign w:val="top"/>
          </w:tcPr>
          <w:p>
            <w:pPr>
              <w:pStyle w:val="TableText"/>
              <w:jc w:val="left"/>
            </w:pPr>
            <w:r>
              <w:t xml:space="preserve">About 115,000 touchpoint evaluations a day</w:t>
            </w:r>
          </w:p>
        </w:tc>
        <w:tc>
          <w:tcPr>
            <w:tcW w:w="4329" w:type="dxa"/>
            <w:shd w:val="clear" w:color="auto" w:fill="F4F7FB"/>
            <w:vAlign w:val="top"/>
          </w:tcPr>
          <w:p>
            <w:pPr>
              <w:pStyle w:val="TableText"/>
              <w:jc w:val="left"/>
            </w:pPr>
            <w:r>
              <w:t xml:space="preserve">15 to 25 minutes per run with providers at 100 ms; parallel workers and asynchronous calls are needed before full scale</w:t>
            </w:r>
          </w:p>
        </w:tc>
      </w:tr>
      <w:tr>
        <w:trPr>
          <w:cantSplit/>
        </w:trPr>
        <w:tc>
          <w:tcPr>
            <w:tcW w:w="1550" w:type="dxa"/>
            <w:vAlign w:val="top"/>
          </w:tcPr>
          <w:p>
            <w:pPr>
              <w:pStyle w:val="TableText"/>
              <w:jc w:val="left"/>
            </w:pPr>
            <w:r>
              <w:t xml:space="preserve">Nightly re-scoring</w:t>
            </w:r>
          </w:p>
        </w:tc>
        <w:tc>
          <w:tcPr>
            <w:tcW w:w="3148" w:type="dxa"/>
            <w:vAlign w:val="top"/>
          </w:tcPr>
          <w:p>
            <w:pPr>
              <w:pStyle w:val="TableText"/>
              <w:jc w:val="left"/>
            </w:pPr>
            <w:r>
              <w:t xml:space="preserve">6 million profiles</w:t>
            </w:r>
          </w:p>
        </w:tc>
        <w:tc>
          <w:tcPr>
            <w:tcW w:w="4329" w:type="dxa"/>
            <w:vAlign w:val="top"/>
          </w:tcPr>
          <w:p>
            <w:pPr>
              <w:pStyle w:val="TableText"/>
              <w:jc w:val="left"/>
            </w:pPr>
            <w:r>
              <w:t xml:space="preserve">Sharded workers with keyset paging to finish in about an hour</w:t>
            </w:r>
          </w:p>
        </w:tc>
      </w:tr>
      <w:tr>
        <w:trPr>
          <w:cantSplit/>
        </w:trPr>
        <w:tc>
          <w:tcPr>
            <w:tcW w:w="1550" w:type="dxa"/>
            <w:shd w:val="clear" w:color="auto" w:fill="F4F7FB"/>
            <w:vAlign w:val="top"/>
          </w:tcPr>
          <w:p>
            <w:pPr>
              <w:pStyle w:val="TableText"/>
              <w:jc w:val="left"/>
            </w:pPr>
            <w:r>
              <w:t xml:space="preserve">Orders</w:t>
            </w:r>
          </w:p>
        </w:tc>
        <w:tc>
          <w:tcPr>
            <w:tcW w:w="3148" w:type="dxa"/>
            <w:shd w:val="clear" w:color="auto" w:fill="F4F7FB"/>
            <w:vAlign w:val="top"/>
          </w:tcPr>
          <w:p>
            <w:pPr>
              <w:pStyle w:val="TableText"/>
              <w:jc w:val="left"/>
            </w:pPr>
            <w:r>
              <w:t xml:space="preserve">About 2,500 a day, peak about 1 per second</w:t>
            </w:r>
          </w:p>
        </w:tc>
        <w:tc>
          <w:tcPr>
            <w:tcW w:w="4329" w:type="dxa"/>
            <w:shd w:val="clear" w:color="auto" w:fill="F4F7FB"/>
            <w:vAlign w:val="top"/>
          </w:tcPr>
          <w:p>
            <w:pPr>
              <w:pStyle w:val="TableText"/>
              <w:jc w:val="left"/>
            </w:pPr>
            <w:r>
              <w:t xml:space="preserve">Bound by wallet and core latency</w:t>
            </w:r>
          </w:p>
        </w:tc>
      </w:tr>
      <w:tr>
        <w:trPr>
          <w:cantSplit/>
        </w:trPr>
        <w:tc>
          <w:tcPr>
            <w:tcW w:w="1550" w:type="dxa"/>
            <w:vAlign w:val="top"/>
          </w:tcPr>
          <w:p>
            <w:pPr>
              <w:pStyle w:val="TableText"/>
              <w:jc w:val="left"/>
            </w:pPr>
            <w:r>
              <w:t xml:space="preserve">Audit appends</w:t>
            </w:r>
          </w:p>
        </w:tc>
        <w:tc>
          <w:tcPr>
            <w:tcW w:w="3148" w:type="dxa"/>
            <w:vAlign w:val="top"/>
          </w:tcPr>
          <w:p>
            <w:pPr>
              <w:pStyle w:val="TableText"/>
              <w:jc w:val="left"/>
            </w:pPr>
            <w:r>
              <w:t xml:space="preserve">About 50,000 a day, peak about 20 per second</w:t>
            </w:r>
          </w:p>
        </w:tc>
        <w:tc>
          <w:tcPr>
            <w:tcW w:w="4329" w:type="dxa"/>
            <w:vAlign w:val="top"/>
          </w:tcPr>
          <w:p>
            <w:pPr>
              <w:pStyle w:val="TableText"/>
              <w:jc w:val="left"/>
            </w:pPr>
            <w:r>
              <w:t xml:space="preserve">Well within serialised append capacity</w:t>
            </w:r>
          </w:p>
        </w:tc>
      </w:tr>
    </w:tbl>
    <w:p>
      <w:pPr>
        <w:pStyle w:val="BodyText"/>
        <w:spacing w:before="160"/>
      </w:pPr>
      <w:r>
        <w:t xml:space="preserve">Production database sizing: primary of 8 vCPU, 32 GB memory and 500 GB SSD (at least 6,000 IOPS) with a standby of the same size, and a read replica of 4 vCPU and 16 GB. The working set of profile, lead and touchpoint indexes, about 10 GB, fits in memory.</w:t>
      </w:r>
    </w:p>
    <w:p>
      <w:pPr>
        <w:pStyle w:val="Heading2"/>
      </w:pPr>
      <w:bookmarkStart w:id="31" w:name="_Toc300000027"/>
      <w:r>
        <w:t xml:space="preserve">Sizing by environment</w:t>
      </w:r>
      <w:bookmarkEnd w:id="3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92"/>
        <w:gridCol w:w="2065"/>
        <w:gridCol w:w="1775"/>
        <w:gridCol w:w="3295"/>
      </w:tblGrid>
      <w:tr>
        <w:trPr>
          <w:cantSplit/>
          <w:tblHeader/>
        </w:trPr>
        <w:tc>
          <w:tcPr>
            <w:tcW w:w="1892" w:type="dxa"/>
            <w:shd w:val="clear" w:color="auto" w:fill="0F4761"/>
            <w:vAlign w:val="center"/>
          </w:tcPr>
          <w:p>
            <w:pPr>
              <w:pStyle w:val="TableHeading"/>
              <w:jc w:val="left"/>
            </w:pPr>
            <w:r>
              <w:rPr>
                <w:color w:val="FFFFFF"/>
              </w:rPr>
              <w:t xml:space="preserve">Environment</w:t>
            </w:r>
          </w:p>
        </w:tc>
        <w:tc>
          <w:tcPr>
            <w:tcW w:w="2065" w:type="dxa"/>
            <w:shd w:val="clear" w:color="auto" w:fill="0F4761"/>
            <w:vAlign w:val="center"/>
          </w:tcPr>
          <w:p>
            <w:pPr>
              <w:pStyle w:val="TableHeading"/>
              <w:jc w:val="left"/>
            </w:pPr>
            <w:r>
              <w:rPr>
                <w:color w:val="FFFFFF"/>
              </w:rPr>
              <w:t xml:space="preserve">API</w:t>
            </w:r>
          </w:p>
        </w:tc>
        <w:tc>
          <w:tcPr>
            <w:tcW w:w="1775" w:type="dxa"/>
            <w:shd w:val="clear" w:color="auto" w:fill="0F4761"/>
            <w:vAlign w:val="center"/>
          </w:tcPr>
          <w:p>
            <w:pPr>
              <w:pStyle w:val="TableHeading"/>
              <w:jc w:val="left"/>
            </w:pPr>
            <w:r>
              <w:rPr>
                <w:color w:val="FFFFFF"/>
              </w:rPr>
              <w:t xml:space="preserve">Jobs</w:t>
            </w:r>
          </w:p>
        </w:tc>
        <w:tc>
          <w:tcPr>
            <w:tcW w:w="3295" w:type="dxa"/>
            <w:shd w:val="clear" w:color="auto" w:fill="0F4761"/>
            <w:vAlign w:val="center"/>
          </w:tcPr>
          <w:p>
            <w:pPr>
              <w:pStyle w:val="TableHeading"/>
              <w:jc w:val="left"/>
            </w:pPr>
            <w:r>
              <w:rPr>
                <w:color w:val="FFFFFF"/>
              </w:rPr>
              <w:t xml:space="preserve">PostgreSQL</w:t>
            </w:r>
          </w:p>
        </w:tc>
      </w:tr>
      <w:tr>
        <w:trPr>
          <w:cantSplit/>
        </w:trPr>
        <w:tc>
          <w:tcPr>
            <w:tcW w:w="1892" w:type="dxa"/>
            <w:vAlign w:val="top"/>
          </w:tcPr>
          <w:p>
            <w:pPr>
              <w:pStyle w:val="TableText"/>
              <w:jc w:val="left"/>
            </w:pPr>
            <w:r>
              <w:t xml:space="preserve">SIT</w:t>
            </w:r>
          </w:p>
        </w:tc>
        <w:tc>
          <w:tcPr>
            <w:tcW w:w="2065" w:type="dxa"/>
            <w:vAlign w:val="top"/>
          </w:tcPr>
          <w:p>
            <w:pPr>
              <w:pStyle w:val="TableText"/>
              <w:jc w:val="left"/>
            </w:pPr>
            <w:r>
              <w:t xml:space="preserve">2 pods</w:t>
            </w:r>
          </w:p>
        </w:tc>
        <w:tc>
          <w:tcPr>
            <w:tcW w:w="1775" w:type="dxa"/>
            <w:vAlign w:val="top"/>
          </w:tcPr>
          <w:p>
            <w:pPr>
              <w:pStyle w:val="TableText"/>
              <w:jc w:val="left"/>
            </w:pPr>
            <w:r>
              <w:t xml:space="preserve">On demand</w:t>
            </w:r>
          </w:p>
        </w:tc>
        <w:tc>
          <w:tcPr>
            <w:tcW w:w="3295" w:type="dxa"/>
            <w:vAlign w:val="top"/>
          </w:tcPr>
          <w:p>
            <w:pPr>
              <w:pStyle w:val="TableText"/>
              <w:jc w:val="left"/>
            </w:pPr>
            <w:r>
              <w:t xml:space="preserve">2 vCPU, 8 GB, single zone, 7-day recovery</w:t>
            </w:r>
          </w:p>
        </w:tc>
      </w:tr>
      <w:tr>
        <w:trPr>
          <w:cantSplit/>
        </w:trPr>
        <w:tc>
          <w:tcPr>
            <w:tcW w:w="1892" w:type="dxa"/>
            <w:shd w:val="clear" w:color="auto" w:fill="F4F7FB"/>
            <w:vAlign w:val="top"/>
          </w:tcPr>
          <w:p>
            <w:pPr>
              <w:pStyle w:val="TableText"/>
              <w:jc w:val="left"/>
            </w:pPr>
            <w:r>
              <w:t xml:space="preserve">Pre-production</w:t>
            </w:r>
          </w:p>
        </w:tc>
        <w:tc>
          <w:tcPr>
            <w:tcW w:w="2065" w:type="dxa"/>
            <w:shd w:val="clear" w:color="auto" w:fill="F4F7FB"/>
            <w:vAlign w:val="top"/>
          </w:tcPr>
          <w:p>
            <w:pPr>
              <w:pStyle w:val="TableText"/>
              <w:jc w:val="left"/>
            </w:pPr>
            <w:r>
              <w:t xml:space="preserve">3 to 20 pods</w:t>
            </w:r>
          </w:p>
        </w:tc>
        <w:tc>
          <w:tcPr>
            <w:tcW w:w="1775" w:type="dxa"/>
            <w:shd w:val="clear" w:color="auto" w:fill="F4F7FB"/>
            <w:vAlign w:val="top"/>
          </w:tcPr>
          <w:p>
            <w:pPr>
              <w:pStyle w:val="TableText"/>
              <w:jc w:val="left"/>
            </w:pPr>
            <w:r>
              <w:t xml:space="preserve">Sharded workers</w:t>
            </w:r>
          </w:p>
        </w:tc>
        <w:tc>
          <w:tcPr>
            <w:tcW w:w="3295" w:type="dxa"/>
            <w:shd w:val="clear" w:color="auto" w:fill="F4F7FB"/>
            <w:vAlign w:val="top"/>
          </w:tcPr>
          <w:p>
            <w:pPr>
              <w:pStyle w:val="TableText"/>
              <w:jc w:val="left"/>
            </w:pPr>
            <w:r>
              <w:t xml:space="preserve">8 vCPU, 32 GB, only during test windows</w:t>
            </w:r>
          </w:p>
        </w:tc>
      </w:tr>
      <w:tr>
        <w:trPr>
          <w:cantSplit/>
        </w:trPr>
        <w:tc>
          <w:tcPr>
            <w:tcW w:w="1892" w:type="dxa"/>
            <w:vAlign w:val="top"/>
          </w:tcPr>
          <w:p>
            <w:pPr>
              <w:pStyle w:val="TableText"/>
              <w:jc w:val="left"/>
            </w:pPr>
            <w:r>
              <w:t xml:space="preserve">Production</w:t>
            </w:r>
          </w:p>
        </w:tc>
        <w:tc>
          <w:tcPr>
            <w:tcW w:w="2065" w:type="dxa"/>
            <w:vAlign w:val="top"/>
          </w:tcPr>
          <w:p>
            <w:pPr>
              <w:pStyle w:val="TableText"/>
              <w:jc w:val="left"/>
            </w:pPr>
            <w:r>
              <w:t xml:space="preserve">3 pods baseline, up to 20</w:t>
            </w:r>
          </w:p>
        </w:tc>
        <w:tc>
          <w:tcPr>
            <w:tcW w:w="1775" w:type="dxa"/>
            <w:vAlign w:val="top"/>
          </w:tcPr>
          <w:p>
            <w:pPr>
              <w:pStyle w:val="TableText"/>
              <w:jc w:val="left"/>
            </w:pPr>
            <w:r>
              <w:t xml:space="preserve">About 5 pod-hours a day</w:t>
            </w:r>
          </w:p>
        </w:tc>
        <w:tc>
          <w:tcPr>
            <w:tcW w:w="3295" w:type="dxa"/>
            <w:vAlign w:val="top"/>
          </w:tcPr>
          <w:p>
            <w:pPr>
              <w:pStyle w:val="TableText"/>
              <w:jc w:val="left"/>
            </w:pPr>
            <w:r>
              <w:t xml:space="preserve">Primary and standby 8 vCPU, 32 GB; replica 4 vCPU, 16 GB</w:t>
            </w:r>
          </w:p>
        </w:tc>
      </w:tr>
      <w:tr>
        <w:trPr>
          <w:cantSplit/>
        </w:trPr>
        <w:tc>
          <w:tcPr>
            <w:tcW w:w="1892" w:type="dxa"/>
            <w:shd w:val="clear" w:color="auto" w:fill="F4F7FB"/>
            <w:vAlign w:val="top"/>
          </w:tcPr>
          <w:p>
            <w:pPr>
              <w:pStyle w:val="TableText"/>
              <w:jc w:val="left"/>
            </w:pPr>
            <w:r>
              <w:t xml:space="preserve">DR</w:t>
            </w:r>
          </w:p>
        </w:tc>
        <w:tc>
          <w:tcPr>
            <w:tcW w:w="2065" w:type="dxa"/>
            <w:shd w:val="clear" w:color="auto" w:fill="F4F7FB"/>
            <w:vAlign w:val="top"/>
          </w:tcPr>
          <w:p>
            <w:pPr>
              <w:pStyle w:val="TableText"/>
              <w:jc w:val="left"/>
            </w:pPr>
            <w:r>
              <w:t xml:space="preserve">0 or 1 warm pod, scaled on failover</w:t>
            </w:r>
          </w:p>
        </w:tc>
        <w:tc>
          <w:tcPr>
            <w:tcW w:w="1775" w:type="dxa"/>
            <w:shd w:val="clear" w:color="auto" w:fill="F4F7FB"/>
            <w:vAlign w:val="top"/>
          </w:tcPr>
          <w:p>
            <w:pPr>
              <w:pStyle w:val="TableText"/>
              <w:jc w:val="left"/>
            </w:pPr>
            <w:r>
              <w:t xml:space="preserve">None until failover</w:t>
            </w:r>
          </w:p>
        </w:tc>
        <w:tc>
          <w:tcPr>
            <w:tcW w:w="3295" w:type="dxa"/>
            <w:shd w:val="clear" w:color="auto" w:fill="F4F7FB"/>
            <w:vAlign w:val="top"/>
          </w:tcPr>
          <w:p>
            <w:pPr>
              <w:pStyle w:val="TableText"/>
              <w:jc w:val="left"/>
            </w:pPr>
            <w:r>
              <w:t xml:space="preserve">Asynchronous replica 4 vCPU, 16 GB</w:t>
            </w:r>
          </w:p>
        </w:tc>
      </w:tr>
    </w:tbl>
    <w:p>
      <w:pPr>
        <w:pStyle w:val="BodyText"/>
        <w:spacing w:before="160"/>
      </w:pPr>
      <w:r>
        <w:t xml:space="preserve">At scale, per-message channel costs outweigh infrastructure costs; the next-best action prefers push over Zalo over SMS over voice over telesales. Purging or partitioning high-churn tables and running reporting on the replica keep the database on a smaller tier.</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2" w:name="_Toc300000028"/>
      <w:r>
        <w:rPr>
          <w:rStyle w:val="BookTitle"/>
          <w:bCs w:val="0"/>
          <w:i w:val="0"/>
          <w:iCs w:val="0"/>
          <w:spacing w:val="0"/>
        </w:rPr>
        <w:t xml:space="preserve">Resilience and disaster recovery</w:t>
      </w:r>
      <w:bookmarkEnd w:id="3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051"/>
        <w:gridCol w:w="5976"/>
      </w:tblGrid>
      <w:tr>
        <w:trPr>
          <w:cantSplit/>
          <w:tblHeader/>
        </w:trPr>
        <w:tc>
          <w:tcPr>
            <w:tcW w:w="3051" w:type="dxa"/>
            <w:shd w:val="clear" w:color="auto" w:fill="0F4761"/>
            <w:vAlign w:val="center"/>
          </w:tcPr>
          <w:p>
            <w:pPr>
              <w:pStyle w:val="TableHeading"/>
              <w:jc w:val="left"/>
            </w:pPr>
            <w:r>
              <w:rPr>
                <w:color w:val="FFFFFF"/>
              </w:rPr>
              <w:t xml:space="preserve">Measure</w:t>
            </w:r>
          </w:p>
        </w:tc>
        <w:tc>
          <w:tcPr>
            <w:tcW w:w="5976" w:type="dxa"/>
            <w:shd w:val="clear" w:color="auto" w:fill="0F4761"/>
            <w:vAlign w:val="center"/>
          </w:tcPr>
          <w:p>
            <w:pPr>
              <w:pStyle w:val="TableHeading"/>
              <w:jc w:val="left"/>
            </w:pPr>
            <w:r>
              <w:rPr>
                <w:color w:val="FFFFFF"/>
              </w:rPr>
              <w:t xml:space="preserve">Target</w:t>
            </w:r>
          </w:p>
        </w:tc>
      </w:tr>
      <w:tr>
        <w:trPr>
          <w:cantSplit/>
        </w:trPr>
        <w:tc>
          <w:tcPr>
            <w:tcW w:w="3051" w:type="dxa"/>
            <w:vAlign w:val="top"/>
          </w:tcPr>
          <w:p>
            <w:pPr>
              <w:pStyle w:val="TableText"/>
              <w:jc w:val="left"/>
            </w:pPr>
            <w:r>
              <w:t xml:space="preserve">Availability of the customer purchase path</w:t>
            </w:r>
          </w:p>
        </w:tc>
        <w:tc>
          <w:tcPr>
            <w:tcW w:w="5976" w:type="dxa"/>
            <w:vAlign w:val="top"/>
          </w:tcPr>
          <w:p>
            <w:pPr>
              <w:pStyle w:val="TableText"/>
              <w:jc w:val="left"/>
            </w:pPr>
            <w:r>
              <w:t xml:space="preserve">99.9% monthly</w:t>
            </w:r>
          </w:p>
        </w:tc>
      </w:tr>
      <w:tr>
        <w:trPr>
          <w:cantSplit/>
        </w:trPr>
        <w:tc>
          <w:tcPr>
            <w:tcW w:w="3051" w:type="dxa"/>
            <w:shd w:val="clear" w:color="auto" w:fill="F4F7FB"/>
            <w:vAlign w:val="top"/>
          </w:tcPr>
          <w:p>
            <w:pPr>
              <w:pStyle w:val="TableText"/>
              <w:jc w:val="left"/>
            </w:pPr>
            <w:r>
              <w:t xml:space="preserve">Recovery point objective</w:t>
            </w:r>
          </w:p>
        </w:tc>
        <w:tc>
          <w:tcPr>
            <w:tcW w:w="5976" w:type="dxa"/>
            <w:shd w:val="clear" w:color="auto" w:fill="F4F7FB"/>
            <w:vAlign w:val="top"/>
          </w:tcPr>
          <w:p>
            <w:pPr>
              <w:pStyle w:val="TableText"/>
              <w:jc w:val="left"/>
            </w:pPr>
            <w:r>
              <w:t xml:space="preserve">15 minutes or less</w:t>
            </w:r>
          </w:p>
        </w:tc>
      </w:tr>
      <w:tr>
        <w:trPr>
          <w:cantSplit/>
        </w:trPr>
        <w:tc>
          <w:tcPr>
            <w:tcW w:w="3051" w:type="dxa"/>
            <w:vAlign w:val="top"/>
          </w:tcPr>
          <w:p>
            <w:pPr>
              <w:pStyle w:val="TableText"/>
              <w:jc w:val="left"/>
            </w:pPr>
            <w:r>
              <w:t xml:space="preserve">Recovery time objective</w:t>
            </w:r>
          </w:p>
        </w:tc>
        <w:tc>
          <w:tcPr>
            <w:tcW w:w="5976" w:type="dxa"/>
            <w:vAlign w:val="top"/>
          </w:tcPr>
          <w:p>
            <w:pPr>
              <w:pStyle w:val="TableText"/>
              <w:jc w:val="left"/>
            </w:pPr>
            <w:r>
              <w:t xml:space="preserve">4 hours or less</w:t>
            </w:r>
          </w:p>
        </w:tc>
      </w:tr>
      <w:tr>
        <w:trPr>
          <w:cantSplit/>
        </w:trPr>
        <w:tc>
          <w:tcPr>
            <w:tcW w:w="3051" w:type="dxa"/>
            <w:shd w:val="clear" w:color="auto" w:fill="F4F7FB"/>
            <w:vAlign w:val="top"/>
          </w:tcPr>
          <w:p>
            <w:pPr>
              <w:pStyle w:val="TableText"/>
              <w:jc w:val="left"/>
            </w:pPr>
            <w:r>
              <w:t xml:space="preserve">Backups</w:t>
            </w:r>
          </w:p>
        </w:tc>
        <w:tc>
          <w:tcPr>
            <w:tcW w:w="5976" w:type="dxa"/>
            <w:shd w:val="clear" w:color="auto" w:fill="F4F7FB"/>
            <w:vAlign w:val="top"/>
          </w:tcPr>
          <w:p>
            <w:pPr>
              <w:pStyle w:val="TableText"/>
              <w:jc w:val="left"/>
            </w:pPr>
            <w:r>
              <w:t xml:space="preserve">Encrypted, point-in-time recovery for 35 days, restore tested quarterly</w:t>
            </w:r>
          </w:p>
        </w:tc>
      </w:tr>
      <w:tr>
        <w:trPr>
          <w:cantSplit/>
        </w:trPr>
        <w:tc>
          <w:tcPr>
            <w:tcW w:w="3051" w:type="dxa"/>
            <w:vAlign w:val="top"/>
          </w:tcPr>
          <w:p>
            <w:pPr>
              <w:pStyle w:val="TableText"/>
              <w:jc w:val="left"/>
            </w:pPr>
            <w:r>
              <w:t xml:space="preserve">Application</w:t>
            </w:r>
          </w:p>
        </w:tc>
        <w:tc>
          <w:tcPr>
            <w:tcW w:w="5976" w:type="dxa"/>
            <w:vAlign w:val="top"/>
          </w:tcPr>
          <w:p>
            <w:pPr>
              <w:pStyle w:val="TableText"/>
              <w:jc w:val="left"/>
            </w:pPr>
            <w:r>
              <w:t xml:space="preserve">At least two replicas across zones (three in the manifests), rolling deployments, pod disruption budget</w:t>
            </w:r>
          </w:p>
        </w:tc>
      </w:tr>
    </w:tbl>
    <w:p>
      <w:pPr>
        <w:pStyle w:val="BodyText"/>
        <w:spacing w:before="160"/>
      </w:pPr>
      <w:r>
        <w:t xml:space="preserve">The design is expected to do better than these targets in most failures: a zone failure is absorbed by the synchronous standby with no data loss and automatic failover, and a region loss is recovered from the cross-region replica with a few minutes of data loss. DR uses a warm standby: manifests are kept in step by GitOps with replicas at zero or one, and the database replica runs in the DR region. Failover promotes the replica, points the database secret at it, scales up the API and jobs, switches DNS and verifies health, the audit chain and the outbox backlog. Providers are told the DR egress addresses in advance. TGP-OPS-03 Disaster Recovery and Business Continuity Plan holds the recovery tiers, procedures and drill schedule.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3" w:name="_Toc300000029"/>
      <w:r>
        <w:rPr>
          <w:rStyle w:val="BookTitle"/>
          <w:bCs w:val="0"/>
          <w:i w:val="0"/>
          <w:iCs w:val="0"/>
          <w:spacing w:val="0"/>
        </w:rPr>
        <w:t xml:space="preserve">Observability</w:t>
      </w:r>
      <w:bookmarkEnd w:id="3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066"/>
        <w:gridCol w:w="7961"/>
      </w:tblGrid>
      <w:tr>
        <w:trPr>
          <w:cantSplit/>
          <w:tblHeader/>
        </w:trPr>
        <w:tc>
          <w:tcPr>
            <w:tcW w:w="1066" w:type="dxa"/>
            <w:shd w:val="clear" w:color="auto" w:fill="0F4761"/>
            <w:vAlign w:val="center"/>
          </w:tcPr>
          <w:p>
            <w:pPr>
              <w:pStyle w:val="TableHeading"/>
              <w:jc w:val="left"/>
            </w:pPr>
            <w:r>
              <w:rPr>
                <w:color w:val="FFFFFF"/>
              </w:rPr>
              <w:t xml:space="preserve">Signal</w:t>
            </w:r>
          </w:p>
        </w:tc>
        <w:tc>
          <w:tcPr>
            <w:tcW w:w="7961" w:type="dxa"/>
            <w:shd w:val="clear" w:color="auto" w:fill="0F4761"/>
            <w:vAlign w:val="center"/>
          </w:tcPr>
          <w:p>
            <w:pPr>
              <w:pStyle w:val="TableHeading"/>
              <w:jc w:val="left"/>
            </w:pPr>
            <w:r>
              <w:rPr>
                <w:color w:val="FFFFFF"/>
              </w:rPr>
              <w:t xml:space="preserve">Design</w:t>
            </w:r>
          </w:p>
        </w:tc>
      </w:tr>
      <w:tr>
        <w:trPr>
          <w:cantSplit/>
        </w:trPr>
        <w:tc>
          <w:tcPr>
            <w:tcW w:w="1066" w:type="dxa"/>
            <w:vAlign w:val="top"/>
          </w:tcPr>
          <w:p>
            <w:pPr>
              <w:pStyle w:val="TableText"/>
              <w:jc w:val="left"/>
            </w:pPr>
            <w:r>
              <w:t xml:space="preserve">Logs</w:t>
            </w:r>
          </w:p>
        </w:tc>
        <w:tc>
          <w:tcPr>
            <w:tcW w:w="7961" w:type="dxa"/>
            <w:vAlign w:val="top"/>
          </w:tcPr>
          <w:p>
            <w:pPr>
              <w:pStyle w:val="TableText"/>
              <w:jc w:val="left"/>
            </w:pPr>
            <w:r>
              <w:t xml:space="preserve">One JSON object per line with time, level, message and service; personal and secret keys redacted; every API request logged with request id, route, status and duration. Kept 30 days online and one year in archive.</w:t>
            </w:r>
          </w:p>
        </w:tc>
      </w:tr>
      <w:tr>
        <w:trPr>
          <w:cantSplit/>
        </w:trPr>
        <w:tc>
          <w:tcPr>
            <w:tcW w:w="1066" w:type="dxa"/>
            <w:shd w:val="clear" w:color="auto" w:fill="F4F7FB"/>
            <w:vAlign w:val="top"/>
          </w:tcPr>
          <w:p>
            <w:pPr>
              <w:pStyle w:val="TableText"/>
              <w:jc w:val="left"/>
            </w:pPr>
            <w:r>
              <w:t xml:space="preserve">Metrics</w:t>
            </w:r>
          </w:p>
        </w:tc>
        <w:tc>
          <w:tcPr>
            <w:tcW w:w="7961" w:type="dxa"/>
            <w:shd w:val="clear" w:color="auto" w:fill="F4F7FB"/>
            <w:vAlign w:val="top"/>
          </w:tcPr>
          <w:p>
            <w:pPr>
              <w:pStyle w:val="TableText"/>
              <w:jc w:val="left"/>
            </w:pPr>
            <w:r>
              <w:t xml:space="preserve">Prometheus format at</w:t>
            </w:r>
            <w:r>
              <w:t xml:space="preserve"> </w:t>
            </w:r>
            <w:r>
              <w:rPr>
                <w:rStyle w:val="CodeChar"/>
              </w:rPr>
              <w:t xml:space="preserve">/metrics</w:t>
            </w:r>
            <w:r>
              <w:t xml:space="preserve">, inside the cluster only and protected by a token: request latency and counts by route and status, integration calls and short circuits, events published and processed, messages by channel and status, quotes, orders, compensations, calls by outcome, core rating results and indicative quotes</w:t>
            </w:r>
          </w:p>
        </w:tc>
      </w:tr>
      <w:tr>
        <w:trPr>
          <w:cantSplit/>
        </w:trPr>
        <w:tc>
          <w:tcPr>
            <w:tcW w:w="1066" w:type="dxa"/>
            <w:vAlign w:val="top"/>
          </w:tcPr>
          <w:p>
            <w:pPr>
              <w:pStyle w:val="TableText"/>
              <w:jc w:val="left"/>
            </w:pPr>
            <w:r>
              <w:t xml:space="preserve">Alerts</w:t>
            </w:r>
          </w:p>
        </w:tc>
        <w:tc>
          <w:tcPr>
            <w:tcW w:w="7961" w:type="dxa"/>
            <w:vAlign w:val="top"/>
          </w:tcPr>
          <w:p>
            <w:pPr>
              <w:pStyle w:val="TableText"/>
              <w:jc w:val="left"/>
            </w:pPr>
            <w:r>
              <w:t xml:space="preserve">Availability burn rate, latency, open circuit on wallet or core, dead-letter events, outbox lag, sign-in anomalies, reconciliation mismatches, audit-chain probe failure, job failure</w:t>
            </w:r>
          </w:p>
        </w:tc>
      </w:tr>
      <w:tr>
        <w:trPr>
          <w:cantSplit/>
        </w:trPr>
        <w:tc>
          <w:tcPr>
            <w:tcW w:w="1066" w:type="dxa"/>
            <w:shd w:val="clear" w:color="auto" w:fill="F4F7FB"/>
            <w:vAlign w:val="top"/>
          </w:tcPr>
          <w:p>
            <w:pPr>
              <w:pStyle w:val="TableText"/>
              <w:jc w:val="left"/>
            </w:pPr>
            <w:r>
              <w:t xml:space="preserve">Tracing</w:t>
            </w:r>
          </w:p>
        </w:tc>
        <w:tc>
          <w:tcPr>
            <w:tcW w:w="7961" w:type="dxa"/>
            <w:shd w:val="clear" w:color="auto" w:fill="F4F7FB"/>
            <w:vAlign w:val="top"/>
          </w:tcPr>
          <w:p>
            <w:pPr>
              <w:pStyle w:val="TableText"/>
              <w:jc w:val="left"/>
            </w:pPr>
            <w:r>
              <w:t xml:space="preserve">Request ids today, accepted from the caller or generated, echoed in responses and logs. OpenTelemetry tracing with propagation to providers and into events is planned for the scale phase.</w:t>
            </w:r>
          </w:p>
        </w:tc>
      </w:tr>
    </w:tbl>
    <w:p>
      <w:pPr>
        <w:pStyle w:val="BodyText"/>
        <w:spacing w:before="160"/>
      </w:pPr>
      <w:r>
        <w:t xml:space="preserve">Short-lived job pods are not scraped; their results are in the job history and logs. An outbox backlog gauge and database pool metrics are planned. TGP-OPS-02 Monitoring and Alerting defines the dashboards and alert rules.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4" w:name="_Toc300000030"/>
      <w:r>
        <w:rPr>
          <w:rStyle w:val="BookTitle"/>
          <w:bCs w:val="0"/>
          <w:i w:val="0"/>
          <w:iCs w:val="0"/>
          <w:spacing w:val="0"/>
        </w:rPr>
        <w:t xml:space="preserve">Appendix</w:t>
      </w:r>
      <w:bookmarkEnd w:id="34"/>
    </w:p>
    <w:p>
      <w:pPr>
        <w:pStyle w:val="Heading2"/>
      </w:pPr>
      <w:bookmarkStart w:id="35" w:name="_Toc300000031"/>
      <w:r>
        <w:t xml:space="preserve">Kubernetes manifests</w:t>
      </w:r>
      <w:bookmarkEnd w:id="3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954"/>
        <w:gridCol w:w="6073"/>
      </w:tblGrid>
      <w:tr>
        <w:trPr>
          <w:cantSplit/>
          <w:tblHeader/>
        </w:trPr>
        <w:tc>
          <w:tcPr>
            <w:tcW w:w="2954" w:type="dxa"/>
            <w:shd w:val="clear" w:color="auto" w:fill="0F4761"/>
            <w:vAlign w:val="center"/>
          </w:tcPr>
          <w:p>
            <w:pPr>
              <w:pStyle w:val="TableHeading"/>
              <w:jc w:val="left"/>
            </w:pPr>
            <w:r>
              <w:rPr>
                <w:color w:val="FFFFFF"/>
              </w:rPr>
              <w:t xml:space="preserve">File</w:t>
            </w:r>
          </w:p>
        </w:tc>
        <w:tc>
          <w:tcPr>
            <w:tcW w:w="6073" w:type="dxa"/>
            <w:shd w:val="clear" w:color="auto" w:fill="0F4761"/>
            <w:vAlign w:val="center"/>
          </w:tcPr>
          <w:p>
            <w:pPr>
              <w:pStyle w:val="TableHeading"/>
              <w:jc w:val="left"/>
            </w:pPr>
            <w:r>
              <w:rPr>
                <w:color w:val="FFFFFF"/>
              </w:rPr>
              <w:t xml:space="preserve">Contents</w:t>
            </w:r>
          </w:p>
        </w:tc>
      </w:tr>
      <w:tr>
        <w:trPr>
          <w:cantSplit/>
        </w:trPr>
        <w:tc>
          <w:tcPr>
            <w:tcW w:w="2954" w:type="dxa"/>
            <w:vAlign w:val="top"/>
          </w:tcPr>
          <w:p>
            <w:pPr>
              <w:pStyle w:val="TableText"/>
              <w:jc w:val="left"/>
            </w:pPr>
            <w:r>
              <w:rPr>
                <w:rStyle w:val="CodeChar"/>
              </w:rPr>
              <w:t xml:space="preserve">00-namespace.yaml</w:t>
            </w:r>
          </w:p>
        </w:tc>
        <w:tc>
          <w:tcPr>
            <w:tcW w:w="6073" w:type="dxa"/>
            <w:vAlign w:val="top"/>
          </w:tcPr>
          <w:p>
            <w:pPr>
              <w:pStyle w:val="TableText"/>
              <w:jc w:val="left"/>
            </w:pPr>
            <w:r>
              <w:t xml:space="preserve">Application namespace</w:t>
            </w:r>
          </w:p>
        </w:tc>
      </w:tr>
      <w:tr>
        <w:trPr>
          <w:cantSplit/>
        </w:trPr>
        <w:tc>
          <w:tcPr>
            <w:tcW w:w="2954" w:type="dxa"/>
            <w:shd w:val="clear" w:color="auto" w:fill="F4F7FB"/>
            <w:vAlign w:val="top"/>
          </w:tcPr>
          <w:p>
            <w:pPr>
              <w:pStyle w:val="TableText"/>
              <w:jc w:val="left"/>
            </w:pPr>
            <w:r>
              <w:rPr>
                <w:rStyle w:val="CodeChar"/>
              </w:rPr>
              <w:t xml:space="preserve">10-configmap.yaml</w:t>
            </w:r>
          </w:p>
        </w:tc>
        <w:tc>
          <w:tcPr>
            <w:tcW w:w="6073" w:type="dxa"/>
            <w:shd w:val="clear" w:color="auto" w:fill="F4F7FB"/>
            <w:vAlign w:val="top"/>
          </w:tcPr>
          <w:p>
            <w:pPr>
              <w:pStyle w:val="TableText"/>
              <w:jc w:val="left"/>
            </w:pPr>
            <w:r>
              <w:t xml:space="preserve">Non-secret settings, including production mode, demo mode off,</w:t>
            </w:r>
            <w:r>
              <w:t xml:space="preserve"> </w:t>
            </w:r>
            <w:r>
              <w:rPr>
                <w:rStyle w:val="CodeChar"/>
              </w:rPr>
              <w:t xml:space="preserve">RATING_SOURCE=core</w:t>
            </w:r>
            <w:r>
              <w:t xml:space="preserve"> </w:t>
            </w:r>
            <w:r>
              <w:t xml:space="preserve">and the TASCO core address</w:t>
            </w:r>
          </w:p>
        </w:tc>
      </w:tr>
      <w:tr>
        <w:trPr>
          <w:cantSplit/>
        </w:trPr>
        <w:tc>
          <w:tcPr>
            <w:tcW w:w="2954" w:type="dxa"/>
            <w:vAlign w:val="top"/>
          </w:tcPr>
          <w:p>
            <w:pPr>
              <w:pStyle w:val="TableText"/>
              <w:jc w:val="left"/>
            </w:pPr>
            <w:r>
              <w:rPr>
                <w:rStyle w:val="CodeChar"/>
              </w:rPr>
              <w:t xml:space="preserve">15-external-secret.yaml</w:t>
            </w:r>
          </w:p>
        </w:tc>
        <w:tc>
          <w:tcPr>
            <w:tcW w:w="6073" w:type="dxa"/>
            <w:vAlign w:val="top"/>
          </w:tcPr>
          <w:p>
            <w:pPr>
              <w:pStyle w:val="TableText"/>
              <w:jc w:val="left"/>
            </w:pPr>
            <w:r>
              <w:t xml:space="preserve">Synchronisation of secrets from the secret store</w:t>
            </w:r>
          </w:p>
        </w:tc>
      </w:tr>
      <w:tr>
        <w:trPr>
          <w:cantSplit/>
        </w:trPr>
        <w:tc>
          <w:tcPr>
            <w:tcW w:w="2954" w:type="dxa"/>
            <w:shd w:val="clear" w:color="auto" w:fill="F4F7FB"/>
            <w:vAlign w:val="top"/>
          </w:tcPr>
          <w:p>
            <w:pPr>
              <w:pStyle w:val="TableText"/>
              <w:jc w:val="left"/>
            </w:pPr>
            <w:r>
              <w:rPr>
                <w:rStyle w:val="CodeChar"/>
              </w:rPr>
              <w:t xml:space="preserve">20-deployment.yaml</w:t>
            </w:r>
          </w:p>
        </w:tc>
        <w:tc>
          <w:tcPr>
            <w:tcW w:w="6073" w:type="dxa"/>
            <w:shd w:val="clear" w:color="auto" w:fill="F4F7FB"/>
            <w:vAlign w:val="top"/>
          </w:tcPr>
          <w:p>
            <w:pPr>
              <w:pStyle w:val="TableText"/>
              <w:jc w:val="left"/>
            </w:pPr>
            <w:r>
              <w:t xml:space="preserve">API deployment, probes, resources, security context, zone spread</w:t>
            </w:r>
          </w:p>
        </w:tc>
      </w:tr>
      <w:tr>
        <w:trPr>
          <w:cantSplit/>
        </w:trPr>
        <w:tc>
          <w:tcPr>
            <w:tcW w:w="2954" w:type="dxa"/>
            <w:vAlign w:val="top"/>
          </w:tcPr>
          <w:p>
            <w:pPr>
              <w:pStyle w:val="TableText"/>
              <w:jc w:val="left"/>
            </w:pPr>
            <w:r>
              <w:rPr>
                <w:rStyle w:val="CodeChar"/>
              </w:rPr>
              <w:t xml:space="preserve">30-service-ingress.yaml</w:t>
            </w:r>
          </w:p>
        </w:tc>
        <w:tc>
          <w:tcPr>
            <w:tcW w:w="6073" w:type="dxa"/>
            <w:vAlign w:val="top"/>
          </w:tcPr>
          <w:p>
            <w:pPr>
              <w:pStyle w:val="TableText"/>
              <w:jc w:val="left"/>
            </w:pPr>
            <w:r>
              <w:t xml:space="preserve">Service and ingress with TLS, WAF rules, body limit and edge rate limit</w:t>
            </w:r>
          </w:p>
        </w:tc>
      </w:tr>
      <w:tr>
        <w:trPr>
          <w:cantSplit/>
        </w:trPr>
        <w:tc>
          <w:tcPr>
            <w:tcW w:w="2954" w:type="dxa"/>
            <w:shd w:val="clear" w:color="auto" w:fill="F4F7FB"/>
            <w:vAlign w:val="top"/>
          </w:tcPr>
          <w:p>
            <w:pPr>
              <w:pStyle w:val="TableText"/>
              <w:jc w:val="left"/>
            </w:pPr>
            <w:r>
              <w:rPr>
                <w:rStyle w:val="CodeChar"/>
              </w:rPr>
              <w:t xml:space="preserve">40-hpa-pdb.yaml</w:t>
            </w:r>
          </w:p>
        </w:tc>
        <w:tc>
          <w:tcPr>
            <w:tcW w:w="6073" w:type="dxa"/>
            <w:shd w:val="clear" w:color="auto" w:fill="F4F7FB"/>
            <w:vAlign w:val="top"/>
          </w:tcPr>
          <w:p>
            <w:pPr>
              <w:pStyle w:val="TableText"/>
              <w:jc w:val="left"/>
            </w:pPr>
            <w:r>
              <w:t xml:space="preserve">Autoscaler (3 to 20) and disruption budget (at least 2)</w:t>
            </w:r>
          </w:p>
        </w:tc>
      </w:tr>
      <w:tr>
        <w:trPr>
          <w:cantSplit/>
        </w:trPr>
        <w:tc>
          <w:tcPr>
            <w:tcW w:w="2954" w:type="dxa"/>
            <w:vAlign w:val="top"/>
          </w:tcPr>
          <w:p>
            <w:pPr>
              <w:pStyle w:val="TableText"/>
              <w:jc w:val="left"/>
            </w:pPr>
            <w:r>
              <w:rPr>
                <w:rStyle w:val="CodeChar"/>
              </w:rPr>
              <w:t xml:space="preserve">50-networkpolicy.yaml</w:t>
            </w:r>
          </w:p>
        </w:tc>
        <w:tc>
          <w:tcPr>
            <w:tcW w:w="6073" w:type="dxa"/>
            <w:vAlign w:val="top"/>
          </w:tcPr>
          <w:p>
            <w:pPr>
              <w:pStyle w:val="TableText"/>
              <w:jc w:val="left"/>
            </w:pPr>
            <w:r>
              <w:t xml:space="preserve">Default deny and allow-lists</w:t>
            </w:r>
          </w:p>
        </w:tc>
      </w:tr>
      <w:tr>
        <w:trPr>
          <w:cantSplit/>
        </w:trPr>
        <w:tc>
          <w:tcPr>
            <w:tcW w:w="2954" w:type="dxa"/>
            <w:shd w:val="clear" w:color="auto" w:fill="F4F7FB"/>
            <w:vAlign w:val="top"/>
          </w:tcPr>
          <w:p>
            <w:pPr>
              <w:pStyle w:val="TableText"/>
              <w:jc w:val="left"/>
            </w:pPr>
            <w:r>
              <w:rPr>
                <w:rStyle w:val="CodeChar"/>
              </w:rPr>
              <w:t xml:space="preserve">60-jobs.yaml</w:t>
            </w:r>
          </w:p>
        </w:tc>
        <w:tc>
          <w:tcPr>
            <w:tcW w:w="6073" w:type="dxa"/>
            <w:shd w:val="clear" w:color="auto" w:fill="F4F7FB"/>
            <w:vAlign w:val="top"/>
          </w:tcPr>
          <w:p>
            <w:pPr>
              <w:pStyle w:val="TableText"/>
              <w:jc w:val="left"/>
            </w:pPr>
            <w:r>
              <w:t xml:space="preserve">Migration job and the six scheduled jobs</w:t>
            </w:r>
          </w:p>
        </w:tc>
      </w:tr>
      <w:tr>
        <w:trPr>
          <w:cantSplit/>
        </w:trPr>
        <w:tc>
          <w:tcPr>
            <w:tcW w:w="2954" w:type="dxa"/>
            <w:vAlign w:val="top"/>
          </w:tcPr>
          <w:p>
            <w:pPr>
              <w:pStyle w:val="TableText"/>
              <w:jc w:val="left"/>
            </w:pPr>
            <w:r>
              <w:rPr>
                <w:rStyle w:val="CodeChar"/>
              </w:rPr>
              <w:t xml:space="preserve">kustomization.yaml</w:t>
            </w:r>
          </w:p>
        </w:tc>
        <w:tc>
          <w:tcPr>
            <w:tcW w:w="6073" w:type="dxa"/>
            <w:vAlign w:val="top"/>
          </w:tcPr>
          <w:p>
            <w:pPr>
              <w:pStyle w:val="TableText"/>
              <w:jc w:val="left"/>
            </w:pPr>
            <w:r>
              <w:t xml:space="preserve">Assembly of the above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36" w:name="_Toc300000032"/>
      <w:r>
        <w:rPr>
          <w:rStyle w:val="BookTitle"/>
          <w:bCs w:val="0"/>
          <w:i w:val="0"/>
          <w:iCs w:val="0"/>
          <w:spacing w:val="0"/>
        </w:rPr>
        <w:t xml:space="preserve">Sign-Off</w:t>
      </w:r>
      <w:bookmarkEnd w:id="3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4608"/>
        <w:gridCol w:w="2475"/>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4608"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475"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4608"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Hosting provider in Vietnam (managed Kubernetes and managed PostgreSQL) or TASCO private cloud</w:t>
            </w:r>
          </w:p>
        </w:tc>
        <w:tc>
          <w:tcPr>
            <w:tcW w:w="2475"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Infrastructure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4608"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Data residency position for production and backups</w:t>
            </w:r>
          </w:p>
        </w:tc>
        <w:tc>
          <w:tcPr>
            <w:tcW w:w="2475"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to be confirmed by 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4608"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Private connectivity to TASCO core and VETC (VPN or private link) and fixed egress addresses</w:t>
            </w:r>
          </w:p>
        </w:tc>
        <w:tc>
          <w:tcPr>
            <w:tcW w:w="2475"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and VETC</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4608"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Secret store and key management service</w:t>
            </w:r>
          </w:p>
        </w:tc>
        <w:tc>
          <w:tcPr>
            <w:tcW w:w="2475"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Information Security</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65"/>
        <w:gridCol w:w="1677"/>
        <w:gridCol w:w="2628"/>
        <w:gridCol w:w="3657"/>
      </w:tblGrid>
      <w:tr w:rsidR="002B183A" w14:paraId="731A77C7" w14:textId="77777777" w:rsidTr="002923F3">
        <w:trPr>
          <w:cantSplit/>
          <w:trHeight w:val="440"/>
          <w:tblHeader/>
        </w:trPr>
        <w:tc>
          <w:tcPr>
            <w:tcW w:w="1065"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677"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628"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657"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6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2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57"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06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2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57"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 Infrastructure</w:t>
            </w:r>
          </w:p>
        </w:tc>
      </w:tr>
      <w:tr w:rsidR="002B183A" w:rsidRPr="00BB346A" w14:paraId="2AD1806B" w14:textId="77777777" w:rsidTr="002923F3">
        <w:trPr>
          <w:cantSplit/>
          <w:trHeight w:val="760"/>
        </w:trPr>
        <w:tc>
          <w:tcPr>
            <w:tcW w:w="106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2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657"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Solution Architecture</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11120475" cy="885012"/>
          <wp:effectExtent l="0" t="0" r="4445" b="0"/>
          <wp:wrapNone/>
          <wp:docPr id="499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20475"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FooterLandscape" Type="http://schemas.openxmlformats.org/officeDocument/2006/relationships/footer" Target="footer3.xml"/><Relationship Id="rIdG1" Type="http://schemas.openxmlformats.org/officeDocument/2006/relationships/image" Target="media/body_001.png"/><Relationship Id="rIdG2" Type="http://schemas.openxmlformats.org/officeDocument/2006/relationships/image" Target="media/body_002.png"/><Relationship Id="rIdG3" Type="http://schemas.openxmlformats.org/officeDocument/2006/relationships/image" Target="media/body_003.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footer_band_landscap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and Infrastructure Architecture</dc:title>
  <dc:subject>TGP-ARC-05</dc:subject>
  <dc:creator>iorta TechNXT</dc:creator>
  <cp:keywords>TGP-ARC-05; TASCO Insurance; iorta TechNXT</cp:keywords>
  <dc:description>TASCO Motor Insurance Growth Platform</dc:description>
  <cp:lastModifiedBy>iorta TechNXT</cp:lastModifiedBy>
  <cp:revision>1</cp:revision>
  <dcterms:created xsi:type="dcterms:W3CDTF">2026-10-08T02:23:02Z</dcterms:created>
  <dcterms:modified xsi:type="dcterms:W3CDTF">2026-10-08T02:23:02Z</dcterms:modified>
</cp:coreProperties>
</file>