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D2CD8" w14:textId="0D544CAB" w:rsidR="00DD7430" w:rsidRDefault="004E4690" w:rsidP="3B384731">
      <w:r>
        <w:rPr>
          <w:noProof/>
        </w:rPr>
        <w:drawing>
          <wp:anchor distT="0" distB="0" distL="114300" distR="114300" simplePos="0" relativeHeight="251658241" behindDoc="1" locked="0" layoutInCell="1" allowOverlap="1" wp14:anchorId="7FDD2D24" wp14:editId="42CB1C55">
            <wp:simplePos x="0" y="0"/>
            <wp:positionH relativeFrom="margin">
              <wp:posOffset>-914400</wp:posOffset>
            </wp:positionH>
            <wp:positionV relativeFrom="margin">
              <wp:posOffset>-914426</wp:posOffset>
            </wp:positionV>
            <wp:extent cx="7553960" cy="10685198"/>
            <wp:effectExtent l="0" t="0" r="8890" b="1905"/>
            <wp:wrapNone/>
            <wp:docPr id="2053156881" name="Picture 2">
              <a:extLst xmlns:a="http://schemas.openxmlformats.org/drawingml/2006/main">
                <a:ext uri="{FF2B5EF4-FFF2-40B4-BE49-F238E27FC236}">
                  <a16:creationId xmlns:a16="http://schemas.microsoft.com/office/drawing/2014/main" id="{C3E1FE75-9233-4911-9AF8-8DA8FB5453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56881"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3960" cy="10685198"/>
                    </a:xfrm>
                    <a:prstGeom prst="rect">
                      <a:avLst/>
                    </a:prstGeom>
                  </pic:spPr>
                </pic:pic>
              </a:graphicData>
            </a:graphic>
            <wp14:sizeRelH relativeFrom="margin">
              <wp14:pctWidth>0</wp14:pctWidth>
            </wp14:sizeRelH>
            <wp14:sizeRelV relativeFrom="margin">
              <wp14:pctHeight>0</wp14:pctHeight>
            </wp14:sizeRelV>
          </wp:anchor>
        </w:drawing>
      </w:r>
      <w:r w:rsidR="004647A1">
        <w:rPr>
          <w:noProof/>
        </w:rPr>
        <w:drawing>
          <wp:anchor distT="0" distB="0" distL="114300" distR="114300" simplePos="0" relativeHeight="251658247" behindDoc="1" locked="0" layoutInCell="1" allowOverlap="1" wp14:anchorId="68FBBCEA" wp14:editId="760DF883">
            <wp:simplePos x="0" y="0"/>
            <wp:positionH relativeFrom="margin">
              <wp:align>center</wp:align>
            </wp:positionH>
            <wp:positionV relativeFrom="margin">
              <wp:posOffset>244432</wp:posOffset>
            </wp:positionV>
            <wp:extent cx="2000250" cy="568367"/>
            <wp:effectExtent l="0" t="0" r="0" b="3175"/>
            <wp:wrapNone/>
            <wp:docPr id="940639279" name="Picture 4">
              <a:extLst xmlns:a="http://schemas.openxmlformats.org/drawingml/2006/main">
                <a:ext uri="{FF2B5EF4-FFF2-40B4-BE49-F238E27FC236}">
                  <a16:creationId xmlns:a16="http://schemas.microsoft.com/office/drawing/2014/main" id="{E3627AEF-EF2A-408D-AEDD-9163B590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39279" name="Picture 9406392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00250" cy="568367"/>
                    </a:xfrm>
                    <a:prstGeom prst="rect">
                      <a:avLst/>
                    </a:prstGeom>
                  </pic:spPr>
                </pic:pic>
              </a:graphicData>
            </a:graphic>
            <wp14:sizeRelH relativeFrom="margin">
              <wp14:pctWidth>0</wp14:pctWidth>
            </wp14:sizeRelH>
            <wp14:sizeRelV relativeFrom="margin">
              <wp14:pctHeight>0</wp14:pctHeight>
            </wp14:sizeRelV>
          </wp:anchor>
        </w:drawing>
      </w:r>
    </w:p>
    <w:p w14:paraId="4EBFD2E5" w14:textId="7C6911E0" w:rsidR="00DD7430" w:rsidRDefault="003F0D95">
      <w:r w:rsidRPr="004A1359">
        <w:rPr>
          <w:noProof/>
          <w:color w:val="1D74BA"/>
        </w:rPr>
        <mc:AlternateContent>
          <mc:Choice Requires="wps">
            <w:drawing>
              <wp:anchor distT="45720" distB="45720" distL="114300" distR="114300" simplePos="0" relativeHeight="251658246" behindDoc="0" locked="0" layoutInCell="1" allowOverlap="1" wp14:anchorId="204C02CC" wp14:editId="65DFA600">
                <wp:simplePos x="0" y="0"/>
                <wp:positionH relativeFrom="margin">
                  <wp:align>center</wp:align>
                </wp:positionH>
                <wp:positionV relativeFrom="paragraph">
                  <wp:posOffset>2347965</wp:posOffset>
                </wp:positionV>
                <wp:extent cx="5760000" cy="337820"/>
                <wp:effectExtent l="0" t="0" r="0" b="5080"/>
                <wp:wrapSquare wrapText="bothSides"/>
                <wp:docPr id="1294513242" name="Text Box 2">
                  <a:extLst xmlns:a="http://schemas.openxmlformats.org/drawingml/2006/main">
                    <a:ext uri="{FF2B5EF4-FFF2-40B4-BE49-F238E27FC236}">
                      <a16:creationId xmlns:a16="http://schemas.microsoft.com/office/drawing/2014/main" id="{7523173A-31B4-4C1A-9AA6-993E5CA1A44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337820"/>
                        </a:xfrm>
                        <a:prstGeom prst="rect">
                          <a:avLst/>
                        </a:prstGeom>
                        <a:noFill/>
                        <a:ln w="9525">
                          <a:noFill/>
                          <a:miter lim="800000"/>
                          <a:headEnd/>
                          <a:tailEnd/>
                        </a:ln>
                      </wps:spPr>
                      <wps:txbx>
                        <w:txbxContent>
                          <w:p w14:paraId="54FA1EBF" w14:textId="6A6CA9D8" w:rsidR="00913938" w:rsidRPr="00851AA2" w:rsidRDefault="002D24EB" w:rsidP="00913938">
                            <w:pPr>
                              <w:jc w:val="center"/>
                              <w:rPr>
                                <w:b/>
                                <w:bCs/>
                                <w:color w:val="071B2C"/>
                                <w:sz w:val="28"/>
                                <w:szCs w:val="28"/>
                              </w:rPr>
                            </w:pPr>
                            <w:r>
                              <w:rPr>
                                <w:b/>
                                <w:bCs/>
                                <w:color w:val="071B2C"/>
                                <w:sz w:val="28"/>
                                <w:szCs w:val="28"/>
                              </w:rPr>
                              <w:t xml:space="preserve">TASCO Motor Insurance Growth Platform · TGP-BUS-01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Pr="004A1359">
        <w:rPr>
          <w:noProof/>
          <w:color w:val="1D74BA"/>
        </w:rPr>
        <mc:AlternateContent>
          <mc:Choice Requires="wps">
            <w:drawing>
              <wp:anchor distT="45720" distB="45720" distL="114300" distR="114300" simplePos="0" relativeHeight="251658245" behindDoc="0" locked="0" layoutInCell="1" allowOverlap="1" wp14:anchorId="01DE2BF4" wp14:editId="07BA52AE">
                <wp:simplePos x="0" y="0"/>
                <wp:positionH relativeFrom="margin">
                  <wp:align>center</wp:align>
                </wp:positionH>
                <wp:positionV relativeFrom="paragraph">
                  <wp:posOffset>1291590</wp:posOffset>
                </wp:positionV>
                <wp:extent cx="5760000" cy="829056"/>
                <wp:effectExtent l="0" t="0" r="0" b="0"/>
                <wp:wrapSquare wrapText="bothSides"/>
                <wp:docPr id="578771272" name="Text Box 2">
                  <a:extLst xmlns:a="http://schemas.openxmlformats.org/drawingml/2006/main">
                    <a:ext uri="{FF2B5EF4-FFF2-40B4-BE49-F238E27FC236}">
                      <a16:creationId xmlns:a16="http://schemas.microsoft.com/office/drawing/2014/main" id="{667603B8-5035-4623-849E-672EC358E0B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829056"/>
                        </a:xfrm>
                        <a:prstGeom prst="rect">
                          <a:avLst/>
                        </a:prstGeom>
                        <a:noFill/>
                        <a:ln w="9525">
                          <a:noFill/>
                          <a:miter lim="800000"/>
                          <a:headEnd/>
                          <a:tailEnd/>
                        </a:ln>
                      </wps:spPr>
                      <wps:txbx>
                        <w:txbxContent>
                          <w:p w14:paraId="539063F1" w14:textId="4B04DDEF" w:rsidR="003F0D95" w:rsidRPr="00E75E19" w:rsidRDefault="003F0D95" w:rsidP="003F0D95">
                            <w:pPr>
                              <w:jc w:val="center"/>
                              <w:rPr>
                                <w:b/>
                                <w:bCs/>
                                <w:color w:val="1D74BA"/>
                                <w:sz w:val="44"/>
                                <w:szCs w:val="44"/>
                                <w:lang w:val="en-MY"/>
                              </w:rPr>
                            </w:pPr>
                            <w:r>
                              <w:rPr>
                                <w:b/>
                                <w:bCs/>
                                <w:color w:val="1D74BA"/>
                                <w:sz w:val="44"/>
                                <w:szCs w:val="44"/>
                                <w:lang w:val="en-MY"/>
                              </w:rPr>
                              <w:t xml:space="preserve">Business Context and Growth Strategy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4" behindDoc="0" locked="0" layoutInCell="1" allowOverlap="1" wp14:anchorId="1BF25123" wp14:editId="646212E8">
                <wp:simplePos x="0" y="0"/>
                <wp:positionH relativeFrom="page">
                  <wp:posOffset>4791400</wp:posOffset>
                </wp:positionH>
                <wp:positionV relativeFrom="paragraph">
                  <wp:posOffset>4124960</wp:posOffset>
                </wp:positionV>
                <wp:extent cx="2600000" cy="266700"/>
                <wp:effectExtent l="0" t="0" r="0" b="0"/>
                <wp:wrapSquare wrapText="bothSides"/>
                <wp:docPr id="2121288187" name="Text Box 2">
                  <a:extLst xmlns:a="http://schemas.openxmlformats.org/drawingml/2006/main">
                    <a:ext uri="{FF2B5EF4-FFF2-40B4-BE49-F238E27FC236}">
                      <a16:creationId xmlns:a16="http://schemas.microsoft.com/office/drawing/2014/main" id="{37CA37AE-CBDC-4F83-9202-1C48F3B8FDC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0000" cy="266700"/>
                        </a:xfrm>
                        <a:prstGeom prst="rect">
                          <a:avLst/>
                        </a:prstGeom>
                        <a:noFill/>
                        <a:ln w="9525">
                          <a:noFill/>
                          <a:miter lim="800000"/>
                          <a:headEnd/>
                          <a:tailEnd/>
                        </a:ln>
                      </wps:spPr>
                      <wps:txbx>
                        <w:txbxContent>
                          <w:p w14:paraId="3064779C" w14:textId="169D6E01" w:rsidR="003C3BF4" w:rsidRPr="002F15FD" w:rsidRDefault="0064254C" w:rsidP="003C3BF4">
                            <w:pPr>
                              <w:jc w:val="right"/>
                              <w:rPr>
                                <w:b/>
                                <w:bCs/>
                                <w:color w:val="1D74BA"/>
                              </w:rPr>
                            </w:pPr>
                            <w:r>
                              <w:rPr>
                                <w:color w:val="1D74BA"/>
                              </w:rPr>
                              <w:t xml:space="preserve">Date – </w:t>
                            </w:r>
                            <w:r>
                              <w:rPr>
                                <w:b/>
                                <w:bCs/>
                                <w:color w:val="1D74BA"/>
                              </w:rPr>
                              <w:t xml:space="preserve">07 October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3" behindDoc="0" locked="0" layoutInCell="1" allowOverlap="1" wp14:anchorId="58C23128" wp14:editId="498091B1">
                <wp:simplePos x="0" y="0"/>
                <wp:positionH relativeFrom="page">
                  <wp:posOffset>2930472</wp:posOffset>
                </wp:positionH>
                <wp:positionV relativeFrom="paragraph">
                  <wp:posOffset>4124960</wp:posOffset>
                </wp:positionV>
                <wp:extent cx="1700000" cy="266700"/>
                <wp:effectExtent l="0" t="0" r="0" b="0"/>
                <wp:wrapSquare wrapText="bothSides"/>
                <wp:docPr id="728187958" name="Text Box 2">
                  <a:extLst xmlns:a="http://schemas.openxmlformats.org/drawingml/2006/main">
                    <a:ext uri="{FF2B5EF4-FFF2-40B4-BE49-F238E27FC236}">
                      <a16:creationId xmlns:a16="http://schemas.microsoft.com/office/drawing/2014/main" id="{F924D743-A85E-4208-9BF2-3E490CC7E55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0000" cy="266700"/>
                        </a:xfrm>
                        <a:prstGeom prst="rect">
                          <a:avLst/>
                        </a:prstGeom>
                        <a:noFill/>
                        <a:ln w="9525">
                          <a:noFill/>
                          <a:miter lim="800000"/>
                          <a:headEnd/>
                          <a:tailEnd/>
                        </a:ln>
                      </wps:spPr>
                      <wps:txbx>
                        <w:txbxContent>
                          <w:p w14:paraId="1A3BCAB9" w14:textId="1233059B" w:rsidR="003C3BF4" w:rsidRPr="002F15FD" w:rsidRDefault="003C3BF4" w:rsidP="003C3BF4">
                            <w:pPr>
                              <w:jc w:val="center"/>
                              <w:rPr>
                                <w:b/>
                                <w:bCs/>
                                <w:color w:val="1D74BA"/>
                              </w:rPr>
                            </w:pPr>
                            <w:r>
                              <w:rPr>
                                <w:color w:val="1D74BA"/>
                              </w:rPr>
                              <w:t xml:space="preserve">Version – </w:t>
                            </w:r>
                            <w:r>
                              <w:rPr>
                                <w:b/>
                                <w:bCs/>
                                <w:color w:val="1D74BA"/>
                              </w:rPr>
                              <w:t xml:space="preserve">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EC0DBF" w:rsidRPr="004A1359">
        <w:rPr>
          <w:noProof/>
          <w:color w:val="1D74BA"/>
        </w:rPr>
        <mc:AlternateContent>
          <mc:Choice Requires="wps">
            <w:drawing>
              <wp:anchor distT="45720" distB="45720" distL="114300" distR="114300" simplePos="0" relativeHeight="251658242" behindDoc="0" locked="0" layoutInCell="1" allowOverlap="1" wp14:anchorId="3D43415C" wp14:editId="2B893344">
                <wp:simplePos x="0" y="0"/>
                <wp:positionH relativeFrom="page">
                  <wp:posOffset>194310</wp:posOffset>
                </wp:positionH>
                <wp:positionV relativeFrom="paragraph">
                  <wp:posOffset>4124960</wp:posOffset>
                </wp:positionV>
                <wp:extent cx="3000000" cy="266700"/>
                <wp:effectExtent l="0" t="0" r="0" b="0"/>
                <wp:wrapSquare wrapText="bothSides"/>
                <wp:docPr id="5001" name="Text Box 2">
                  <a:extLst xmlns:a="http://schemas.openxmlformats.org/drawingml/2006/main">
                    <a:ext uri="{FF2B5EF4-FFF2-40B4-BE49-F238E27FC236}">
                      <a16:creationId xmlns:a16="http://schemas.microsoft.com/office/drawing/2014/main" id="{214E5FFD-7012-4F5C-89A4-E2F28B264C9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0000" cy="266700"/>
                        </a:xfrm>
                        <a:prstGeom prst="rect">
                          <a:avLst/>
                        </a:prstGeom>
                        <a:noFill/>
                        <a:ln w="9525">
                          <a:noFill/>
                          <a:miter lim="800000"/>
                          <a:headEnd/>
                          <a:tailEnd/>
                        </a:ln>
                      </wps:spPr>
                      <wps:txbx>
                        <w:txbxContent>
                          <w:p w14:paraId="5ABF8422" w14:textId="69B19D89" w:rsidR="00EC0DBF" w:rsidRPr="002F15FD" w:rsidRDefault="00EC0DBF" w:rsidP="00EC0DBF">
                            <w:pPr>
                              <w:rPr>
                                <w:b/>
                                <w:bCs/>
                                <w:color w:val="1D74BA"/>
                              </w:rPr>
                            </w:pPr>
                            <w:r>
                              <w:rPr>
                                <w:color w:val="1D74BA"/>
                              </w:rPr>
                              <w:t xml:space="preserve">Prepared by – </w:t>
                            </w:r>
                            <w:r>
                              <w:rPr>
                                <w:b/>
                                <w:bCs/>
                                <w:color w:val="1D74BA"/>
                              </w:rPr>
                              <w:t xml:space="preserve">iorta TechNXT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DD7430">
        <w:br w:type="page"/>
      </w:r>
    </w:p>
    <w:p w14:paraId="11016166" w14:textId="77777777" w:rsidR="002B183A" w:rsidRPr="00F52543" w:rsidRDefault="002B183A" w:rsidP="002B183A">
      <w:pPr>
        <w:pStyle w:val="TOCHeading"/>
        <w:tabs>
          <w:tab w:val="left" w:pos="1991"/>
          <w:tab w:val="center" w:pos="4725"/>
          <w:tab w:val="right" w:pos="9450"/>
        </w:tabs>
        <w:rPr>
          <w:rFonts w:ascii="Segoe UI" w:hAnsi="Segoe UI" w:cs="Segoe UI"/>
          <w:b/>
          <w:color w:val="003399"/>
        </w:rPr>
      </w:pPr>
      <w:r w:rsidRPr="00F52543">
        <w:rPr>
          <w:rFonts w:ascii="Segoe UI" w:eastAsia="Arial" w:hAnsi="Segoe UI" w:cs="Segoe UI"/>
          <w:b/>
          <w:color w:val="003399"/>
        </w:rPr>
        <w:lastRenderedPageBreak/>
        <w:t>TABLE OF CONTENTS</w:t>
      </w:r>
    </w:p>
    <w:p>
      <w:pPr>
        <w:pStyle w:val="TOC1"/>
      </w:pPr>
      <w:r>
        <w:rPr>
          <w:noProof/>
        </w:rPr>
        <w:fldChar w:fldCharType="begin"/>
      </w:r>
      <w:r>
        <w:rPr>
          <w:noProof/>
        </w:rPr>
        <w:instrText xml:space="preserve"> TOC \o "1-3" \h \z \u </w:instrText>
      </w:r>
      <w:r>
        <w:rPr>
          <w:noProof/>
        </w:rPr>
        <w:fldChar w:fldCharType="separate"/>
      </w:r>
      <w:hyperlink w:anchor="_Toc300000001" w:history="1">
        <w:r>
          <w:rPr>
            <w:noProof/>
          </w:rPr>
          <w:t>1.</w:t>
        </w:r>
        <w:r>
          <w:rPr>
            <w:noProof/>
          </w:rPr>
          <w:tab/>
        </w:r>
        <w:r>
          <w:rPr>
            <w:noProof/>
          </w:rPr>
          <w:t xml:space="preserve">Document Control</w:t>
        </w:r>
        <w:r>
          <w:rPr>
            <w:noProof/>
            <w:webHidden/>
          </w:rPr>
          <w:tab/>
        </w:r>
        <w:r>
          <w:rPr>
            <w:noProof/>
            <w:webHidden/>
          </w:rPr>
          <w:fldChar w:fldCharType="begin"/>
        </w:r>
        <w:r>
          <w:rPr>
            <w:noProof/>
            <w:webHidden/>
          </w:rPr>
          <w:instrText xml:space="preserve"> PAGEREF _Toc300000001 \h </w:instrText>
        </w:r>
        <w:r>
          <w:rPr>
            <w:noProof/>
            <w:webHidden/>
          </w:rPr>
          <w:fldChar w:fldCharType="separate"/>
        </w:r>
        <w:r>
          <w:rPr>
            <w:noProof/>
            <w:webHidden/>
          </w:rPr>
          <w:t>4</w:t>
        </w:r>
        <w:r>
          <w:rPr>
            <w:noProof/>
            <w:webHidden/>
          </w:rPr>
          <w:fldChar w:fldCharType="end"/>
        </w:r>
      </w:hyperlink>
    </w:p>
    <w:p>
      <w:pPr>
        <w:pStyle w:val="TOC1"/>
      </w:pPr>
      <w:hyperlink w:anchor="_Toc300000002" w:history="1">
        <w:r>
          <w:rPr>
            <w:noProof/>
          </w:rPr>
          <w:t>2.</w:t>
        </w:r>
        <w:r>
          <w:rPr>
            <w:noProof/>
          </w:rPr>
          <w:tab/>
        </w:r>
        <w:r>
          <w:rPr>
            <w:noProof/>
          </w:rPr>
          <w:t xml:space="preserve">Acronyms</w:t>
        </w:r>
        <w:r>
          <w:rPr>
            <w:noProof/>
            <w:webHidden/>
          </w:rPr>
          <w:tab/>
        </w:r>
        <w:r>
          <w:rPr>
            <w:noProof/>
            <w:webHidden/>
          </w:rPr>
          <w:fldChar w:fldCharType="begin"/>
        </w:r>
        <w:r>
          <w:rPr>
            <w:noProof/>
            <w:webHidden/>
          </w:rPr>
          <w:instrText xml:space="preserve"> PAGEREF _Toc300000002 \h </w:instrText>
        </w:r>
        <w:r>
          <w:rPr>
            <w:noProof/>
            <w:webHidden/>
          </w:rPr>
          <w:fldChar w:fldCharType="separate"/>
        </w:r>
        <w:r>
          <w:rPr>
            <w:noProof/>
            <w:webHidden/>
          </w:rPr>
          <w:t>4</w:t>
        </w:r>
        <w:r>
          <w:rPr>
            <w:noProof/>
            <w:webHidden/>
          </w:rPr>
          <w:fldChar w:fldCharType="end"/>
        </w:r>
      </w:hyperlink>
    </w:p>
    <w:p>
      <w:pPr>
        <w:pStyle w:val="TOC1"/>
      </w:pPr>
      <w:hyperlink w:anchor="_Toc300000003" w:history="1">
        <w:r>
          <w:rPr>
            <w:noProof/>
          </w:rPr>
          <w:t>3.</w:t>
        </w:r>
        <w:r>
          <w:rPr>
            <w:noProof/>
          </w:rPr>
          <w:tab/>
        </w:r>
        <w:r>
          <w:rPr>
            <w:noProof/>
          </w:rPr>
          <w:t xml:space="preserve">Introduction</w:t>
        </w:r>
        <w:r>
          <w:rPr>
            <w:noProof/>
            <w:webHidden/>
          </w:rPr>
          <w:tab/>
        </w:r>
        <w:r>
          <w:rPr>
            <w:noProof/>
            <w:webHidden/>
          </w:rPr>
          <w:fldChar w:fldCharType="begin"/>
        </w:r>
        <w:r>
          <w:rPr>
            <w:noProof/>
            <w:webHidden/>
          </w:rPr>
          <w:instrText xml:space="preserve"> PAGEREF _Toc300000003 \h </w:instrText>
        </w:r>
        <w:r>
          <w:rPr>
            <w:noProof/>
            <w:webHidden/>
          </w:rPr>
          <w:fldChar w:fldCharType="separate"/>
        </w:r>
        <w:r>
          <w:rPr>
            <w:noProof/>
            <w:webHidden/>
          </w:rPr>
          <w:t>5</w:t>
        </w:r>
        <w:r>
          <w:rPr>
            <w:noProof/>
            <w:webHidden/>
          </w:rPr>
          <w:fldChar w:fldCharType="end"/>
        </w:r>
      </w:hyperlink>
    </w:p>
    <w:p>
      <w:pPr>
        <w:pStyle w:val="TOC2"/>
      </w:pPr>
      <w:hyperlink w:anchor="_Toc300000004" w:history="1">
        <w:r>
          <w:rPr>
            <w:noProof/>
          </w:rPr>
          <w:t>3.1.</w:t>
        </w:r>
        <w:r>
          <w:rPr>
            <w:noProof/>
          </w:rPr>
          <w:tab/>
        </w:r>
        <w:r>
          <w:rPr>
            <w:noProof/>
          </w:rPr>
          <w:t xml:space="preserve">Purpose</w:t>
        </w:r>
        <w:r>
          <w:rPr>
            <w:noProof/>
            <w:webHidden/>
          </w:rPr>
          <w:tab/>
        </w:r>
        <w:r>
          <w:rPr>
            <w:noProof/>
            <w:webHidden/>
          </w:rPr>
          <w:fldChar w:fldCharType="begin"/>
        </w:r>
        <w:r>
          <w:rPr>
            <w:noProof/>
            <w:webHidden/>
          </w:rPr>
          <w:instrText xml:space="preserve"> PAGEREF _Toc300000004 \h </w:instrText>
        </w:r>
        <w:r>
          <w:rPr>
            <w:noProof/>
            <w:webHidden/>
          </w:rPr>
          <w:fldChar w:fldCharType="separate"/>
        </w:r>
        <w:r>
          <w:rPr>
            <w:noProof/>
            <w:webHidden/>
          </w:rPr>
          <w:t>5</w:t>
        </w:r>
        <w:r>
          <w:rPr>
            <w:noProof/>
            <w:webHidden/>
          </w:rPr>
          <w:fldChar w:fldCharType="end"/>
        </w:r>
      </w:hyperlink>
    </w:p>
    <w:p>
      <w:pPr>
        <w:pStyle w:val="TOC2"/>
      </w:pPr>
      <w:hyperlink w:anchor="_Toc300000005" w:history="1">
        <w:r>
          <w:rPr>
            <w:noProof/>
          </w:rPr>
          <w:t>3.2.</w:t>
        </w:r>
        <w:r>
          <w:rPr>
            <w:noProof/>
          </w:rPr>
          <w:tab/>
        </w:r>
        <w:r>
          <w:rPr>
            <w:noProof/>
          </w:rPr>
          <w:t xml:space="preserve">Scope</w:t>
        </w:r>
        <w:r>
          <w:rPr>
            <w:noProof/>
            <w:webHidden/>
          </w:rPr>
          <w:tab/>
        </w:r>
        <w:r>
          <w:rPr>
            <w:noProof/>
            <w:webHidden/>
          </w:rPr>
          <w:fldChar w:fldCharType="begin"/>
        </w:r>
        <w:r>
          <w:rPr>
            <w:noProof/>
            <w:webHidden/>
          </w:rPr>
          <w:instrText xml:space="preserve"> PAGEREF _Toc300000005 \h </w:instrText>
        </w:r>
        <w:r>
          <w:rPr>
            <w:noProof/>
            <w:webHidden/>
          </w:rPr>
          <w:fldChar w:fldCharType="separate"/>
        </w:r>
        <w:r>
          <w:rPr>
            <w:noProof/>
            <w:webHidden/>
          </w:rPr>
          <w:t>5</w:t>
        </w:r>
        <w:r>
          <w:rPr>
            <w:noProof/>
            <w:webHidden/>
          </w:rPr>
          <w:fldChar w:fldCharType="end"/>
        </w:r>
      </w:hyperlink>
    </w:p>
    <w:p>
      <w:pPr>
        <w:pStyle w:val="TOC2"/>
      </w:pPr>
      <w:hyperlink w:anchor="_Toc300000006" w:history="1">
        <w:r>
          <w:rPr>
            <w:noProof/>
          </w:rPr>
          <w:t>3.3.</w:t>
        </w:r>
        <w:r>
          <w:rPr>
            <w:noProof/>
          </w:rPr>
          <w:tab/>
        </w:r>
        <w:r>
          <w:rPr>
            <w:noProof/>
          </w:rPr>
          <w:t xml:space="preserve">Audience</w:t>
        </w:r>
        <w:r>
          <w:rPr>
            <w:noProof/>
            <w:webHidden/>
          </w:rPr>
          <w:tab/>
        </w:r>
        <w:r>
          <w:rPr>
            <w:noProof/>
            <w:webHidden/>
          </w:rPr>
          <w:fldChar w:fldCharType="begin"/>
        </w:r>
        <w:r>
          <w:rPr>
            <w:noProof/>
            <w:webHidden/>
          </w:rPr>
          <w:instrText xml:space="preserve"> PAGEREF _Toc300000006 \h </w:instrText>
        </w:r>
        <w:r>
          <w:rPr>
            <w:noProof/>
            <w:webHidden/>
          </w:rPr>
          <w:fldChar w:fldCharType="separate"/>
        </w:r>
        <w:r>
          <w:rPr>
            <w:noProof/>
            <w:webHidden/>
          </w:rPr>
          <w:t>5</w:t>
        </w:r>
        <w:r>
          <w:rPr>
            <w:noProof/>
            <w:webHidden/>
          </w:rPr>
          <w:fldChar w:fldCharType="end"/>
        </w:r>
      </w:hyperlink>
    </w:p>
    <w:p>
      <w:pPr>
        <w:pStyle w:val="TOC2"/>
      </w:pPr>
      <w:hyperlink w:anchor="_Toc300000007" w:history="1">
        <w:r>
          <w:rPr>
            <w:noProof/>
          </w:rPr>
          <w:t>3.4.</w:t>
        </w:r>
        <w:r>
          <w:rPr>
            <w:noProof/>
          </w:rPr>
          <w:tab/>
        </w:r>
        <w:r>
          <w:rPr>
            <w:noProof/>
          </w:rPr>
          <w:t xml:space="preserve">Related documents</w:t>
        </w:r>
        <w:r>
          <w:rPr>
            <w:noProof/>
            <w:webHidden/>
          </w:rPr>
          <w:tab/>
        </w:r>
        <w:r>
          <w:rPr>
            <w:noProof/>
            <w:webHidden/>
          </w:rPr>
          <w:fldChar w:fldCharType="begin"/>
        </w:r>
        <w:r>
          <w:rPr>
            <w:noProof/>
            <w:webHidden/>
          </w:rPr>
          <w:instrText xml:space="preserve"> PAGEREF _Toc300000007 \h </w:instrText>
        </w:r>
        <w:r>
          <w:rPr>
            <w:noProof/>
            <w:webHidden/>
          </w:rPr>
          <w:fldChar w:fldCharType="separate"/>
        </w:r>
        <w:r>
          <w:rPr>
            <w:noProof/>
            <w:webHidden/>
          </w:rPr>
          <w:t>5</w:t>
        </w:r>
        <w:r>
          <w:rPr>
            <w:noProof/>
            <w:webHidden/>
          </w:rPr>
          <w:fldChar w:fldCharType="end"/>
        </w:r>
      </w:hyperlink>
    </w:p>
    <w:p>
      <w:pPr>
        <w:pStyle w:val="TOC1"/>
      </w:pPr>
      <w:hyperlink w:anchor="_Toc300000008" w:history="1">
        <w:r>
          <w:rPr>
            <w:noProof/>
          </w:rPr>
          <w:t>4.</w:t>
        </w:r>
        <w:r>
          <w:rPr>
            <w:noProof/>
          </w:rPr>
          <w:tab/>
        </w:r>
        <w:r>
          <w:rPr>
            <w:noProof/>
          </w:rPr>
          <w:t xml:space="preserve">Executive summary</w:t>
        </w:r>
        <w:r>
          <w:rPr>
            <w:noProof/>
            <w:webHidden/>
          </w:rPr>
          <w:tab/>
        </w:r>
        <w:r>
          <w:rPr>
            <w:noProof/>
            <w:webHidden/>
          </w:rPr>
          <w:fldChar w:fldCharType="begin"/>
        </w:r>
        <w:r>
          <w:rPr>
            <w:noProof/>
            <w:webHidden/>
          </w:rPr>
          <w:instrText xml:space="preserve"> PAGEREF _Toc300000008 \h </w:instrText>
        </w:r>
        <w:r>
          <w:rPr>
            <w:noProof/>
            <w:webHidden/>
          </w:rPr>
          <w:fldChar w:fldCharType="separate"/>
        </w:r>
        <w:r>
          <w:rPr>
            <w:noProof/>
            <w:webHidden/>
          </w:rPr>
          <w:t>5</w:t>
        </w:r>
        <w:r>
          <w:rPr>
            <w:noProof/>
            <w:webHidden/>
          </w:rPr>
          <w:fldChar w:fldCharType="end"/>
        </w:r>
      </w:hyperlink>
    </w:p>
    <w:p>
      <w:pPr>
        <w:pStyle w:val="TOC1"/>
      </w:pPr>
      <w:hyperlink w:anchor="_Toc300000009" w:history="1">
        <w:r>
          <w:rPr>
            <w:noProof/>
          </w:rPr>
          <w:t>5.</w:t>
        </w:r>
        <w:r>
          <w:rPr>
            <w:noProof/>
          </w:rPr>
          <w:tab/>
        </w:r>
        <w:r>
          <w:rPr>
            <w:noProof/>
          </w:rPr>
          <w:t xml:space="preserve">Market and context</w:t>
        </w:r>
        <w:r>
          <w:rPr>
            <w:noProof/>
            <w:webHidden/>
          </w:rPr>
          <w:tab/>
        </w:r>
        <w:r>
          <w:rPr>
            <w:noProof/>
            <w:webHidden/>
          </w:rPr>
          <w:fldChar w:fldCharType="begin"/>
        </w:r>
        <w:r>
          <w:rPr>
            <w:noProof/>
            <w:webHidden/>
          </w:rPr>
          <w:instrText xml:space="preserve"> PAGEREF _Toc300000009 \h </w:instrText>
        </w:r>
        <w:r>
          <w:rPr>
            <w:noProof/>
            <w:webHidden/>
          </w:rPr>
          <w:fldChar w:fldCharType="separate"/>
        </w:r>
        <w:r>
          <w:rPr>
            <w:noProof/>
            <w:webHidden/>
          </w:rPr>
          <w:t>7</w:t>
        </w:r>
        <w:r>
          <w:rPr>
            <w:noProof/>
            <w:webHidden/>
          </w:rPr>
          <w:fldChar w:fldCharType="end"/>
        </w:r>
      </w:hyperlink>
    </w:p>
    <w:p>
      <w:pPr>
        <w:pStyle w:val="TOC2"/>
      </w:pPr>
      <w:hyperlink w:anchor="_Toc300000010" w:history="1">
        <w:r>
          <w:rPr>
            <w:noProof/>
          </w:rPr>
          <w:t>5.1.</w:t>
        </w:r>
        <w:r>
          <w:rPr>
            <w:noProof/>
          </w:rPr>
          <w:tab/>
        </w:r>
        <w:r>
          <w:rPr>
            <w:noProof/>
          </w:rPr>
          <w:t xml:space="preserve">The parties</w:t>
        </w:r>
        <w:r>
          <w:rPr>
            <w:noProof/>
            <w:webHidden/>
          </w:rPr>
          <w:tab/>
        </w:r>
        <w:r>
          <w:rPr>
            <w:noProof/>
            <w:webHidden/>
          </w:rPr>
          <w:fldChar w:fldCharType="begin"/>
        </w:r>
        <w:r>
          <w:rPr>
            <w:noProof/>
            <w:webHidden/>
          </w:rPr>
          <w:instrText xml:space="preserve"> PAGEREF _Toc300000010 \h </w:instrText>
        </w:r>
        <w:r>
          <w:rPr>
            <w:noProof/>
            <w:webHidden/>
          </w:rPr>
          <w:fldChar w:fldCharType="separate"/>
        </w:r>
        <w:r>
          <w:rPr>
            <w:noProof/>
            <w:webHidden/>
          </w:rPr>
          <w:t>7</w:t>
        </w:r>
        <w:r>
          <w:rPr>
            <w:noProof/>
            <w:webHidden/>
          </w:rPr>
          <w:fldChar w:fldCharType="end"/>
        </w:r>
      </w:hyperlink>
    </w:p>
    <w:p>
      <w:pPr>
        <w:pStyle w:val="TOC2"/>
      </w:pPr>
      <w:hyperlink w:anchor="_Toc300000011" w:history="1">
        <w:r>
          <w:rPr>
            <w:noProof/>
          </w:rPr>
          <w:t>5.2.</w:t>
        </w:r>
        <w:r>
          <w:rPr>
            <w:noProof/>
          </w:rPr>
          <w:tab/>
        </w:r>
        <w:r>
          <w:rPr>
            <w:noProof/>
          </w:rPr>
          <w:t xml:space="preserve">Product and regulatory frame</w:t>
        </w:r>
        <w:r>
          <w:rPr>
            <w:noProof/>
            <w:webHidden/>
          </w:rPr>
          <w:tab/>
        </w:r>
        <w:r>
          <w:rPr>
            <w:noProof/>
            <w:webHidden/>
          </w:rPr>
          <w:fldChar w:fldCharType="begin"/>
        </w:r>
        <w:r>
          <w:rPr>
            <w:noProof/>
            <w:webHidden/>
          </w:rPr>
          <w:instrText xml:space="preserve"> PAGEREF _Toc300000011 \h </w:instrText>
        </w:r>
        <w:r>
          <w:rPr>
            <w:noProof/>
            <w:webHidden/>
          </w:rPr>
          <w:fldChar w:fldCharType="separate"/>
        </w:r>
        <w:r>
          <w:rPr>
            <w:noProof/>
            <w:webHidden/>
          </w:rPr>
          <w:t>7</w:t>
        </w:r>
        <w:r>
          <w:rPr>
            <w:noProof/>
            <w:webHidden/>
          </w:rPr>
          <w:fldChar w:fldCharType="end"/>
        </w:r>
      </w:hyperlink>
    </w:p>
    <w:p>
      <w:pPr>
        <w:pStyle w:val="TOC2"/>
      </w:pPr>
      <w:hyperlink w:anchor="_Toc300000012" w:history="1">
        <w:r>
          <w:rPr>
            <w:noProof/>
          </w:rPr>
          <w:t>5.3.</w:t>
        </w:r>
        <w:r>
          <w:rPr>
            <w:noProof/>
          </w:rPr>
          <w:tab/>
        </w:r>
        <w:r>
          <w:rPr>
            <w:noProof/>
          </w:rPr>
          <w:t xml:space="preserve">Strategic assets</w:t>
        </w:r>
        <w:r>
          <w:rPr>
            <w:noProof/>
            <w:webHidden/>
          </w:rPr>
          <w:tab/>
        </w:r>
        <w:r>
          <w:rPr>
            <w:noProof/>
            <w:webHidden/>
          </w:rPr>
          <w:fldChar w:fldCharType="begin"/>
        </w:r>
        <w:r>
          <w:rPr>
            <w:noProof/>
            <w:webHidden/>
          </w:rPr>
          <w:instrText xml:space="preserve"> PAGEREF _Toc300000012 \h </w:instrText>
        </w:r>
        <w:r>
          <w:rPr>
            <w:noProof/>
            <w:webHidden/>
          </w:rPr>
          <w:fldChar w:fldCharType="separate"/>
        </w:r>
        <w:r>
          <w:rPr>
            <w:noProof/>
            <w:webHidden/>
          </w:rPr>
          <w:t>7</w:t>
        </w:r>
        <w:r>
          <w:rPr>
            <w:noProof/>
            <w:webHidden/>
          </w:rPr>
          <w:fldChar w:fldCharType="end"/>
        </w:r>
      </w:hyperlink>
    </w:p>
    <w:p>
      <w:pPr>
        <w:pStyle w:val="TOC2"/>
      </w:pPr>
      <w:hyperlink w:anchor="_Toc300000013" w:history="1">
        <w:r>
          <w:rPr>
            <w:noProof/>
          </w:rPr>
          <w:t>5.4.</w:t>
        </w:r>
        <w:r>
          <w:rPr>
            <w:noProof/>
          </w:rPr>
          <w:tab/>
        </w:r>
        <w:r>
          <w:rPr>
            <w:noProof/>
          </w:rPr>
          <w:t xml:space="preserve">TASCO’s digital channels today</w:t>
        </w:r>
        <w:r>
          <w:rPr>
            <w:noProof/>
            <w:webHidden/>
          </w:rPr>
          <w:tab/>
        </w:r>
        <w:r>
          <w:rPr>
            <w:noProof/>
            <w:webHidden/>
          </w:rPr>
          <w:fldChar w:fldCharType="begin"/>
        </w:r>
        <w:r>
          <w:rPr>
            <w:noProof/>
            <w:webHidden/>
          </w:rPr>
          <w:instrText xml:space="preserve"> PAGEREF _Toc300000013 \h </w:instrText>
        </w:r>
        <w:r>
          <w:rPr>
            <w:noProof/>
            <w:webHidden/>
          </w:rPr>
          <w:fldChar w:fldCharType="separate"/>
        </w:r>
        <w:r>
          <w:rPr>
            <w:noProof/>
            <w:webHidden/>
          </w:rPr>
          <w:t>8</w:t>
        </w:r>
        <w:r>
          <w:rPr>
            <w:noProof/>
            <w:webHidden/>
          </w:rPr>
          <w:fldChar w:fldCharType="end"/>
        </w:r>
      </w:hyperlink>
    </w:p>
    <w:p>
      <w:pPr>
        <w:pStyle w:val="TOC1"/>
      </w:pPr>
      <w:hyperlink w:anchor="_Toc300000014" w:history="1">
        <w:r>
          <w:rPr>
            <w:noProof/>
          </w:rPr>
          <w:t>6.</w:t>
        </w:r>
        <w:r>
          <w:rPr>
            <w:noProof/>
          </w:rPr>
          <w:tab/>
        </w:r>
        <w:r>
          <w:rPr>
            <w:noProof/>
          </w:rPr>
          <w:t xml:space="preserve">Why own-channel sales are close to zero</w:t>
        </w:r>
        <w:r>
          <w:rPr>
            <w:noProof/>
            <w:webHidden/>
          </w:rPr>
          <w:tab/>
        </w:r>
        <w:r>
          <w:rPr>
            <w:noProof/>
            <w:webHidden/>
          </w:rPr>
          <w:fldChar w:fldCharType="begin"/>
        </w:r>
        <w:r>
          <w:rPr>
            <w:noProof/>
            <w:webHidden/>
          </w:rPr>
          <w:instrText xml:space="preserve"> PAGEREF _Toc300000014 \h </w:instrText>
        </w:r>
        <w:r>
          <w:rPr>
            <w:noProof/>
            <w:webHidden/>
          </w:rPr>
          <w:fldChar w:fldCharType="separate"/>
        </w:r>
        <w:r>
          <w:rPr>
            <w:noProof/>
            <w:webHidden/>
          </w:rPr>
          <w:t>8</w:t>
        </w:r>
        <w:r>
          <w:rPr>
            <w:noProof/>
            <w:webHidden/>
          </w:rPr>
          <w:fldChar w:fldCharType="end"/>
        </w:r>
      </w:hyperlink>
    </w:p>
    <w:p>
      <w:pPr>
        <w:pStyle w:val="TOC2"/>
      </w:pPr>
      <w:hyperlink w:anchor="_Toc300000015" w:history="1">
        <w:r>
          <w:rPr>
            <w:noProof/>
          </w:rPr>
          <w:t>6.1.</w:t>
        </w:r>
        <w:r>
          <w:rPr>
            <w:noProof/>
          </w:rPr>
          <w:tab/>
        </w:r>
        <w:r>
          <w:rPr>
            <w:noProof/>
          </w:rPr>
          <w:t xml:space="preserve">Symptoms reported in the brief</w:t>
        </w:r>
        <w:r>
          <w:rPr>
            <w:noProof/>
            <w:webHidden/>
          </w:rPr>
          <w:tab/>
        </w:r>
        <w:r>
          <w:rPr>
            <w:noProof/>
            <w:webHidden/>
          </w:rPr>
          <w:fldChar w:fldCharType="begin"/>
        </w:r>
        <w:r>
          <w:rPr>
            <w:noProof/>
            <w:webHidden/>
          </w:rPr>
          <w:instrText xml:space="preserve"> PAGEREF _Toc300000015 \h </w:instrText>
        </w:r>
        <w:r>
          <w:rPr>
            <w:noProof/>
            <w:webHidden/>
          </w:rPr>
          <w:fldChar w:fldCharType="separate"/>
        </w:r>
        <w:r>
          <w:rPr>
            <w:noProof/>
            <w:webHidden/>
          </w:rPr>
          <w:t>8</w:t>
        </w:r>
        <w:r>
          <w:rPr>
            <w:noProof/>
            <w:webHidden/>
          </w:rPr>
          <w:fldChar w:fldCharType="end"/>
        </w:r>
      </w:hyperlink>
    </w:p>
    <w:p>
      <w:pPr>
        <w:pStyle w:val="TOC2"/>
      </w:pPr>
      <w:hyperlink w:anchor="_Toc300000016" w:history="1">
        <w:r>
          <w:rPr>
            <w:noProof/>
          </w:rPr>
          <w:t>6.2.</w:t>
        </w:r>
        <w:r>
          <w:rPr>
            <w:noProof/>
          </w:rPr>
          <w:tab/>
        </w:r>
        <w:r>
          <w:rPr>
            <w:noProof/>
          </w:rPr>
          <w:t xml:space="preserve">Root causes and design responses</w:t>
        </w:r>
        <w:r>
          <w:rPr>
            <w:noProof/>
            <w:webHidden/>
          </w:rPr>
          <w:tab/>
        </w:r>
        <w:r>
          <w:rPr>
            <w:noProof/>
            <w:webHidden/>
          </w:rPr>
          <w:fldChar w:fldCharType="begin"/>
        </w:r>
        <w:r>
          <w:rPr>
            <w:noProof/>
            <w:webHidden/>
          </w:rPr>
          <w:instrText xml:space="preserve"> PAGEREF _Toc300000016 \h </w:instrText>
        </w:r>
        <w:r>
          <w:rPr>
            <w:noProof/>
            <w:webHidden/>
          </w:rPr>
          <w:fldChar w:fldCharType="separate"/>
        </w:r>
        <w:r>
          <w:rPr>
            <w:noProof/>
            <w:webHidden/>
          </w:rPr>
          <w:t>8</w:t>
        </w:r>
        <w:r>
          <w:rPr>
            <w:noProof/>
            <w:webHidden/>
          </w:rPr>
          <w:fldChar w:fldCharType="end"/>
        </w:r>
      </w:hyperlink>
    </w:p>
    <w:p>
      <w:pPr>
        <w:pStyle w:val="TOC1"/>
      </w:pPr>
      <w:hyperlink w:anchor="_Toc300000017" w:history="1">
        <w:r>
          <w:rPr>
            <w:noProof/>
          </w:rPr>
          <w:t>7.</w:t>
        </w:r>
        <w:r>
          <w:rPr>
            <w:noProof/>
          </w:rPr>
          <w:tab/>
        </w:r>
        <w:r>
          <w:rPr>
            <w:noProof/>
          </w:rPr>
          <w:t xml:space="preserve">Growth strategy</w:t>
        </w:r>
        <w:r>
          <w:rPr>
            <w:noProof/>
            <w:webHidden/>
          </w:rPr>
          <w:tab/>
        </w:r>
        <w:r>
          <w:rPr>
            <w:noProof/>
            <w:webHidden/>
          </w:rPr>
          <w:fldChar w:fldCharType="begin"/>
        </w:r>
        <w:r>
          <w:rPr>
            <w:noProof/>
            <w:webHidden/>
          </w:rPr>
          <w:instrText xml:space="preserve"> PAGEREF _Toc300000017 \h </w:instrText>
        </w:r>
        <w:r>
          <w:rPr>
            <w:noProof/>
            <w:webHidden/>
          </w:rPr>
          <w:fldChar w:fldCharType="separate"/>
        </w:r>
        <w:r>
          <w:rPr>
            <w:noProof/>
            <w:webHidden/>
          </w:rPr>
          <w:t>10</w:t>
        </w:r>
        <w:r>
          <w:rPr>
            <w:noProof/>
            <w:webHidden/>
          </w:rPr>
          <w:fldChar w:fldCharType="end"/>
        </w:r>
      </w:hyperlink>
    </w:p>
    <w:p>
      <w:pPr>
        <w:pStyle w:val="TOC2"/>
      </w:pPr>
      <w:hyperlink w:anchor="_Toc300000018" w:history="1">
        <w:r>
          <w:rPr>
            <w:noProof/>
          </w:rPr>
          <w:t>7.1.</w:t>
        </w:r>
        <w:r>
          <w:rPr>
            <w:noProof/>
          </w:rPr>
          <w:tab/>
        </w:r>
        <w:r>
          <w:rPr>
            <w:noProof/>
          </w:rPr>
          <w:t xml:space="preserve">Segments</w:t>
        </w:r>
        <w:r>
          <w:rPr>
            <w:noProof/>
            <w:webHidden/>
          </w:rPr>
          <w:tab/>
        </w:r>
        <w:r>
          <w:rPr>
            <w:noProof/>
            <w:webHidden/>
          </w:rPr>
          <w:fldChar w:fldCharType="begin"/>
        </w:r>
        <w:r>
          <w:rPr>
            <w:noProof/>
            <w:webHidden/>
          </w:rPr>
          <w:instrText xml:space="preserve"> PAGEREF _Toc300000018 \h </w:instrText>
        </w:r>
        <w:r>
          <w:rPr>
            <w:noProof/>
            <w:webHidden/>
          </w:rPr>
          <w:fldChar w:fldCharType="separate"/>
        </w:r>
        <w:r>
          <w:rPr>
            <w:noProof/>
            <w:webHidden/>
          </w:rPr>
          <w:t>10</w:t>
        </w:r>
        <w:r>
          <w:rPr>
            <w:noProof/>
            <w:webHidden/>
          </w:rPr>
          <w:fldChar w:fldCharType="end"/>
        </w:r>
      </w:hyperlink>
    </w:p>
    <w:p>
      <w:pPr>
        <w:pStyle w:val="TOC2"/>
      </w:pPr>
      <w:hyperlink w:anchor="_Toc300000019" w:history="1">
        <w:r>
          <w:rPr>
            <w:noProof/>
          </w:rPr>
          <w:t>7.2.</w:t>
        </w:r>
        <w:r>
          <w:rPr>
            <w:noProof/>
          </w:rPr>
          <w:tab/>
        </w:r>
        <w:r>
          <w:rPr>
            <w:noProof/>
          </w:rPr>
          <w:t xml:space="preserve">Plays by segment</w:t>
        </w:r>
        <w:r>
          <w:rPr>
            <w:noProof/>
            <w:webHidden/>
          </w:rPr>
          <w:tab/>
        </w:r>
        <w:r>
          <w:rPr>
            <w:noProof/>
            <w:webHidden/>
          </w:rPr>
          <w:fldChar w:fldCharType="begin"/>
        </w:r>
        <w:r>
          <w:rPr>
            <w:noProof/>
            <w:webHidden/>
          </w:rPr>
          <w:instrText xml:space="preserve"> PAGEREF _Toc300000019 \h </w:instrText>
        </w:r>
        <w:r>
          <w:rPr>
            <w:noProof/>
            <w:webHidden/>
          </w:rPr>
          <w:fldChar w:fldCharType="separate"/>
        </w:r>
        <w:r>
          <w:rPr>
            <w:noProof/>
            <w:webHidden/>
          </w:rPr>
          <w:t>11</w:t>
        </w:r>
        <w:r>
          <w:rPr>
            <w:noProof/>
            <w:webHidden/>
          </w:rPr>
          <w:fldChar w:fldCharType="end"/>
        </w:r>
      </w:hyperlink>
    </w:p>
    <w:p>
      <w:pPr>
        <w:pStyle w:val="TOC2"/>
      </w:pPr>
      <w:hyperlink w:anchor="_Toc300000020" w:history="1">
        <w:r>
          <w:rPr>
            <w:noProof/>
          </w:rPr>
          <w:t>7.3.</w:t>
        </w:r>
        <w:r>
          <w:rPr>
            <w:noProof/>
          </w:rPr>
          <w:tab/>
        </w:r>
        <w:r>
          <w:rPr>
            <w:noProof/>
          </w:rPr>
          <w:t xml:space="preserve">Moments of truth from the VETC ecosystem</w:t>
        </w:r>
        <w:r>
          <w:rPr>
            <w:noProof/>
            <w:webHidden/>
          </w:rPr>
          <w:tab/>
        </w:r>
        <w:r>
          <w:rPr>
            <w:noProof/>
            <w:webHidden/>
          </w:rPr>
          <w:fldChar w:fldCharType="begin"/>
        </w:r>
        <w:r>
          <w:rPr>
            <w:noProof/>
            <w:webHidden/>
          </w:rPr>
          <w:instrText xml:space="preserve"> PAGEREF _Toc300000020 \h </w:instrText>
        </w:r>
        <w:r>
          <w:rPr>
            <w:noProof/>
            <w:webHidden/>
          </w:rPr>
          <w:fldChar w:fldCharType="separate"/>
        </w:r>
        <w:r>
          <w:rPr>
            <w:noProof/>
            <w:webHidden/>
          </w:rPr>
          <w:t>12</w:t>
        </w:r>
        <w:r>
          <w:rPr>
            <w:noProof/>
            <w:webHidden/>
          </w:rPr>
          <w:fldChar w:fldCharType="end"/>
        </w:r>
      </w:hyperlink>
    </w:p>
    <w:p>
      <w:pPr>
        <w:pStyle w:val="TOC1"/>
      </w:pPr>
      <w:hyperlink w:anchor="_Toc300000021" w:history="1">
        <w:r>
          <w:rPr>
            <w:noProof/>
          </w:rPr>
          <w:t>8.</w:t>
        </w:r>
        <w:r>
          <w:rPr>
            <w:noProof/>
          </w:rPr>
          <w:tab/>
        </w:r>
        <w:r>
          <w:rPr>
            <w:noProof/>
          </w:rPr>
          <w:t xml:space="preserve">Channel strategy</w:t>
        </w:r>
        <w:r>
          <w:rPr>
            <w:noProof/>
            <w:webHidden/>
          </w:rPr>
          <w:tab/>
        </w:r>
        <w:r>
          <w:rPr>
            <w:noProof/>
            <w:webHidden/>
          </w:rPr>
          <w:fldChar w:fldCharType="begin"/>
        </w:r>
        <w:r>
          <w:rPr>
            <w:noProof/>
            <w:webHidden/>
          </w:rPr>
          <w:instrText xml:space="preserve"> PAGEREF _Toc300000021 \h </w:instrText>
        </w:r>
        <w:r>
          <w:rPr>
            <w:noProof/>
            <w:webHidden/>
          </w:rPr>
          <w:fldChar w:fldCharType="separate"/>
        </w:r>
        <w:r>
          <w:rPr>
            <w:noProof/>
            <w:webHidden/>
          </w:rPr>
          <w:t>12</w:t>
        </w:r>
        <w:r>
          <w:rPr>
            <w:noProof/>
            <w:webHidden/>
          </w:rPr>
          <w:fldChar w:fldCharType="end"/>
        </w:r>
      </w:hyperlink>
    </w:p>
    <w:p>
      <w:pPr>
        <w:pStyle w:val="TOC2"/>
      </w:pPr>
      <w:hyperlink w:anchor="_Toc300000022" w:history="1">
        <w:r>
          <w:rPr>
            <w:noProof/>
          </w:rPr>
          <w:t>8.1.</w:t>
        </w:r>
        <w:r>
          <w:rPr>
            <w:noProof/>
          </w:rPr>
          <w:tab/>
        </w:r>
        <w:r>
          <w:rPr>
            <w:noProof/>
          </w:rPr>
          <w:t xml:space="preserve">Principle</w:t>
        </w:r>
        <w:r>
          <w:rPr>
            <w:noProof/>
            <w:webHidden/>
          </w:rPr>
          <w:tab/>
        </w:r>
        <w:r>
          <w:rPr>
            <w:noProof/>
            <w:webHidden/>
          </w:rPr>
          <w:fldChar w:fldCharType="begin"/>
        </w:r>
        <w:r>
          <w:rPr>
            <w:noProof/>
            <w:webHidden/>
          </w:rPr>
          <w:instrText xml:space="preserve"> PAGEREF _Toc300000022 \h </w:instrText>
        </w:r>
        <w:r>
          <w:rPr>
            <w:noProof/>
            <w:webHidden/>
          </w:rPr>
          <w:fldChar w:fldCharType="separate"/>
        </w:r>
        <w:r>
          <w:rPr>
            <w:noProof/>
            <w:webHidden/>
          </w:rPr>
          <w:t>12</w:t>
        </w:r>
        <w:r>
          <w:rPr>
            <w:noProof/>
            <w:webHidden/>
          </w:rPr>
          <w:fldChar w:fldCharType="end"/>
        </w:r>
      </w:hyperlink>
    </w:p>
    <w:p>
      <w:pPr>
        <w:pStyle w:val="TOC2"/>
      </w:pPr>
      <w:hyperlink w:anchor="_Toc300000023" w:history="1">
        <w:r>
          <w:rPr>
            <w:noProof/>
          </w:rPr>
          <w:t>8.2.</w:t>
        </w:r>
        <w:r>
          <w:rPr>
            <w:noProof/>
          </w:rPr>
          <w:tab/>
        </w:r>
        <w:r>
          <w:rPr>
            <w:noProof/>
          </w:rPr>
          <w:t xml:space="preserve">Channel roles</w:t>
        </w:r>
        <w:r>
          <w:rPr>
            <w:noProof/>
            <w:webHidden/>
          </w:rPr>
          <w:tab/>
        </w:r>
        <w:r>
          <w:rPr>
            <w:noProof/>
            <w:webHidden/>
          </w:rPr>
          <w:fldChar w:fldCharType="begin"/>
        </w:r>
        <w:r>
          <w:rPr>
            <w:noProof/>
            <w:webHidden/>
          </w:rPr>
          <w:instrText xml:space="preserve"> PAGEREF _Toc300000023 \h </w:instrText>
        </w:r>
        <w:r>
          <w:rPr>
            <w:noProof/>
            <w:webHidden/>
          </w:rPr>
          <w:fldChar w:fldCharType="separate"/>
        </w:r>
        <w:r>
          <w:rPr>
            <w:noProof/>
            <w:webHidden/>
          </w:rPr>
          <w:t>12</w:t>
        </w:r>
        <w:r>
          <w:rPr>
            <w:noProof/>
            <w:webHidden/>
          </w:rPr>
          <w:fldChar w:fldCharType="end"/>
        </w:r>
      </w:hyperlink>
    </w:p>
    <w:p>
      <w:pPr>
        <w:pStyle w:val="TOC2"/>
      </w:pPr>
      <w:hyperlink w:anchor="_Toc300000024" w:history="1">
        <w:r>
          <w:rPr>
            <w:noProof/>
          </w:rPr>
          <w:t>8.3.</w:t>
        </w:r>
        <w:r>
          <w:rPr>
            <w:noProof/>
          </w:rPr>
          <w:tab/>
        </w:r>
        <w:r>
          <w:rPr>
            <w:noProof/>
          </w:rPr>
          <w:t xml:space="preserve">Channel waterfall</w:t>
        </w:r>
        <w:r>
          <w:rPr>
            <w:noProof/>
            <w:webHidden/>
          </w:rPr>
          <w:tab/>
        </w:r>
        <w:r>
          <w:rPr>
            <w:noProof/>
            <w:webHidden/>
          </w:rPr>
          <w:fldChar w:fldCharType="begin"/>
        </w:r>
        <w:r>
          <w:rPr>
            <w:noProof/>
            <w:webHidden/>
          </w:rPr>
          <w:instrText xml:space="preserve"> PAGEREF _Toc300000024 \h </w:instrText>
        </w:r>
        <w:r>
          <w:rPr>
            <w:noProof/>
            <w:webHidden/>
          </w:rPr>
          <w:fldChar w:fldCharType="separate"/>
        </w:r>
        <w:r>
          <w:rPr>
            <w:noProof/>
            <w:webHidden/>
          </w:rPr>
          <w:t>13</w:t>
        </w:r>
        <w:r>
          <w:rPr>
            <w:noProof/>
            <w:webHidden/>
          </w:rPr>
          <w:fldChar w:fldCharType="end"/>
        </w:r>
      </w:hyperlink>
    </w:p>
    <w:p>
      <w:pPr>
        <w:pStyle w:val="TOC2"/>
      </w:pPr>
      <w:hyperlink w:anchor="_Toc300000025" w:history="1">
        <w:r>
          <w:rPr>
            <w:noProof/>
          </w:rPr>
          <w:t>8.4.</w:t>
        </w:r>
        <w:r>
          <w:rPr>
            <w:noProof/>
          </w:rPr>
          <w:tab/>
        </w:r>
        <w:r>
          <w:rPr>
            <w:noProof/>
          </w:rPr>
          <w:t xml:space="preserve">Partner enablement</w:t>
        </w:r>
        <w:r>
          <w:rPr>
            <w:noProof/>
            <w:webHidden/>
          </w:rPr>
          <w:tab/>
        </w:r>
        <w:r>
          <w:rPr>
            <w:noProof/>
            <w:webHidden/>
          </w:rPr>
          <w:fldChar w:fldCharType="begin"/>
        </w:r>
        <w:r>
          <w:rPr>
            <w:noProof/>
            <w:webHidden/>
          </w:rPr>
          <w:instrText xml:space="preserve"> PAGEREF _Toc300000025 \h </w:instrText>
        </w:r>
        <w:r>
          <w:rPr>
            <w:noProof/>
            <w:webHidden/>
          </w:rPr>
          <w:fldChar w:fldCharType="separate"/>
        </w:r>
        <w:r>
          <w:rPr>
            <w:noProof/>
            <w:webHidden/>
          </w:rPr>
          <w:t>13</w:t>
        </w:r>
        <w:r>
          <w:rPr>
            <w:noProof/>
            <w:webHidden/>
          </w:rPr>
          <w:fldChar w:fldCharType="end"/>
        </w:r>
      </w:hyperlink>
    </w:p>
    <w:p>
      <w:pPr>
        <w:pStyle w:val="TOC1"/>
      </w:pPr>
      <w:hyperlink w:anchor="_Toc300000026" w:history="1">
        <w:r>
          <w:rPr>
            <w:noProof/>
          </w:rPr>
          <w:t>9.</w:t>
        </w:r>
        <w:r>
          <w:rPr>
            <w:noProof/>
          </w:rPr>
          <w:tab/>
        </w:r>
        <w:r>
          <w:rPr>
            <w:noProof/>
          </w:rPr>
          <w:t xml:space="preserve">Value beyond discount</w:t>
        </w:r>
        <w:r>
          <w:rPr>
            <w:noProof/>
            <w:webHidden/>
          </w:rPr>
          <w:tab/>
        </w:r>
        <w:r>
          <w:rPr>
            <w:noProof/>
            <w:webHidden/>
          </w:rPr>
          <w:fldChar w:fldCharType="begin"/>
        </w:r>
        <w:r>
          <w:rPr>
            <w:noProof/>
            <w:webHidden/>
          </w:rPr>
          <w:instrText xml:space="preserve"> PAGEREF _Toc300000026 \h </w:instrText>
        </w:r>
        <w:r>
          <w:rPr>
            <w:noProof/>
            <w:webHidden/>
          </w:rPr>
          <w:fldChar w:fldCharType="separate"/>
        </w:r>
        <w:r>
          <w:rPr>
            <w:noProof/>
            <w:webHidden/>
          </w:rPr>
          <w:t>13</w:t>
        </w:r>
        <w:r>
          <w:rPr>
            <w:noProof/>
            <w:webHidden/>
          </w:rPr>
          <w:fldChar w:fldCharType="end"/>
        </w:r>
      </w:hyperlink>
    </w:p>
    <w:p>
      <w:pPr>
        <w:pStyle w:val="TOC1"/>
      </w:pPr>
      <w:hyperlink w:anchor="_Toc300000027" w:history="1">
        <w:r>
          <w:rPr>
            <w:noProof/>
          </w:rPr>
          <w:t>10.</w:t>
        </w:r>
        <w:r>
          <w:rPr>
            <w:noProof/>
          </w:rPr>
          <w:tab/>
        </w:r>
        <w:r>
          <w:rPr>
            <w:noProof/>
          </w:rPr>
          <w:t xml:space="preserve">Trust strategy</w:t>
        </w:r>
        <w:r>
          <w:rPr>
            <w:noProof/>
            <w:webHidden/>
          </w:rPr>
          <w:tab/>
        </w:r>
        <w:r>
          <w:rPr>
            <w:noProof/>
            <w:webHidden/>
          </w:rPr>
          <w:fldChar w:fldCharType="begin"/>
        </w:r>
        <w:r>
          <w:rPr>
            <w:noProof/>
            <w:webHidden/>
          </w:rPr>
          <w:instrText xml:space="preserve"> PAGEREF _Toc300000027 \h </w:instrText>
        </w:r>
        <w:r>
          <w:rPr>
            <w:noProof/>
            <w:webHidden/>
          </w:rPr>
          <w:fldChar w:fldCharType="separate"/>
        </w:r>
        <w:r>
          <w:rPr>
            <w:noProof/>
            <w:webHidden/>
          </w:rPr>
          <w:t>14</w:t>
        </w:r>
        <w:r>
          <w:rPr>
            <w:noProof/>
            <w:webHidden/>
          </w:rPr>
          <w:fldChar w:fldCharType="end"/>
        </w:r>
      </w:hyperlink>
    </w:p>
    <w:p>
      <w:pPr>
        <w:pStyle w:val="TOC1"/>
      </w:pPr>
      <w:hyperlink w:anchor="_Toc300000028" w:history="1">
        <w:r>
          <w:rPr>
            <w:noProof/>
          </w:rPr>
          <w:t>11.</w:t>
        </w:r>
        <w:r>
          <w:rPr>
            <w:noProof/>
          </w:rPr>
          <w:tab/>
        </w:r>
        <w:r>
          <w:rPr>
            <w:noProof/>
          </w:rPr>
          <w:t xml:space="preserve">Data strategy</w:t>
        </w:r>
        <w:r>
          <w:rPr>
            <w:noProof/>
            <w:webHidden/>
          </w:rPr>
          <w:tab/>
        </w:r>
        <w:r>
          <w:rPr>
            <w:noProof/>
            <w:webHidden/>
          </w:rPr>
          <w:fldChar w:fldCharType="begin"/>
        </w:r>
        <w:r>
          <w:rPr>
            <w:noProof/>
            <w:webHidden/>
          </w:rPr>
          <w:instrText xml:space="preserve"> PAGEREF _Toc300000028 \h </w:instrText>
        </w:r>
        <w:r>
          <w:rPr>
            <w:noProof/>
            <w:webHidden/>
          </w:rPr>
          <w:fldChar w:fldCharType="separate"/>
        </w:r>
        <w:r>
          <w:rPr>
            <w:noProof/>
            <w:webHidden/>
          </w:rPr>
          <w:t>15</w:t>
        </w:r>
        <w:r>
          <w:rPr>
            <w:noProof/>
            <w:webHidden/>
          </w:rPr>
          <w:fldChar w:fldCharType="end"/>
        </w:r>
      </w:hyperlink>
    </w:p>
    <w:p>
      <w:pPr>
        <w:pStyle w:val="TOC2"/>
      </w:pPr>
      <w:hyperlink w:anchor="_Toc300000029" w:history="1">
        <w:r>
          <w:rPr>
            <w:noProof/>
          </w:rPr>
          <w:t>11.1.</w:t>
        </w:r>
        <w:r>
          <w:rPr>
            <w:noProof/>
          </w:rPr>
          <w:tab/>
        </w:r>
        <w:r>
          <w:rPr>
            <w:noProof/>
          </w:rPr>
          <w:t xml:space="preserve">The data-repair loop</w:t>
        </w:r>
        <w:r>
          <w:rPr>
            <w:noProof/>
            <w:webHidden/>
          </w:rPr>
          <w:tab/>
        </w:r>
        <w:r>
          <w:rPr>
            <w:noProof/>
            <w:webHidden/>
          </w:rPr>
          <w:fldChar w:fldCharType="begin"/>
        </w:r>
        <w:r>
          <w:rPr>
            <w:noProof/>
            <w:webHidden/>
          </w:rPr>
          <w:instrText xml:space="preserve"> PAGEREF _Toc300000029 \h </w:instrText>
        </w:r>
        <w:r>
          <w:rPr>
            <w:noProof/>
            <w:webHidden/>
          </w:rPr>
          <w:fldChar w:fldCharType="separate"/>
        </w:r>
        <w:r>
          <w:rPr>
            <w:noProof/>
            <w:webHidden/>
          </w:rPr>
          <w:t>15</w:t>
        </w:r>
        <w:r>
          <w:rPr>
            <w:noProof/>
            <w:webHidden/>
          </w:rPr>
          <w:fldChar w:fldCharType="end"/>
        </w:r>
      </w:hyperlink>
    </w:p>
    <w:p>
      <w:pPr>
        <w:pStyle w:val="TOC2"/>
      </w:pPr>
      <w:hyperlink w:anchor="_Toc300000030" w:history="1">
        <w:r>
          <w:rPr>
            <w:noProof/>
          </w:rPr>
          <w:t>11.2.</w:t>
        </w:r>
        <w:r>
          <w:rPr>
            <w:noProof/>
          </w:rPr>
          <w:tab/>
        </w:r>
        <w:r>
          <w:rPr>
            <w:noProof/>
          </w:rPr>
          <w:t xml:space="preserve">Expiry evidence and confidence</w:t>
        </w:r>
        <w:r>
          <w:rPr>
            <w:noProof/>
            <w:webHidden/>
          </w:rPr>
          <w:tab/>
        </w:r>
        <w:r>
          <w:rPr>
            <w:noProof/>
            <w:webHidden/>
          </w:rPr>
          <w:fldChar w:fldCharType="begin"/>
        </w:r>
        <w:r>
          <w:rPr>
            <w:noProof/>
            <w:webHidden/>
          </w:rPr>
          <w:instrText xml:space="preserve"> PAGEREF _Toc300000030 \h </w:instrText>
        </w:r>
        <w:r>
          <w:rPr>
            <w:noProof/>
            <w:webHidden/>
          </w:rPr>
          <w:fldChar w:fldCharType="separate"/>
        </w:r>
        <w:r>
          <w:rPr>
            <w:noProof/>
            <w:webHidden/>
          </w:rPr>
          <w:t>16</w:t>
        </w:r>
        <w:r>
          <w:rPr>
            <w:noProof/>
            <w:webHidden/>
          </w:rPr>
          <w:fldChar w:fldCharType="end"/>
        </w:r>
      </w:hyperlink>
    </w:p>
    <w:p>
      <w:pPr>
        <w:pStyle w:val="TOC2"/>
      </w:pPr>
      <w:hyperlink w:anchor="_Toc300000031" w:history="1">
        <w:r>
          <w:rPr>
            <w:noProof/>
          </w:rPr>
          <w:t>11.3.</w:t>
        </w:r>
        <w:r>
          <w:rPr>
            <w:noProof/>
          </w:rPr>
          <w:tab/>
        </w:r>
        <w:r>
          <w:rPr>
            <w:noProof/>
          </w:rPr>
          <w:t xml:space="preserve">Data-quality model</w:t>
        </w:r>
        <w:r>
          <w:rPr>
            <w:noProof/>
            <w:webHidden/>
          </w:rPr>
          <w:tab/>
        </w:r>
        <w:r>
          <w:rPr>
            <w:noProof/>
            <w:webHidden/>
          </w:rPr>
          <w:fldChar w:fldCharType="begin"/>
        </w:r>
        <w:r>
          <w:rPr>
            <w:noProof/>
            <w:webHidden/>
          </w:rPr>
          <w:instrText xml:space="preserve"> PAGEREF _Toc300000031 \h </w:instrText>
        </w:r>
        <w:r>
          <w:rPr>
            <w:noProof/>
            <w:webHidden/>
          </w:rPr>
          <w:fldChar w:fldCharType="separate"/>
        </w:r>
        <w:r>
          <w:rPr>
            <w:noProof/>
            <w:webHidden/>
          </w:rPr>
          <w:t>17</w:t>
        </w:r>
        <w:r>
          <w:rPr>
            <w:noProof/>
            <w:webHidden/>
          </w:rPr>
          <w:fldChar w:fldCharType="end"/>
        </w:r>
      </w:hyperlink>
    </w:p>
    <w:p>
      <w:pPr>
        <w:pStyle w:val="TOC2"/>
      </w:pPr>
      <w:hyperlink w:anchor="_Toc300000032" w:history="1">
        <w:r>
          <w:rPr>
            <w:noProof/>
          </w:rPr>
          <w:t>11.4.</w:t>
        </w:r>
        <w:r>
          <w:rPr>
            <w:noProof/>
          </w:rPr>
          <w:tab/>
        </w:r>
        <w:r>
          <w:rPr>
            <w:noProof/>
          </w:rPr>
          <w:t xml:space="preserve">Data governance principles</w:t>
        </w:r>
        <w:r>
          <w:rPr>
            <w:noProof/>
            <w:webHidden/>
          </w:rPr>
          <w:tab/>
        </w:r>
        <w:r>
          <w:rPr>
            <w:noProof/>
            <w:webHidden/>
          </w:rPr>
          <w:fldChar w:fldCharType="begin"/>
        </w:r>
        <w:r>
          <w:rPr>
            <w:noProof/>
            <w:webHidden/>
          </w:rPr>
          <w:instrText xml:space="preserve"> PAGEREF _Toc300000032 \h </w:instrText>
        </w:r>
        <w:r>
          <w:rPr>
            <w:noProof/>
            <w:webHidden/>
          </w:rPr>
          <w:fldChar w:fldCharType="separate"/>
        </w:r>
        <w:r>
          <w:rPr>
            <w:noProof/>
            <w:webHidden/>
          </w:rPr>
          <w:t>17</w:t>
        </w:r>
        <w:r>
          <w:rPr>
            <w:noProof/>
            <w:webHidden/>
          </w:rPr>
          <w:fldChar w:fldCharType="end"/>
        </w:r>
      </w:hyperlink>
    </w:p>
    <w:p>
      <w:pPr>
        <w:pStyle w:val="TOC1"/>
      </w:pPr>
      <w:hyperlink w:anchor="_Toc300000033" w:history="1">
        <w:r>
          <w:rPr>
            <w:noProof/>
          </w:rPr>
          <w:t>12.</w:t>
        </w:r>
        <w:r>
          <w:rPr>
            <w:noProof/>
          </w:rPr>
          <w:tab/>
        </w:r>
        <w:r>
          <w:rPr>
            <w:noProof/>
          </w:rPr>
          <w:t xml:space="preserve">Roadmap</w:t>
        </w:r>
        <w:r>
          <w:rPr>
            <w:noProof/>
            <w:webHidden/>
          </w:rPr>
          <w:tab/>
        </w:r>
        <w:r>
          <w:rPr>
            <w:noProof/>
            <w:webHidden/>
          </w:rPr>
          <w:fldChar w:fldCharType="begin"/>
        </w:r>
        <w:r>
          <w:rPr>
            <w:noProof/>
            <w:webHidden/>
          </w:rPr>
          <w:instrText xml:space="preserve"> PAGEREF _Toc300000033 \h </w:instrText>
        </w:r>
        <w:r>
          <w:rPr>
            <w:noProof/>
            <w:webHidden/>
          </w:rPr>
          <w:fldChar w:fldCharType="separate"/>
        </w:r>
        <w:r>
          <w:rPr>
            <w:noProof/>
            <w:webHidden/>
          </w:rPr>
          <w:t>17</w:t>
        </w:r>
        <w:r>
          <w:rPr>
            <w:noProof/>
            <w:webHidden/>
          </w:rPr>
          <w:fldChar w:fldCharType="end"/>
        </w:r>
      </w:hyperlink>
    </w:p>
    <w:p>
      <w:pPr>
        <w:pStyle w:val="TOC1"/>
      </w:pPr>
      <w:hyperlink w:anchor="_Toc300000034" w:history="1">
        <w:r>
          <w:rPr>
            <w:noProof/>
          </w:rPr>
          <w:t>13.</w:t>
        </w:r>
        <w:r>
          <w:rPr>
            <w:noProof/>
          </w:rPr>
          <w:tab/>
        </w:r>
        <w:r>
          <w:rPr>
            <w:noProof/>
          </w:rPr>
          <w:t xml:space="preserve">KPIs</w:t>
        </w:r>
        <w:r>
          <w:rPr>
            <w:noProof/>
            <w:webHidden/>
          </w:rPr>
          <w:tab/>
        </w:r>
        <w:r>
          <w:rPr>
            <w:noProof/>
            <w:webHidden/>
          </w:rPr>
          <w:fldChar w:fldCharType="begin"/>
        </w:r>
        <w:r>
          <w:rPr>
            <w:noProof/>
            <w:webHidden/>
          </w:rPr>
          <w:instrText xml:space="preserve"> PAGEREF _Toc300000034 \h </w:instrText>
        </w:r>
        <w:r>
          <w:rPr>
            <w:noProof/>
            <w:webHidden/>
          </w:rPr>
          <w:fldChar w:fldCharType="separate"/>
        </w:r>
        <w:r>
          <w:rPr>
            <w:noProof/>
            <w:webHidden/>
          </w:rPr>
          <w:t>19</w:t>
        </w:r>
        <w:r>
          <w:rPr>
            <w:noProof/>
            <w:webHidden/>
          </w:rPr>
          <w:fldChar w:fldCharType="end"/>
        </w:r>
      </w:hyperlink>
    </w:p>
    <w:p>
      <w:pPr>
        <w:pStyle w:val="TOC2"/>
      </w:pPr>
      <w:hyperlink w:anchor="_Toc300000035" w:history="1">
        <w:r>
          <w:rPr>
            <w:noProof/>
          </w:rPr>
          <w:t>13.1.</w:t>
        </w:r>
        <w:r>
          <w:rPr>
            <w:noProof/>
          </w:rPr>
          <w:tab/>
        </w:r>
        <w:r>
          <w:rPr>
            <w:noProof/>
          </w:rPr>
          <w:t xml:space="preserve">KPI structure</w:t>
        </w:r>
        <w:r>
          <w:rPr>
            <w:noProof/>
            <w:webHidden/>
          </w:rPr>
          <w:tab/>
        </w:r>
        <w:r>
          <w:rPr>
            <w:noProof/>
            <w:webHidden/>
          </w:rPr>
          <w:fldChar w:fldCharType="begin"/>
        </w:r>
        <w:r>
          <w:rPr>
            <w:noProof/>
            <w:webHidden/>
          </w:rPr>
          <w:instrText xml:space="preserve"> PAGEREF _Toc300000035 \h </w:instrText>
        </w:r>
        <w:r>
          <w:rPr>
            <w:noProof/>
            <w:webHidden/>
          </w:rPr>
          <w:fldChar w:fldCharType="separate"/>
        </w:r>
        <w:r>
          <w:rPr>
            <w:noProof/>
            <w:webHidden/>
          </w:rPr>
          <w:t>19</w:t>
        </w:r>
        <w:r>
          <w:rPr>
            <w:noProof/>
            <w:webHidden/>
          </w:rPr>
          <w:fldChar w:fldCharType="end"/>
        </w:r>
      </w:hyperlink>
    </w:p>
    <w:p>
      <w:pPr>
        <w:pStyle w:val="TOC2"/>
      </w:pPr>
      <w:hyperlink w:anchor="_Toc300000036" w:history="1">
        <w:r>
          <w:rPr>
            <w:noProof/>
          </w:rPr>
          <w:t>13.2.</w:t>
        </w:r>
        <w:r>
          <w:rPr>
            <w:noProof/>
          </w:rPr>
          <w:tab/>
        </w:r>
        <w:r>
          <w:rPr>
            <w:noProof/>
          </w:rPr>
          <w:t xml:space="preserve">Definitions and targets</w:t>
        </w:r>
        <w:r>
          <w:rPr>
            <w:noProof/>
            <w:webHidden/>
          </w:rPr>
          <w:tab/>
        </w:r>
        <w:r>
          <w:rPr>
            <w:noProof/>
            <w:webHidden/>
          </w:rPr>
          <w:fldChar w:fldCharType="begin"/>
        </w:r>
        <w:r>
          <w:rPr>
            <w:noProof/>
            <w:webHidden/>
          </w:rPr>
          <w:instrText xml:space="preserve"> PAGEREF _Toc300000036 \h </w:instrText>
        </w:r>
        <w:r>
          <w:rPr>
            <w:noProof/>
            <w:webHidden/>
          </w:rPr>
          <w:fldChar w:fldCharType="separate"/>
        </w:r>
        <w:r>
          <w:rPr>
            <w:noProof/>
            <w:webHidden/>
          </w:rPr>
          <w:t>19</w:t>
        </w:r>
        <w:r>
          <w:rPr>
            <w:noProof/>
            <w:webHidden/>
          </w:rPr>
          <w:fldChar w:fldCharType="end"/>
        </w:r>
      </w:hyperlink>
    </w:p>
    <w:p>
      <w:pPr>
        <w:pStyle w:val="TOC1"/>
      </w:pPr>
      <w:hyperlink w:anchor="_Toc300000037" w:history="1">
        <w:r>
          <w:rPr>
            <w:noProof/>
          </w:rPr>
          <w:t>14.</w:t>
        </w:r>
        <w:r>
          <w:rPr>
            <w:noProof/>
          </w:rPr>
          <w:tab/>
        </w:r>
        <w:r>
          <w:rPr>
            <w:noProof/>
          </w:rPr>
          <w:t xml:space="preserve">Business case</w:t>
        </w:r>
        <w:r>
          <w:rPr>
            <w:noProof/>
            <w:webHidden/>
          </w:rPr>
          <w:tab/>
        </w:r>
        <w:r>
          <w:rPr>
            <w:noProof/>
            <w:webHidden/>
          </w:rPr>
          <w:fldChar w:fldCharType="begin"/>
        </w:r>
        <w:r>
          <w:rPr>
            <w:noProof/>
            <w:webHidden/>
          </w:rPr>
          <w:instrText xml:space="preserve"> PAGEREF _Toc300000037 \h </w:instrText>
        </w:r>
        <w:r>
          <w:rPr>
            <w:noProof/>
            <w:webHidden/>
          </w:rPr>
          <w:fldChar w:fldCharType="separate"/>
        </w:r>
        <w:r>
          <w:rPr>
            <w:noProof/>
            <w:webHidden/>
          </w:rPr>
          <w:t>20</w:t>
        </w:r>
        <w:r>
          <w:rPr>
            <w:noProof/>
            <w:webHidden/>
          </w:rPr>
          <w:fldChar w:fldCharType="end"/>
        </w:r>
      </w:hyperlink>
    </w:p>
    <w:p>
      <w:pPr>
        <w:pStyle w:val="TOC2"/>
      </w:pPr>
      <w:hyperlink w:anchor="_Toc300000038" w:history="1">
        <w:r>
          <w:rPr>
            <w:noProof/>
          </w:rPr>
          <w:t>14.1.</w:t>
        </w:r>
        <w:r>
          <w:rPr>
            <w:noProof/>
          </w:rPr>
          <w:tab/>
        </w:r>
        <w:r>
          <w:rPr>
            <w:noProof/>
          </w:rPr>
          <w:t xml:space="preserve">Model</w:t>
        </w:r>
        <w:r>
          <w:rPr>
            <w:noProof/>
            <w:webHidden/>
          </w:rPr>
          <w:tab/>
        </w:r>
        <w:r>
          <w:rPr>
            <w:noProof/>
            <w:webHidden/>
          </w:rPr>
          <w:fldChar w:fldCharType="begin"/>
        </w:r>
        <w:r>
          <w:rPr>
            <w:noProof/>
            <w:webHidden/>
          </w:rPr>
          <w:instrText xml:space="preserve"> PAGEREF _Toc300000038 \h </w:instrText>
        </w:r>
        <w:r>
          <w:rPr>
            <w:noProof/>
            <w:webHidden/>
          </w:rPr>
          <w:fldChar w:fldCharType="separate"/>
        </w:r>
        <w:r>
          <w:rPr>
            <w:noProof/>
            <w:webHidden/>
          </w:rPr>
          <w:t>20</w:t>
        </w:r>
        <w:r>
          <w:rPr>
            <w:noProof/>
            <w:webHidden/>
          </w:rPr>
          <w:fldChar w:fldCharType="end"/>
        </w:r>
      </w:hyperlink>
    </w:p>
    <w:p>
      <w:pPr>
        <w:pStyle w:val="TOC2"/>
      </w:pPr>
      <w:hyperlink w:anchor="_Toc300000039" w:history="1">
        <w:r>
          <w:rPr>
            <w:noProof/>
          </w:rPr>
          <w:t>14.2.</w:t>
        </w:r>
        <w:r>
          <w:rPr>
            <w:noProof/>
          </w:rPr>
          <w:tab/>
        </w:r>
        <w:r>
          <w:rPr>
            <w:noProof/>
          </w:rPr>
          <w:t xml:space="preserve">Scenario inputs</w:t>
        </w:r>
        <w:r>
          <w:rPr>
            <w:noProof/>
            <w:webHidden/>
          </w:rPr>
          <w:tab/>
        </w:r>
        <w:r>
          <w:rPr>
            <w:noProof/>
            <w:webHidden/>
          </w:rPr>
          <w:fldChar w:fldCharType="begin"/>
        </w:r>
        <w:r>
          <w:rPr>
            <w:noProof/>
            <w:webHidden/>
          </w:rPr>
          <w:instrText xml:space="preserve"> PAGEREF _Toc300000039 \h </w:instrText>
        </w:r>
        <w:r>
          <w:rPr>
            <w:noProof/>
            <w:webHidden/>
          </w:rPr>
          <w:fldChar w:fldCharType="separate"/>
        </w:r>
        <w:r>
          <w:rPr>
            <w:noProof/>
            <w:webHidden/>
          </w:rPr>
          <w:t>21</w:t>
        </w:r>
        <w:r>
          <w:rPr>
            <w:noProof/>
            <w:webHidden/>
          </w:rPr>
          <w:fldChar w:fldCharType="end"/>
        </w:r>
      </w:hyperlink>
    </w:p>
    <w:p>
      <w:pPr>
        <w:pStyle w:val="TOC2"/>
      </w:pPr>
      <w:hyperlink w:anchor="_Toc300000040" w:history="1">
        <w:r>
          <w:rPr>
            <w:noProof/>
          </w:rPr>
          <w:t>14.3.</w:t>
        </w:r>
        <w:r>
          <w:rPr>
            <w:noProof/>
          </w:rPr>
          <w:tab/>
        </w:r>
        <w:r>
          <w:rPr>
            <w:noProof/>
          </w:rPr>
          <w:t xml:space="preserve">Outputs, year 1 at full scale</w:t>
        </w:r>
        <w:r>
          <w:rPr>
            <w:noProof/>
            <w:webHidden/>
          </w:rPr>
          <w:tab/>
        </w:r>
        <w:r>
          <w:rPr>
            <w:noProof/>
            <w:webHidden/>
          </w:rPr>
          <w:fldChar w:fldCharType="begin"/>
        </w:r>
        <w:r>
          <w:rPr>
            <w:noProof/>
            <w:webHidden/>
          </w:rPr>
          <w:instrText xml:space="preserve"> PAGEREF _Toc300000040 \h </w:instrText>
        </w:r>
        <w:r>
          <w:rPr>
            <w:noProof/>
            <w:webHidden/>
          </w:rPr>
          <w:fldChar w:fldCharType="separate"/>
        </w:r>
        <w:r>
          <w:rPr>
            <w:noProof/>
            <w:webHidden/>
          </w:rPr>
          <w:t>22</w:t>
        </w:r>
        <w:r>
          <w:rPr>
            <w:noProof/>
            <w:webHidden/>
          </w:rPr>
          <w:fldChar w:fldCharType="end"/>
        </w:r>
      </w:hyperlink>
    </w:p>
    <w:p>
      <w:pPr>
        <w:pStyle w:val="TOC2"/>
      </w:pPr>
      <w:hyperlink w:anchor="_Toc300000041" w:history="1">
        <w:r>
          <w:rPr>
            <w:noProof/>
          </w:rPr>
          <w:t>14.4.</w:t>
        </w:r>
        <w:r>
          <w:rPr>
            <w:noProof/>
          </w:rPr>
          <w:tab/>
        </w:r>
        <w:r>
          <w:rPr>
            <w:noProof/>
          </w:rPr>
          <w:t xml:space="preserve">Reading the numbers</w:t>
        </w:r>
        <w:r>
          <w:rPr>
            <w:noProof/>
            <w:webHidden/>
          </w:rPr>
          <w:tab/>
        </w:r>
        <w:r>
          <w:rPr>
            <w:noProof/>
            <w:webHidden/>
          </w:rPr>
          <w:fldChar w:fldCharType="begin"/>
        </w:r>
        <w:r>
          <w:rPr>
            <w:noProof/>
            <w:webHidden/>
          </w:rPr>
          <w:instrText xml:space="preserve"> PAGEREF _Toc300000041 \h </w:instrText>
        </w:r>
        <w:r>
          <w:rPr>
            <w:noProof/>
            <w:webHidden/>
          </w:rPr>
          <w:fldChar w:fldCharType="separate"/>
        </w:r>
        <w:r>
          <w:rPr>
            <w:noProof/>
            <w:webHidden/>
          </w:rPr>
          <w:t>22</w:t>
        </w:r>
        <w:r>
          <w:rPr>
            <w:noProof/>
            <w:webHidden/>
          </w:rPr>
          <w:fldChar w:fldCharType="end"/>
        </w:r>
      </w:hyperlink>
    </w:p>
    <w:p>
      <w:pPr>
        <w:pStyle w:val="TOC2"/>
      </w:pPr>
      <w:hyperlink w:anchor="_Toc300000042" w:history="1">
        <w:r>
          <w:rPr>
            <w:noProof/>
          </w:rPr>
          <w:t>14.5.</w:t>
        </w:r>
        <w:r>
          <w:rPr>
            <w:noProof/>
          </w:rPr>
          <w:tab/>
        </w:r>
        <w:r>
          <w:rPr>
            <w:noProof/>
          </w:rPr>
          <w:t xml:space="preserve">Sensitivity</w:t>
        </w:r>
        <w:r>
          <w:rPr>
            <w:noProof/>
            <w:webHidden/>
          </w:rPr>
          <w:tab/>
        </w:r>
        <w:r>
          <w:rPr>
            <w:noProof/>
            <w:webHidden/>
          </w:rPr>
          <w:fldChar w:fldCharType="begin"/>
        </w:r>
        <w:r>
          <w:rPr>
            <w:noProof/>
            <w:webHidden/>
          </w:rPr>
          <w:instrText xml:space="preserve"> PAGEREF _Toc300000042 \h </w:instrText>
        </w:r>
        <w:r>
          <w:rPr>
            <w:noProof/>
            <w:webHidden/>
          </w:rPr>
          <w:fldChar w:fldCharType="separate"/>
        </w:r>
        <w:r>
          <w:rPr>
            <w:noProof/>
            <w:webHidden/>
          </w:rPr>
          <w:t>23</w:t>
        </w:r>
        <w:r>
          <w:rPr>
            <w:noProof/>
            <w:webHidden/>
          </w:rPr>
          <w:fldChar w:fldCharType="end"/>
        </w:r>
      </w:hyperlink>
    </w:p>
    <w:p>
      <w:pPr>
        <w:pStyle w:val="TOC1"/>
      </w:pPr>
      <w:hyperlink w:anchor="_Toc300000043" w:history="1">
        <w:r>
          <w:rPr>
            <w:noProof/>
          </w:rPr>
          <w:t>15.</w:t>
        </w:r>
        <w:r>
          <w:rPr>
            <w:noProof/>
          </w:rPr>
          <w:tab/>
        </w:r>
        <w:r>
          <w:rPr>
            <w:noProof/>
          </w:rPr>
          <w:t xml:space="preserve">Assumptions register</w:t>
        </w:r>
        <w:r>
          <w:rPr>
            <w:noProof/>
            <w:webHidden/>
          </w:rPr>
          <w:tab/>
        </w:r>
        <w:r>
          <w:rPr>
            <w:noProof/>
            <w:webHidden/>
          </w:rPr>
          <w:fldChar w:fldCharType="begin"/>
        </w:r>
        <w:r>
          <w:rPr>
            <w:noProof/>
            <w:webHidden/>
          </w:rPr>
          <w:instrText xml:space="preserve"> PAGEREF _Toc300000043 \h </w:instrText>
        </w:r>
        <w:r>
          <w:rPr>
            <w:noProof/>
            <w:webHidden/>
          </w:rPr>
          <w:fldChar w:fldCharType="separate"/>
        </w:r>
        <w:r>
          <w:rPr>
            <w:noProof/>
            <w:webHidden/>
          </w:rPr>
          <w:t>23</w:t>
        </w:r>
        <w:r>
          <w:rPr>
            <w:noProof/>
            <w:webHidden/>
          </w:rPr>
          <w:fldChar w:fldCharType="end"/>
        </w:r>
      </w:hyperlink>
    </w:p>
    <w:p>
      <w:pPr>
        <w:pStyle w:val="TOC1"/>
      </w:pPr>
      <w:hyperlink w:anchor="_Toc300000044" w:history="1">
        <w:r>
          <w:rPr>
            <w:noProof/>
          </w:rPr>
          <w:t>16.</w:t>
        </w:r>
        <w:r>
          <w:rPr>
            <w:noProof/>
          </w:rPr>
          <w:tab/>
        </w:r>
        <w:r>
          <w:rPr>
            <w:noProof/>
          </w:rPr>
          <w:t xml:space="preserve">Key risks</w:t>
        </w:r>
        <w:r>
          <w:rPr>
            <w:noProof/>
            <w:webHidden/>
          </w:rPr>
          <w:tab/>
        </w:r>
        <w:r>
          <w:rPr>
            <w:noProof/>
            <w:webHidden/>
          </w:rPr>
          <w:fldChar w:fldCharType="begin"/>
        </w:r>
        <w:r>
          <w:rPr>
            <w:noProof/>
            <w:webHidden/>
          </w:rPr>
          <w:instrText xml:space="preserve"> PAGEREF _Toc300000044 \h </w:instrText>
        </w:r>
        <w:r>
          <w:rPr>
            <w:noProof/>
            <w:webHidden/>
          </w:rPr>
          <w:fldChar w:fldCharType="separate"/>
        </w:r>
        <w:r>
          <w:rPr>
            <w:noProof/>
            <w:webHidden/>
          </w:rPr>
          <w:t>24</w:t>
        </w:r>
        <w:r>
          <w:rPr>
            <w:noProof/>
            <w:webHidden/>
          </w:rPr>
          <w:fldChar w:fldCharType="end"/>
        </w:r>
      </w:hyperlink>
    </w:p>
    <w:p>
      <w:pPr>
        <w:pStyle w:val="TOC1"/>
      </w:pPr>
      <w:hyperlink w:anchor="_Toc300000045" w:history="1">
        <w:r>
          <w:rPr>
            <w:noProof/>
          </w:rPr>
          <w:t>17.</w:t>
        </w:r>
        <w:r>
          <w:rPr>
            <w:noProof/>
          </w:rPr>
          <w:tab/>
        </w:r>
        <w:r>
          <w:rPr>
            <w:noProof/>
          </w:rPr>
          <w:t xml:space="preserve">Appendix</w:t>
        </w:r>
        <w:r>
          <w:rPr>
            <w:noProof/>
            <w:webHidden/>
          </w:rPr>
          <w:tab/>
        </w:r>
        <w:r>
          <w:rPr>
            <w:noProof/>
            <w:webHidden/>
          </w:rPr>
          <w:fldChar w:fldCharType="begin"/>
        </w:r>
        <w:r>
          <w:rPr>
            <w:noProof/>
            <w:webHidden/>
          </w:rPr>
          <w:instrText xml:space="preserve"> PAGEREF _Toc300000045 \h </w:instrText>
        </w:r>
        <w:r>
          <w:rPr>
            <w:noProof/>
            <w:webHidden/>
          </w:rPr>
          <w:fldChar w:fldCharType="separate"/>
        </w:r>
        <w:r>
          <w:rPr>
            <w:noProof/>
            <w:webHidden/>
          </w:rPr>
          <w:t>25</w:t>
        </w:r>
        <w:r>
          <w:rPr>
            <w:noProof/>
            <w:webHidden/>
          </w:rPr>
          <w:fldChar w:fldCharType="end"/>
        </w:r>
      </w:hyperlink>
    </w:p>
    <w:p>
      <w:pPr>
        <w:pStyle w:val="TOC2"/>
      </w:pPr>
      <w:hyperlink w:anchor="_Toc300000046" w:history="1">
        <w:r>
          <w:rPr>
            <w:noProof/>
          </w:rPr>
          <w:t>17.1.</w:t>
        </w:r>
        <w:r>
          <w:rPr>
            <w:noProof/>
          </w:rPr>
          <w:tab/>
        </w:r>
        <w:r>
          <w:rPr>
            <w:noProof/>
          </w:rPr>
          <w:t xml:space="preserve">Mapping to the four challenge tracks</w:t>
        </w:r>
        <w:r>
          <w:rPr>
            <w:noProof/>
            <w:webHidden/>
          </w:rPr>
          <w:tab/>
        </w:r>
        <w:r>
          <w:rPr>
            <w:noProof/>
            <w:webHidden/>
          </w:rPr>
          <w:fldChar w:fldCharType="begin"/>
        </w:r>
        <w:r>
          <w:rPr>
            <w:noProof/>
            <w:webHidden/>
          </w:rPr>
          <w:instrText xml:space="preserve"> PAGEREF _Toc300000046 \h </w:instrText>
        </w:r>
        <w:r>
          <w:rPr>
            <w:noProof/>
            <w:webHidden/>
          </w:rPr>
          <w:fldChar w:fldCharType="separate"/>
        </w:r>
        <w:r>
          <w:rPr>
            <w:noProof/>
            <w:webHidden/>
          </w:rPr>
          <w:t>25</w:t>
        </w:r>
        <w:r>
          <w:rPr>
            <w:noProof/>
            <w:webHidden/>
          </w:rPr>
          <w:fldChar w:fldCharType="end"/>
        </w:r>
      </w:hyperlink>
    </w:p>
    <w:p>
      <w:pPr>
        <w:pStyle w:val="TOC2"/>
      </w:pPr>
      <w:hyperlink w:anchor="_Toc300000047" w:history="1">
        <w:r>
          <w:rPr>
            <w:noProof/>
          </w:rPr>
          <w:t>17.2.</w:t>
        </w:r>
        <w:r>
          <w:rPr>
            <w:noProof/>
          </w:rPr>
          <w:tab/>
        </w:r>
        <w:r>
          <w:rPr>
            <w:noProof/>
          </w:rPr>
          <w:t xml:space="preserve">Fit with TASCO’s evaluation criteria</w:t>
        </w:r>
        <w:r>
          <w:rPr>
            <w:noProof/>
            <w:webHidden/>
          </w:rPr>
          <w:tab/>
        </w:r>
        <w:r>
          <w:rPr>
            <w:noProof/>
            <w:webHidden/>
          </w:rPr>
          <w:fldChar w:fldCharType="begin"/>
        </w:r>
        <w:r>
          <w:rPr>
            <w:noProof/>
            <w:webHidden/>
          </w:rPr>
          <w:instrText xml:space="preserve"> PAGEREF _Toc300000047 \h </w:instrText>
        </w:r>
        <w:r>
          <w:rPr>
            <w:noProof/>
            <w:webHidden/>
          </w:rPr>
          <w:fldChar w:fldCharType="separate"/>
        </w:r>
        <w:r>
          <w:rPr>
            <w:noProof/>
            <w:webHidden/>
          </w:rPr>
          <w:t>25</w:t>
        </w:r>
        <w:r>
          <w:rPr>
            <w:noProof/>
            <w:webHidden/>
          </w:rPr>
          <w:fldChar w:fldCharType="end"/>
        </w:r>
      </w:hyperlink>
    </w:p>
    <w:p>
      <w:pPr>
        <w:pStyle w:val="TOC2"/>
      </w:pPr>
      <w:hyperlink w:anchor="_Toc300000048" w:history="1">
        <w:r>
          <w:rPr>
            <w:noProof/>
          </w:rPr>
          <w:t>17.3.</w:t>
        </w:r>
        <w:r>
          <w:rPr>
            <w:noProof/>
          </w:rPr>
          <w:tab/>
        </w:r>
        <w:r>
          <w:rPr>
            <w:noProof/>
          </w:rPr>
          <w:t xml:space="preserve">Additions beyond the brief</w:t>
        </w:r>
        <w:r>
          <w:rPr>
            <w:noProof/>
            <w:webHidden/>
          </w:rPr>
          <w:tab/>
        </w:r>
        <w:r>
          <w:rPr>
            <w:noProof/>
            <w:webHidden/>
          </w:rPr>
          <w:fldChar w:fldCharType="begin"/>
        </w:r>
        <w:r>
          <w:rPr>
            <w:noProof/>
            <w:webHidden/>
          </w:rPr>
          <w:instrText xml:space="preserve"> PAGEREF _Toc300000048 \h </w:instrText>
        </w:r>
        <w:r>
          <w:rPr>
            <w:noProof/>
            <w:webHidden/>
          </w:rPr>
          <w:fldChar w:fldCharType="separate"/>
        </w:r>
        <w:r>
          <w:rPr>
            <w:noProof/>
            <w:webHidden/>
          </w:rPr>
          <w:t>26</w:t>
        </w:r>
        <w:r>
          <w:rPr>
            <w:noProof/>
            <w:webHidden/>
          </w:rPr>
          <w:fldChar w:fldCharType="end"/>
        </w:r>
      </w:hyperlink>
    </w:p>
    <w:p>
      <w:pPr>
        <w:pStyle w:val="TOC1"/>
      </w:pPr>
      <w:hyperlink w:anchor="_Toc300000049" w:history="1">
        <w:r>
          <w:rPr>
            <w:noProof/>
          </w:rPr>
          <w:t>18.</w:t>
        </w:r>
        <w:r>
          <w:rPr>
            <w:noProof/>
          </w:rPr>
          <w:tab/>
        </w:r>
        <w:r>
          <w:rPr>
            <w:noProof/>
          </w:rPr>
          <w:t xml:space="preserve">Sign-Off</w:t>
        </w:r>
        <w:r>
          <w:rPr>
            <w:noProof/>
            <w:webHidden/>
          </w:rPr>
          <w:tab/>
        </w:r>
        <w:r>
          <w:rPr>
            <w:noProof/>
            <w:webHidden/>
          </w:rPr>
          <w:fldChar w:fldCharType="begin"/>
        </w:r>
        <w:r>
          <w:rPr>
            <w:noProof/>
            <w:webHidden/>
          </w:rPr>
          <w:instrText xml:space="preserve"> PAGEREF _Toc300000049 \h </w:instrText>
        </w:r>
        <w:r>
          <w:rPr>
            <w:noProof/>
            <w:webHidden/>
          </w:rPr>
          <w:fldChar w:fldCharType="separate"/>
        </w:r>
        <w:r>
          <w:rPr>
            <w:noProof/>
            <w:webHidden/>
          </w:rPr>
          <w:t>27</w:t>
        </w:r>
        <w:r>
          <w:rPr>
            <w:noProof/>
            <w:webHidden/>
          </w:rPr>
          <w:fldChar w:fldCharType="end"/>
        </w:r>
      </w:hyperlink>
      <w:r>
        <w:rPr>
          <w:noProof/>
        </w:rPr>
        <w:fldChar w:fldCharType="end"/>
      </w:r>
    </w:p>
    <w:p w14:paraId="375D9C08"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1" w:name="_Toc11824118"/>
      <w:bookmarkStart w:id="2" w:name="_Toc48319687"/>
      <w:bookmarkStart w:id="3" w:name="_Toc300000001"/>
      <w:r w:rsidRPr="00212D69">
        <w:rPr>
          <w:rStyle w:val="BookTitle"/>
          <w:b w:val="0"/>
        </w:rPr>
        <w:t xml:space="preserve"> </w:t>
      </w:r>
      <w:bookmarkStart w:id="4" w:name="_Toc233203387"/>
      <w:r w:rsidRPr="00465CAB">
        <w:rPr>
          <w:rStyle w:val="BookTitle"/>
          <w:bCs w:val="0"/>
          <w:i w:val="0"/>
          <w:iCs w:val="0"/>
          <w:spacing w:val="0"/>
        </w:rPr>
        <w:t>Document Control</w:t>
      </w:r>
      <w:bookmarkEnd w:id="1"/>
      <w:bookmarkEnd w:id="2"/>
      <w:bookmarkEnd w:id="4"/>
      <w:bookmarkEnd w:id="3"/>
    </w:p>
    <w:p w14:paraId="1D37A198" w14:textId="77777777" w:rsidR="002B183A" w:rsidRPr="00CF07C4" w:rsidRDefault="002B183A" w:rsidP="002B183A">
      <w:pPr>
        <w:ind w:right="-180"/>
        <w:rPr>
          <w:rFonts w:ascii="Segoe UI" w:eastAsia="Arial" w:hAnsi="Segoe UI" w:cs="Segoe UI"/>
          <w:color w:val="FF5100"/>
          <w:sz w:val="18"/>
          <w:szCs w:val="18"/>
        </w:rPr>
      </w:pP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1271"/>
        <w:gridCol w:w="980"/>
        <w:gridCol w:w="1800"/>
        <w:gridCol w:w="1588"/>
        <w:gridCol w:w="2117"/>
        <w:gridCol w:w="1271"/>
      </w:tblGrid>
      <w:tr w:rsidR="002B183A" w14:paraId="4E198CD6" w14:textId="77777777" w:rsidTr="002923F3">
        <w:trPr>
          <w:cantSplit/>
          <w:trHeight w:val="440"/>
          <w:tblHeader/>
        </w:trPr>
        <w:tc>
          <w:tcPr>
            <w:tcW w:w="1271" w:type="dxa"/>
            <w:shd w:val="clear" w:color="auto" w:fill="0F4761"/>
            <w:vAlign w:val="center"/>
          </w:tcPr>
          <w:p w14:paraId="7A3F1104"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Date</w:t>
            </w:r>
          </w:p>
        </w:tc>
        <w:tc>
          <w:tcPr>
            <w:tcW w:w="980" w:type="dxa"/>
            <w:shd w:val="clear" w:color="auto" w:fill="0F4761"/>
            <w:vAlign w:val="center"/>
          </w:tcPr>
          <w:p w14:paraId="607CCD9F"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Version</w:t>
            </w:r>
          </w:p>
        </w:tc>
        <w:tc>
          <w:tcPr>
            <w:tcW w:w="1800" w:type="dxa"/>
            <w:shd w:val="clear" w:color="auto" w:fill="0F4761"/>
            <w:vAlign w:val="center"/>
          </w:tcPr>
          <w:p w14:paraId="2EE940A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Author &amp; Business Unit Info</w:t>
            </w:r>
          </w:p>
        </w:tc>
        <w:tc>
          <w:tcPr>
            <w:tcW w:w="1588" w:type="dxa"/>
            <w:shd w:val="clear" w:color="auto" w:fill="0F4761"/>
            <w:vAlign w:val="center"/>
          </w:tcPr>
          <w:p w14:paraId="4563069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Reviewed By &amp; Business Unit Info</w:t>
            </w:r>
          </w:p>
        </w:tc>
        <w:tc>
          <w:tcPr>
            <w:tcW w:w="2117" w:type="dxa"/>
            <w:shd w:val="clear" w:color="auto" w:fill="0F4761"/>
            <w:vAlign w:val="center"/>
          </w:tcPr>
          <w:p w14:paraId="03017FBE"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Approved By &amp; Business Unit Info</w:t>
            </w:r>
          </w:p>
        </w:tc>
        <w:tc>
          <w:tcPr>
            <w:tcW w:w="1271" w:type="dxa"/>
            <w:shd w:val="clear" w:color="auto" w:fill="0F4761"/>
            <w:vAlign w:val="center"/>
          </w:tcPr>
          <w:p w14:paraId="6B8E532B"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Change History</w:t>
            </w:r>
          </w:p>
        </w:tc>
      </w:tr>
      <w:tr w:rsidR="002B183A" w:rsidRPr="00BB346A" w14:paraId="0CC92F71" w14:textId="77777777" w:rsidTr="002923F3">
        <w:trPr>
          <w:cantSplit/>
          <w:trHeight w:val="449"/>
        </w:trPr>
        <w:tc>
          <w:tcPr>
            <w:tcW w:w="1271" w:type="dxa"/>
            <w:vAlign w:val="top"/>
          </w:tcPr>
          <w:p w14:paraId="453CD405"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07/10/2026</w:t>
            </w:r>
          </w:p>
        </w:tc>
        <w:tc>
          <w:tcPr>
            <w:tcW w:w="980" w:type="dxa"/>
            <w:vAlign w:val="top"/>
          </w:tcPr>
          <w:p w14:paraId="499E9B55"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1.0</w:t>
            </w:r>
          </w:p>
        </w:tc>
        <w:tc>
          <w:tcPr>
            <w:tcW w:w="1800" w:type="dxa"/>
            <w:vAlign w:val="top"/>
          </w:tcPr>
          <w:p w14:paraId="64B9EBB6"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iorta TechNXT</w:t>
            </w:r>
            <w:r>
              <w:rPr>
                <w:rFonts w:ascii="Segoe UI" w:eastAsia="Arial" w:hAnsi="Segoe UI" w:cs="Segoe UI"/>
                <w:color w:val="101820"/>
                <w:sz w:val="16"/>
                <w:szCs w:val="16"/>
              </w:rPr>
              <w:br/>
              <w:t xml:space="preserve">Business Consulting</w:t>
            </w:r>
          </w:p>
        </w:tc>
        <w:tc>
          <w:tcPr>
            <w:tcW w:w="1588" w:type="dxa"/>
            <w:vAlign w:val="top"/>
          </w:tcPr>
          <w:p w14:paraId="4B948B2B"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r>
              <w:rPr>
                <w:rFonts w:ascii="Segoe UI" w:eastAsia="Arial" w:hAnsi="Segoe UI" w:cs="Segoe UI"/>
                <w:color w:val="101820"/>
                <w:sz w:val="16"/>
                <w:szCs w:val="16"/>
              </w:rPr>
              <w:br/>
              <w:t xml:space="preserve">Head of Motor Distribution</w:t>
            </w:r>
          </w:p>
        </w:tc>
        <w:tc>
          <w:tcPr>
            <w:tcW w:w="2117" w:type="dxa"/>
            <w:vAlign w:val="top"/>
          </w:tcPr>
          <w:p w14:paraId="1CABD999"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r>
              <w:rPr>
                <w:rFonts w:ascii="Segoe UI" w:eastAsia="Arial" w:hAnsi="Segoe UI" w:cs="Segoe UI"/>
                <w:color w:val="101820"/>
                <w:sz w:val="16"/>
                <w:szCs w:val="16"/>
              </w:rPr>
              <w:br/>
              <w:t xml:space="preserve">Programme Sponsor</w:t>
            </w:r>
          </w:p>
        </w:tc>
        <w:tc>
          <w:tcPr>
            <w:tcW w:w="1271" w:type="dxa"/>
            <w:vAlign w:val="top"/>
          </w:tcPr>
          <w:p w14:paraId="07C7886B"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Initial issue for submission</w:t>
            </w:r>
          </w:p>
        </w:tc>
      </w:tr>
    </w:tbl>
    <w:p w14:paraId="1D2DA8DE" w14:textId="77777777" w:rsidR="002B183A" w:rsidRDefault="002B183A" w:rsidP="002B183A">
      <w:pPr>
        <w:rPr>
          <w:rFonts w:ascii="Segoe UI" w:hAnsi="Segoe UI" w:cs="Segoe UI"/>
          <w:sz w:val="18"/>
          <w:szCs w:val="16"/>
          <w:lang w:bidi="en-US"/>
        </w:rPr>
      </w:pP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5" w:name="_Toc233203388"/>
      <w:bookmarkStart w:id="6" w:name="_Toc300000002"/>
      <w:r>
        <w:rPr>
          <w:rStyle w:val="BookTitle"/>
          <w:bCs w:val="0"/>
          <w:i w:val="0"/>
          <w:iCs w:val="0"/>
          <w:spacing w:val="0"/>
        </w:rPr>
        <w:t>Acronyms</w:t>
      </w:r>
      <w:bookmarkEnd w:id="5"/>
      <w:bookmarkEnd w:id="6"/>
    </w:p>
    <w:p w14:paraId="4F3BFBCC" w14:textId="77777777" w:rsidR="002B183A" w:rsidRPr="00CF07C4" w:rsidRDefault="002B183A" w:rsidP="002B183A">
      <w:pPr>
        <w:ind w:right="-180"/>
        <w:rPr>
          <w:rFonts w:ascii="Segoe UI" w:eastAsia="Arial" w:hAnsi="Segoe UI" w:cs="Segoe UI"/>
          <w:color w:val="FF5100"/>
          <w:sz w:val="18"/>
          <w:szCs w:val="18"/>
        </w:rPr>
      </w:pPr>
    </w:p>
    <w:tbl>
      <w:tblPr>
        <w:tblStyle w:val="TableGrid"/>
        <w:tblW w:w="348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1581"/>
        <w:gridCol w:w="7446"/>
      </w:tblGrid>
      <w:tr w:rsidR="002B183A" w14:paraId="388F227F" w14:textId="77777777" w:rsidTr="002923F3">
        <w:trPr>
          <w:cantSplit/>
          <w:trHeight w:val="440"/>
          <w:tblHeader/>
        </w:trPr>
        <w:tc>
          <w:tcPr>
            <w:tcW w:w="1581" w:type="dxa"/>
            <w:shd w:val="clear" w:color="auto" w:fill="0F4761"/>
            <w:vAlign w:val="center"/>
          </w:tcPr>
          <w:p w14:paraId="4B379853"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FFFFFF"/>
                <w:sz w:val="16"/>
                <w:szCs w:val="16"/>
              </w:rPr>
              <w:t>Acronym / Symbol</w:t>
            </w:r>
          </w:p>
        </w:tc>
        <w:tc>
          <w:tcPr>
            <w:tcW w:w="7446" w:type="dxa"/>
            <w:shd w:val="clear" w:color="auto" w:fill="0F4761"/>
            <w:vAlign w:val="center"/>
          </w:tcPr>
          <w:p w14:paraId="2EDB927A"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FFFFFF"/>
                <w:sz w:val="16"/>
                <w:szCs w:val="16"/>
              </w:rPr>
              <w:t>Definition / Meaning</w:t>
            </w:r>
          </w:p>
        </w:tc>
      </w:tr>
      <w:tr w:rsidR="002B183A" w:rsidRPr="00BB346A" w14:paraId="73CFB63E" w14:textId="77777777" w:rsidTr="002923F3">
        <w:trPr>
          <w:cantSplit/>
          <w:trHeight w:val="449"/>
        </w:trPr>
        <w:tc>
          <w:tcPr>
            <w:tcW w:w="158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A/B</w:t>
            </w:r>
          </w:p>
        </w:tc>
        <w:tc>
          <w:tcPr>
            <w:tcW w:w="744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Split testing of two variants</w:t>
            </w:r>
          </w:p>
        </w:tc>
      </w:tr>
      <w:tr w:rsidR="002B183A" w:rsidRPr="00BB346A" w14:paraId="73CFB63E" w14:textId="77777777" w:rsidTr="002923F3">
        <w:trPr>
          <w:cantSplit/>
          <w:trHeight w:val="449"/>
        </w:trPr>
        <w:tc>
          <w:tcPr>
            <w:tcW w:w="158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API</w:t>
            </w:r>
          </w:p>
        </w:tc>
        <w:tc>
          <w:tcPr>
            <w:tcW w:w="744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Application Programming Interface</w:t>
            </w:r>
          </w:p>
        </w:tc>
      </w:tr>
      <w:tr w:rsidR="002B183A" w:rsidRPr="00BB346A" w14:paraId="73CFB63E" w14:textId="77777777" w:rsidTr="002923F3">
        <w:trPr>
          <w:cantSplit/>
          <w:trHeight w:val="449"/>
        </w:trPr>
        <w:tc>
          <w:tcPr>
            <w:tcW w:w="158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B2B</w:t>
            </w:r>
          </w:p>
        </w:tc>
        <w:tc>
          <w:tcPr>
            <w:tcW w:w="744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Business to business</w:t>
            </w:r>
          </w:p>
        </w:tc>
      </w:tr>
      <w:tr w:rsidR="002B183A" w:rsidRPr="00BB346A" w14:paraId="73CFB63E" w14:textId="77777777" w:rsidTr="002923F3">
        <w:trPr>
          <w:cantSplit/>
          <w:trHeight w:val="449"/>
        </w:trPr>
        <w:tc>
          <w:tcPr>
            <w:tcW w:w="158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ETC</w:t>
            </w:r>
          </w:p>
        </w:tc>
        <w:tc>
          <w:tcPr>
            <w:tcW w:w="744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Electronic toll collection</w:t>
            </w:r>
          </w:p>
        </w:tc>
      </w:tr>
      <w:tr w:rsidR="002B183A" w:rsidRPr="00BB346A" w14:paraId="73CFB63E" w14:textId="77777777" w:rsidTr="002923F3">
        <w:trPr>
          <w:cantSplit/>
          <w:trHeight w:val="449"/>
        </w:trPr>
        <w:tc>
          <w:tcPr>
            <w:tcW w:w="158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FR</w:t>
            </w:r>
          </w:p>
        </w:tc>
        <w:tc>
          <w:tcPr>
            <w:tcW w:w="744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Functional requirement</w:t>
            </w:r>
          </w:p>
        </w:tc>
      </w:tr>
      <w:tr w:rsidR="002B183A" w:rsidRPr="00BB346A" w14:paraId="73CFB63E" w14:textId="77777777" w:rsidTr="002923F3">
        <w:trPr>
          <w:cantSplit/>
          <w:trHeight w:val="449"/>
        </w:trPr>
        <w:tc>
          <w:tcPr>
            <w:tcW w:w="158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ID</w:t>
            </w:r>
          </w:p>
        </w:tc>
        <w:tc>
          <w:tcPr>
            <w:tcW w:w="744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Identifier</w:t>
            </w:r>
          </w:p>
        </w:tc>
      </w:tr>
      <w:tr w:rsidR="002B183A" w:rsidRPr="00BB346A" w14:paraId="73CFB63E" w14:textId="77777777" w:rsidTr="002923F3">
        <w:trPr>
          <w:cantSplit/>
          <w:trHeight w:val="449"/>
        </w:trPr>
        <w:tc>
          <w:tcPr>
            <w:tcW w:w="158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IT</w:t>
            </w:r>
          </w:p>
        </w:tc>
        <w:tc>
          <w:tcPr>
            <w:tcW w:w="744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Information technology</w:t>
            </w:r>
          </w:p>
        </w:tc>
      </w:tr>
      <w:tr w:rsidR="002B183A" w:rsidRPr="00BB346A" w14:paraId="73CFB63E" w14:textId="77777777" w:rsidTr="002923F3">
        <w:trPr>
          <w:cantSplit/>
          <w:trHeight w:val="449"/>
        </w:trPr>
        <w:tc>
          <w:tcPr>
            <w:tcW w:w="158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KPI</w:t>
            </w:r>
          </w:p>
        </w:tc>
        <w:tc>
          <w:tcPr>
            <w:tcW w:w="744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Key performance indicator</w:t>
            </w:r>
          </w:p>
        </w:tc>
      </w:tr>
      <w:tr w:rsidR="002B183A" w:rsidRPr="00BB346A" w14:paraId="73CFB63E" w14:textId="77777777" w:rsidTr="002923F3">
        <w:trPr>
          <w:cantSplit/>
          <w:trHeight w:val="449"/>
        </w:trPr>
        <w:tc>
          <w:tcPr>
            <w:tcW w:w="158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MVP</w:t>
            </w:r>
          </w:p>
        </w:tc>
        <w:tc>
          <w:tcPr>
            <w:tcW w:w="744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Minimum viable product</w:t>
            </w:r>
          </w:p>
        </w:tc>
      </w:tr>
      <w:tr w:rsidR="002B183A" w:rsidRPr="00BB346A" w14:paraId="73CFB63E" w14:textId="77777777" w:rsidTr="002923F3">
        <w:trPr>
          <w:cantSplit/>
          <w:trHeight w:val="449"/>
        </w:trPr>
        <w:tc>
          <w:tcPr>
            <w:tcW w:w="158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OTP</w:t>
            </w:r>
          </w:p>
        </w:tc>
        <w:tc>
          <w:tcPr>
            <w:tcW w:w="744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One-time password</w:t>
            </w:r>
          </w:p>
        </w:tc>
      </w:tr>
      <w:tr w:rsidR="002B183A" w:rsidRPr="00BB346A" w14:paraId="73CFB63E" w14:textId="77777777" w:rsidTr="002923F3">
        <w:trPr>
          <w:cantSplit/>
          <w:trHeight w:val="449"/>
        </w:trPr>
        <w:tc>
          <w:tcPr>
            <w:tcW w:w="158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QR</w:t>
            </w:r>
          </w:p>
        </w:tc>
        <w:tc>
          <w:tcPr>
            <w:tcW w:w="744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Quick response (code)</w:t>
            </w:r>
          </w:p>
        </w:tc>
      </w:tr>
      <w:tr w:rsidR="002B183A" w:rsidRPr="00BB346A" w14:paraId="73CFB63E" w14:textId="77777777" w:rsidTr="002923F3">
        <w:trPr>
          <w:cantSplit/>
          <w:trHeight w:val="449"/>
        </w:trPr>
        <w:tc>
          <w:tcPr>
            <w:tcW w:w="158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SEG</w:t>
            </w:r>
          </w:p>
        </w:tc>
        <w:tc>
          <w:tcPr>
            <w:tcW w:w="744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Growth segment</w:t>
            </w:r>
          </w:p>
        </w:tc>
      </w:tr>
      <w:tr w:rsidR="002B183A" w:rsidRPr="00BB346A" w14:paraId="73CFB63E" w14:textId="77777777" w:rsidTr="002923F3">
        <w:trPr>
          <w:cantSplit/>
          <w:trHeight w:val="449"/>
        </w:trPr>
        <w:tc>
          <w:tcPr>
            <w:tcW w:w="158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SIT</w:t>
            </w:r>
          </w:p>
        </w:tc>
        <w:tc>
          <w:tcPr>
            <w:tcW w:w="744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System integration testing</w:t>
            </w:r>
          </w:p>
        </w:tc>
      </w:tr>
      <w:tr w:rsidR="002B183A" w:rsidRPr="00BB346A" w14:paraId="73CFB63E" w14:textId="77777777" w:rsidTr="002923F3">
        <w:trPr>
          <w:cantSplit/>
          <w:trHeight w:val="449"/>
        </w:trPr>
        <w:tc>
          <w:tcPr>
            <w:tcW w:w="158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SMS</w:t>
            </w:r>
          </w:p>
        </w:tc>
        <w:tc>
          <w:tcPr>
            <w:tcW w:w="744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Short message service</w:t>
            </w:r>
          </w:p>
        </w:tc>
      </w:tr>
      <w:tr w:rsidR="002B183A" w:rsidRPr="00BB346A" w14:paraId="73CFB63E" w14:textId="77777777" w:rsidTr="002923F3">
        <w:trPr>
          <w:cantSplit/>
          <w:trHeight w:val="449"/>
        </w:trPr>
        <w:tc>
          <w:tcPr>
            <w:tcW w:w="158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SSO</w:t>
            </w:r>
          </w:p>
        </w:tc>
        <w:tc>
          <w:tcPr>
            <w:tcW w:w="744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Single sign-on</w:t>
            </w:r>
          </w:p>
        </w:tc>
      </w:tr>
      <w:tr w:rsidR="002B183A" w:rsidRPr="00BB346A" w14:paraId="73CFB63E" w14:textId="77777777" w:rsidTr="002923F3">
        <w:trPr>
          <w:cantSplit/>
          <w:trHeight w:val="449"/>
        </w:trPr>
        <w:tc>
          <w:tcPr>
            <w:tcW w:w="158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TNDS</w:t>
            </w:r>
          </w:p>
        </w:tc>
        <w:tc>
          <w:tcPr>
            <w:tcW w:w="744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Compulsory motor third-party liability insurance (Bảo hiểm TNDS bắt buộc)</w:t>
            </w:r>
          </w:p>
        </w:tc>
      </w:tr>
      <w:tr w:rsidR="002B183A" w:rsidRPr="00BB346A" w14:paraId="73CFB63E" w14:textId="77777777" w:rsidTr="002923F3">
        <w:trPr>
          <w:cantSplit/>
          <w:trHeight w:val="449"/>
        </w:trPr>
        <w:tc>
          <w:tcPr>
            <w:tcW w:w="158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UAT</w:t>
            </w:r>
          </w:p>
        </w:tc>
        <w:tc>
          <w:tcPr>
            <w:tcW w:w="744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User acceptance testing</w:t>
            </w:r>
          </w:p>
        </w:tc>
      </w:tr>
      <w:tr w:rsidR="002B183A" w:rsidRPr="00BB346A" w14:paraId="73CFB63E" w14:textId="77777777" w:rsidTr="002923F3">
        <w:trPr>
          <w:cantSplit/>
          <w:trHeight w:val="449"/>
        </w:trPr>
        <w:tc>
          <w:tcPr>
            <w:tcW w:w="158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VAT</w:t>
            </w:r>
          </w:p>
        </w:tc>
        <w:tc>
          <w:tcPr>
            <w:tcW w:w="744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Value-added tax</w:t>
            </w:r>
          </w:p>
        </w:tc>
      </w:tr>
      <w:tr w:rsidR="002B183A" w:rsidRPr="00BB346A" w14:paraId="73CFB63E" w14:textId="77777777" w:rsidTr="002923F3">
        <w:trPr>
          <w:cantSplit/>
          <w:trHeight w:val="449"/>
        </w:trPr>
        <w:tc>
          <w:tcPr>
            <w:tcW w:w="158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ZNS</w:t>
            </w:r>
          </w:p>
        </w:tc>
        <w:tc>
          <w:tcPr>
            <w:tcW w:w="744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Zalo Notification Service</w:t>
            </w:r>
          </w:p>
        </w:tc>
      </w:tr>
    </w:tbl>
    <w:p w14:paraId="12E0A58E"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7" w:name="_Toc300000003"/>
      <w:r>
        <w:rPr>
          <w:rStyle w:val="BookTitle"/>
          <w:bCs w:val="0"/>
          <w:i w:val="0"/>
          <w:iCs w:val="0"/>
          <w:spacing w:val="0"/>
        </w:rPr>
        <w:t xml:space="preserve">Introduction</w:t>
      </w:r>
      <w:bookmarkEnd w:id="7"/>
    </w:p>
    <w:p>
      <w:pPr>
        <w:pStyle w:val="Heading2"/>
      </w:pPr>
      <w:bookmarkStart w:id="8" w:name="_Toc300000004"/>
      <w:r>
        <w:t xml:space="preserve">Purpose</w:t>
      </w:r>
      <w:bookmarkEnd w:id="8"/>
    </w:p>
    <w:p>
      <w:pPr>
        <w:pStyle w:val="FirstParagraph"/>
      </w:pPr>
      <w:r>
        <w:t xml:space="preserve">This document sets out why TASCO Insurance sells almost no motor policies through its own channels today, and the growth strategy the TASCO Growth Platform is built to deliver. It covers the target segments, the channel, value, trust and data strategies, the roadmap, the KPIs and an illustrative business case.</w:t>
      </w:r>
    </w:p>
    <w:p>
      <w:pPr>
        <w:pStyle w:val="Heading2"/>
      </w:pPr>
      <w:bookmarkStart w:id="9" w:name="_Toc300000005"/>
      <w:r>
        <w:t xml:space="preserve">Scope</w:t>
      </w:r>
      <w:bookmarkEnd w:id="9"/>
    </w:p>
    <w:p>
      <w:pPr>
        <w:pStyle w:val="FirstParagraph"/>
      </w:pPr>
      <w:r>
        <w:t xml:space="preserve">The strategy covers compulsory motor third-party liability insurance (TNDS) for cars and motorbikes, personal accident cover per seat and physical damage cover, sold to the VETC driver base through the VETC app, Zalo, SMS, an AI voice assistant, telesales and partners. It covers new business as well as renewals. Claims handling beyond the first notice of loss stays in TASCO core.</w:t>
      </w:r>
    </w:p>
    <w:p>
      <w:pPr>
        <w:pStyle w:val="BodyText"/>
      </w:pPr>
      <w:r>
        <w:t xml:space="preserve">Statements about TASCO, VETC and the market come from the client brief. Statements about the platform describe the software running today in the UAT environment. Every other figure is an assumption, labelled A-nn and listed in the Assumptions register section. All financial figures are illustrative until replaced with TASCO data during discovery.</w:t>
      </w:r>
    </w:p>
    <w:p>
      <w:pPr>
        <w:pStyle w:val="Heading2"/>
      </w:pPr>
      <w:bookmarkStart w:id="10" w:name="_Toc300000006"/>
      <w:r>
        <w:t xml:space="preserve">Audience</w:t>
      </w:r>
      <w:bookmarkEnd w:id="10"/>
    </w:p>
    <w:p>
      <w:pPr>
        <w:pStyle w:val="FirstParagraph"/>
      </w:pPr>
      <w:r>
        <w:t xml:space="preserve">TASCO Insurance and VETC executives, the steering committee, the TASCO product owner and the distribution, finance and compliance teams.</w:t>
      </w:r>
    </w:p>
    <w:p>
      <w:pPr>
        <w:pStyle w:val="Heading2"/>
      </w:pPr>
      <w:bookmarkStart w:id="11" w:name="_Toc300000007"/>
      <w:r>
        <w:t xml:space="preserve">Related documents</w:t>
      </w:r>
      <w:bookmarkEnd w:id="11"/>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343"/>
        <w:gridCol w:w="6684"/>
      </w:tblGrid>
      <w:tr>
        <w:trPr>
          <w:cantSplit/>
          <w:tblHeader/>
        </w:trPr>
        <w:tc>
          <w:tcPr>
            <w:tcW w:w="2343" w:type="dxa"/>
            <w:shd w:val="clear" w:color="auto" w:fill="0F4761"/>
            <w:vAlign w:val="center"/>
          </w:tcPr>
          <w:p>
            <w:pPr>
              <w:pStyle w:val="TableHeading"/>
              <w:jc w:val="left"/>
            </w:pPr>
            <w:r>
              <w:rPr>
                <w:color w:val="FFFFFF"/>
              </w:rPr>
              <w:t xml:space="preserve">ID</w:t>
            </w:r>
          </w:p>
        </w:tc>
        <w:tc>
          <w:tcPr>
            <w:tcW w:w="6684" w:type="dxa"/>
            <w:shd w:val="clear" w:color="auto" w:fill="0F4761"/>
            <w:vAlign w:val="center"/>
          </w:tcPr>
          <w:p>
            <w:pPr>
              <w:pStyle w:val="TableHeading"/>
              <w:jc w:val="left"/>
            </w:pPr>
            <w:r>
              <w:rPr>
                <w:color w:val="FFFFFF"/>
              </w:rPr>
              <w:t xml:space="preserve">Title</w:t>
            </w:r>
          </w:p>
        </w:tc>
      </w:tr>
      <w:tr>
        <w:trPr>
          <w:cantSplit/>
        </w:trPr>
        <w:tc>
          <w:tcPr>
            <w:tcW w:w="2343" w:type="dxa"/>
            <w:noWrap/>
            <w:vAlign w:val="top"/>
          </w:tcPr>
          <w:p>
            <w:pPr>
              <w:pStyle w:val="TableText"/>
              <w:jc w:val="left"/>
            </w:pPr>
            <w:r>
              <w:t xml:space="preserve">TGP-BUS-02</w:t>
            </w:r>
          </w:p>
        </w:tc>
        <w:tc>
          <w:tcPr>
            <w:tcW w:w="6684" w:type="dxa"/>
            <w:vAlign w:val="top"/>
          </w:tcPr>
          <w:p>
            <w:pPr>
              <w:pStyle w:val="TableText"/>
              <w:jc w:val="left"/>
            </w:pPr>
            <w:r>
              <w:t xml:space="preserve">Functional Requirements Specification</w:t>
            </w:r>
          </w:p>
        </w:tc>
      </w:tr>
      <w:tr>
        <w:trPr>
          <w:cantSplit/>
        </w:trPr>
        <w:tc>
          <w:tcPr>
            <w:tcW w:w="2343" w:type="dxa"/>
            <w:shd w:val="clear" w:color="auto" w:fill="F4F7FB"/>
            <w:noWrap/>
            <w:vAlign w:val="top"/>
          </w:tcPr>
          <w:p>
            <w:pPr>
              <w:pStyle w:val="TableText"/>
              <w:jc w:val="left"/>
            </w:pPr>
            <w:r>
              <w:t xml:space="preserve">TGP-BUS-03</w:t>
            </w:r>
          </w:p>
        </w:tc>
        <w:tc>
          <w:tcPr>
            <w:tcW w:w="6684" w:type="dxa"/>
            <w:shd w:val="clear" w:color="auto" w:fill="F4F7FB"/>
            <w:vAlign w:val="top"/>
          </w:tcPr>
          <w:p>
            <w:pPr>
              <w:pStyle w:val="TableText"/>
              <w:jc w:val="left"/>
            </w:pPr>
            <w:r>
              <w:t xml:space="preserve">Non-Functional Requirements</w:t>
            </w:r>
          </w:p>
        </w:tc>
      </w:tr>
      <w:tr>
        <w:trPr>
          <w:cantSplit/>
        </w:trPr>
        <w:tc>
          <w:tcPr>
            <w:tcW w:w="2343" w:type="dxa"/>
            <w:noWrap/>
            <w:vAlign w:val="top"/>
          </w:tcPr>
          <w:p>
            <w:pPr>
              <w:pStyle w:val="TableText"/>
              <w:jc w:val="left"/>
            </w:pPr>
            <w:r>
              <w:t xml:space="preserve">TGP-BUS-05</w:t>
            </w:r>
          </w:p>
        </w:tc>
        <w:tc>
          <w:tcPr>
            <w:tcW w:w="6684" w:type="dxa"/>
            <w:vAlign w:val="top"/>
          </w:tcPr>
          <w:p>
            <w:pPr>
              <w:pStyle w:val="TableText"/>
              <w:jc w:val="left"/>
            </w:pPr>
            <w:r>
              <w:t xml:space="preserve">Requirements Traceability Matrix</w:t>
            </w:r>
          </w:p>
        </w:tc>
      </w:tr>
      <w:tr>
        <w:trPr>
          <w:cantSplit/>
        </w:trPr>
        <w:tc>
          <w:tcPr>
            <w:tcW w:w="2343" w:type="dxa"/>
            <w:shd w:val="clear" w:color="auto" w:fill="F4F7FB"/>
            <w:noWrap/>
            <w:vAlign w:val="top"/>
          </w:tcPr>
          <w:p>
            <w:pPr>
              <w:pStyle w:val="TableText"/>
              <w:jc w:val="left"/>
            </w:pPr>
            <w:r>
              <w:t xml:space="preserve">TGP-BUS-06</w:t>
            </w:r>
          </w:p>
        </w:tc>
        <w:tc>
          <w:tcPr>
            <w:tcW w:w="6684" w:type="dxa"/>
            <w:shd w:val="clear" w:color="auto" w:fill="F4F7FB"/>
            <w:vAlign w:val="top"/>
          </w:tcPr>
          <w:p>
            <w:pPr>
              <w:pStyle w:val="TableText"/>
              <w:jc w:val="left"/>
            </w:pPr>
            <w:r>
              <w:t xml:space="preserve">Personas and Customer Journeys</w:t>
            </w:r>
          </w:p>
        </w:tc>
      </w:tr>
      <w:tr>
        <w:trPr>
          <w:cantSplit/>
        </w:trPr>
        <w:tc>
          <w:tcPr>
            <w:tcW w:w="2343" w:type="dxa"/>
            <w:noWrap/>
            <w:vAlign w:val="top"/>
          </w:tcPr>
          <w:p>
            <w:pPr>
              <w:pStyle w:val="TableText"/>
              <w:jc w:val="left"/>
            </w:pPr>
            <w:r>
              <w:t xml:space="preserve">TGP-BUS-07</w:t>
            </w:r>
          </w:p>
        </w:tc>
        <w:tc>
          <w:tcPr>
            <w:tcW w:w="6684" w:type="dxa"/>
            <w:vAlign w:val="top"/>
          </w:tcPr>
          <w:p>
            <w:pPr>
              <w:pStyle w:val="TableText"/>
              <w:jc w:val="left"/>
            </w:pPr>
            <w:r>
              <w:t xml:space="preserve">Commercials and Engagement Model</w:t>
            </w:r>
          </w:p>
        </w:tc>
      </w:tr>
      <w:tr>
        <w:trPr>
          <w:cantSplit/>
        </w:trPr>
        <w:tc>
          <w:tcPr>
            <w:tcW w:w="2343" w:type="dxa"/>
            <w:shd w:val="clear" w:color="auto" w:fill="F4F7FB"/>
            <w:noWrap/>
            <w:vAlign w:val="top"/>
          </w:tcPr>
          <w:p>
            <w:pPr>
              <w:pStyle w:val="TableText"/>
              <w:jc w:val="left"/>
            </w:pPr>
            <w:r>
              <w:t xml:space="preserve">TGP-ARC-02</w:t>
            </w:r>
          </w:p>
        </w:tc>
        <w:tc>
          <w:tcPr>
            <w:tcW w:w="6684" w:type="dxa"/>
            <w:shd w:val="clear" w:color="auto" w:fill="F4F7FB"/>
            <w:vAlign w:val="top"/>
          </w:tcPr>
          <w:p>
            <w:pPr>
              <w:pStyle w:val="TableText"/>
              <w:jc w:val="left"/>
            </w:pPr>
            <w:r>
              <w:t xml:space="preserve">Integration Architecture</w:t>
            </w:r>
          </w:p>
        </w:tc>
      </w:tr>
      <w:tr>
        <w:trPr>
          <w:cantSplit/>
        </w:trPr>
        <w:tc>
          <w:tcPr>
            <w:tcW w:w="2343" w:type="dxa"/>
            <w:noWrap/>
            <w:vAlign w:val="top"/>
          </w:tcPr>
          <w:p>
            <w:pPr>
              <w:pStyle w:val="TableText"/>
              <w:jc w:val="left"/>
            </w:pPr>
            <w:r>
              <w:t xml:space="preserve">TGP-DEL-04</w:t>
            </w:r>
          </w:p>
        </w:tc>
        <w:tc>
          <w:tcPr>
            <w:tcW w:w="6684" w:type="dxa"/>
            <w:vAlign w:val="top"/>
          </w:tcPr>
          <w:p>
            <w:pPr>
              <w:pStyle w:val="TableText"/>
              <w:jc w:val="left"/>
            </w:pPr>
            <w:r>
              <w:t xml:space="preserve">Risk Register</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2" w:name="_Toc300000008"/>
      <w:r>
        <w:rPr>
          <w:rStyle w:val="BookTitle"/>
          <w:bCs w:val="0"/>
          <w:i w:val="0"/>
          <w:iCs w:val="0"/>
          <w:spacing w:val="0"/>
        </w:rPr>
        <w:t xml:space="preserve">Executive summary</w:t>
      </w:r>
      <w:bookmarkEnd w:id="12"/>
    </w:p>
    <w:p>
      <w:pPr>
        <w:pStyle w:val="FirstParagraph"/>
      </w:pPr>
      <w:r>
        <w:t xml:space="preserve">VETC, the electronic toll collection operator of the Tasco group, serves about 6 million car drivers, and 70 to 80% of them use the VETC app. Every one of those drivers must hold TNDS cover. Today TASCO sells motor insurance mainly through agents, banks, car showrooms and corporate partners. Its own channels (app push and telesales) are small, and no renewals have been closed through them this year.</w:t>
      </w:r>
    </w:p>
    <w:p>
      <w:pPr>
        <w:pStyle w:val="BodyText"/>
      </w:pPr>
      <w:r>
        <w:t xml:space="preserve">Demand is not the problem. TNDS is compulsory and drivers need a valid certificate at inspection (đăng kiểm) and at roadside checks. Own-channel sales are close to zero for four reasons that reinforce each other:</w:t>
      </w:r>
    </w:p>
    <w:p>
      <w:pPr>
        <w:pStyle w:val="Compact"/>
        <w:numPr>
          <w:ilvl w:val="0"/>
          <w:numId w:val="1001"/>
        </w:numPr>
      </w:pPr>
      <w:r>
        <w:t xml:space="preserve">Data. Only about one record in ten carries a reliable expiry date, so TASCO does not know when most drivers need to renew.</w:t>
      </w:r>
    </w:p>
    <w:p>
      <w:pPr>
        <w:pStyle w:val="Compact"/>
        <w:numPr>
          <w:ilvl w:val="0"/>
          <w:numId w:val="1001"/>
        </w:numPr>
      </w:pPr>
      <w:r>
        <w:t xml:space="preserve">Trust. Drivers screen out unknown callers offering insurance.</w:t>
      </w:r>
    </w:p>
    <w:p>
      <w:pPr>
        <w:pStyle w:val="Compact"/>
        <w:numPr>
          <w:ilvl w:val="0"/>
          <w:numId w:val="1001"/>
        </w:numPr>
      </w:pPr>
      <w:r>
        <w:t xml:space="preserve">Price. TNDS premiums are set by regulation and discounts are not permitted, yet most customers wait for one.</w:t>
      </w:r>
    </w:p>
    <w:p>
      <w:pPr>
        <w:pStyle w:val="Compact"/>
        <w:numPr>
          <w:ilvl w:val="0"/>
          <w:numId w:val="1001"/>
        </w:numPr>
      </w:pPr>
      <w:r>
        <w:t xml:space="preserve">Channel friction. The VETC app cannot complete a purchase, so a partner closes the sale.</w:t>
      </w:r>
    </w:p>
    <w:p>
      <w:pPr>
        <w:pStyle w:val="FirstParagraph"/>
      </w:pPr>
      <w:r>
        <w:t xml:space="preserve">The TASCO Growth Platform addresses all four together. It competes on data, trust and service, never on price, and it covers new business as well as retention.</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284"/>
        <w:gridCol w:w="6743"/>
      </w:tblGrid>
      <w:tr>
        <w:trPr>
          <w:cantSplit/>
          <w:tblHeader/>
        </w:trPr>
        <w:tc>
          <w:tcPr>
            <w:tcW w:w="2284" w:type="dxa"/>
            <w:shd w:val="clear" w:color="auto" w:fill="0F4761"/>
            <w:vAlign w:val="center"/>
          </w:tcPr>
          <w:p>
            <w:pPr>
              <w:pStyle w:val="TableHeading"/>
              <w:jc w:val="left"/>
            </w:pPr>
            <w:r>
              <w:rPr>
                <w:color w:val="FFFFFF"/>
              </w:rPr>
              <w:t xml:space="preserve">Lever</w:t>
            </w:r>
          </w:p>
        </w:tc>
        <w:tc>
          <w:tcPr>
            <w:tcW w:w="6743" w:type="dxa"/>
            <w:shd w:val="clear" w:color="auto" w:fill="0F4761"/>
            <w:vAlign w:val="center"/>
          </w:tcPr>
          <w:p>
            <w:pPr>
              <w:pStyle w:val="TableHeading"/>
              <w:jc w:val="left"/>
            </w:pPr>
            <w:r>
              <w:rPr>
                <w:color w:val="FFFFFF"/>
              </w:rPr>
              <w:t xml:space="preserve">What the platform does</w:t>
            </w:r>
          </w:p>
        </w:tc>
      </w:tr>
      <w:tr>
        <w:trPr>
          <w:cantSplit/>
        </w:trPr>
        <w:tc>
          <w:tcPr>
            <w:tcW w:w="2284" w:type="dxa"/>
            <w:vAlign w:val="top"/>
          </w:tcPr>
          <w:p>
            <w:pPr>
              <w:pStyle w:val="TableText"/>
              <w:jc w:val="left"/>
            </w:pPr>
            <w:r>
              <w:t xml:space="preserve">Data-repair loop</w:t>
            </w:r>
          </w:p>
        </w:tc>
        <w:tc>
          <w:tcPr>
            <w:tcW w:w="6743" w:type="dxa"/>
            <w:vAlign w:val="top"/>
          </w:tcPr>
          <w:p>
            <w:pPr>
              <w:pStyle w:val="TableText"/>
              <w:jc w:val="left"/>
            </w:pPr>
            <w:r>
              <w:t xml:space="preserve">Merges records from all sources into one profile per plate, estimates the expiry date with a stated confidence and improves the record with every contact</w:t>
            </w:r>
          </w:p>
        </w:tc>
      </w:tr>
      <w:tr>
        <w:trPr>
          <w:cantSplit/>
        </w:trPr>
        <w:tc>
          <w:tcPr>
            <w:tcW w:w="2284" w:type="dxa"/>
            <w:shd w:val="clear" w:color="auto" w:fill="F4F7FB"/>
            <w:vAlign w:val="top"/>
          </w:tcPr>
          <w:p>
            <w:pPr>
              <w:pStyle w:val="TableText"/>
              <w:jc w:val="left"/>
            </w:pPr>
            <w:r>
              <w:t xml:space="preserve">Explainable prioritisation</w:t>
            </w:r>
          </w:p>
        </w:tc>
        <w:tc>
          <w:tcPr>
            <w:tcW w:w="6743" w:type="dxa"/>
            <w:shd w:val="clear" w:color="auto" w:fill="F4F7FB"/>
            <w:vAlign w:val="top"/>
          </w:tcPr>
          <w:p>
            <w:pPr>
              <w:pStyle w:val="TableText"/>
              <w:jc w:val="left"/>
            </w:pPr>
            <w:r>
              <w:t xml:space="preserve">Scores every vehicle from 0 to 100 with plain-language reasons and chooses a next best action and journey</w:t>
            </w:r>
          </w:p>
        </w:tc>
      </w:tr>
      <w:tr>
        <w:trPr>
          <w:cantSplit/>
        </w:trPr>
        <w:tc>
          <w:tcPr>
            <w:tcW w:w="2284" w:type="dxa"/>
            <w:vAlign w:val="top"/>
          </w:tcPr>
          <w:p>
            <w:pPr>
              <w:pStyle w:val="TableText"/>
              <w:jc w:val="left"/>
            </w:pPr>
            <w:r>
              <w:t xml:space="preserve">Trust-first contact</w:t>
            </w:r>
          </w:p>
        </w:tc>
        <w:tc>
          <w:tcPr>
            <w:tcW w:w="6743" w:type="dxa"/>
            <w:vAlign w:val="top"/>
          </w:tcPr>
          <w:p>
            <w:pPr>
              <w:pStyle w:val="TableText"/>
              <w:jc w:val="left"/>
            </w:pPr>
            <w:r>
              <w:t xml:space="preserve">The voice assistant says it is automated, asks the driver to state the plate before anything else and never takes payment</w:t>
            </w:r>
          </w:p>
        </w:tc>
      </w:tr>
      <w:tr>
        <w:trPr>
          <w:cantSplit/>
        </w:trPr>
        <w:tc>
          <w:tcPr>
            <w:tcW w:w="2284" w:type="dxa"/>
            <w:shd w:val="clear" w:color="auto" w:fill="F4F7FB"/>
            <w:vAlign w:val="top"/>
          </w:tcPr>
          <w:p>
            <w:pPr>
              <w:pStyle w:val="TableText"/>
              <w:jc w:val="left"/>
            </w:pPr>
            <w:r>
              <w:t xml:space="preserve">Purchase in the VETC app</w:t>
            </w:r>
          </w:p>
        </w:tc>
        <w:tc>
          <w:tcPr>
            <w:tcW w:w="6743" w:type="dxa"/>
            <w:shd w:val="clear" w:color="auto" w:fill="F4F7FB"/>
            <w:vAlign w:val="top"/>
          </w:tcPr>
          <w:p>
            <w:pPr>
              <w:pStyle w:val="TableText"/>
              <w:jc w:val="left"/>
            </w:pPr>
            <w:r>
              <w:t xml:space="preserve">A signed link opens a quote priced by TASCO core; the customer pays from the VETC wallet and receives the e-certificate within seconds</w:t>
            </w:r>
          </w:p>
        </w:tc>
      </w:tr>
      <w:tr>
        <w:trPr>
          <w:cantSplit/>
        </w:trPr>
        <w:tc>
          <w:tcPr>
            <w:tcW w:w="2284" w:type="dxa"/>
            <w:vAlign w:val="top"/>
          </w:tcPr>
          <w:p>
            <w:pPr>
              <w:pStyle w:val="TableText"/>
              <w:jc w:val="left"/>
            </w:pPr>
            <w:r>
              <w:t xml:space="preserve">Value beyond discount</w:t>
            </w:r>
          </w:p>
        </w:tc>
        <w:tc>
          <w:tcPr>
            <w:tcW w:w="6743" w:type="dxa"/>
            <w:vAlign w:val="top"/>
          </w:tcPr>
          <w:p>
            <w:pPr>
              <w:pStyle w:val="TableText"/>
              <w:jc w:val="left"/>
            </w:pPr>
            <w:r>
              <w:t xml:space="preserve">Roadside assistance, a QR-verifiable e-certificate, inspection reminders, accident reporting in the app and multi-year cover</w:t>
            </w:r>
          </w:p>
        </w:tc>
      </w:tr>
      <w:tr>
        <w:trPr>
          <w:cantSplit/>
        </w:trPr>
        <w:tc>
          <w:tcPr>
            <w:tcW w:w="2284" w:type="dxa"/>
            <w:shd w:val="clear" w:color="auto" w:fill="F4F7FB"/>
            <w:vAlign w:val="top"/>
          </w:tcPr>
          <w:p>
            <w:pPr>
              <w:pStyle w:val="TableText"/>
              <w:jc w:val="left"/>
            </w:pPr>
            <w:r>
              <w:t xml:space="preserve">Partners as a channel</w:t>
            </w:r>
          </w:p>
        </w:tc>
        <w:tc>
          <w:tcPr>
            <w:tcW w:w="6743" w:type="dxa"/>
            <w:shd w:val="clear" w:color="auto" w:fill="F4F7FB"/>
            <w:vAlign w:val="top"/>
          </w:tcPr>
          <w:p>
            <w:pPr>
              <w:pStyle w:val="TableText"/>
              <w:jc w:val="left"/>
            </w:pPr>
            <w:r>
              <w:t xml:space="preserve">A partner API to quote and bind by plate, with commission capped by rule; partners collect the premium and remit it to TASCO</w:t>
            </w:r>
          </w:p>
        </w:tc>
      </w:tr>
    </w:tbl>
    <w:p>
      <w:pPr>
        <w:pStyle w:val="BodyText"/>
        <w:spacing w:before="160"/>
      </w:pPr>
      <w:r>
        <w:t xml:space="preserve">In the illustrative base case, own channels and the partner API issue about 140,000 TNDS policies in the first year at full scale, worth about VND 79.4 billion of net premium (USD 3.05 million). Cross-sell adds about VND 6.9 billion. The voice assistant does the qualifying work for about VND 1.2 billion, against about VND 13.4 billion for the same calls by telesales.</w:t>
      </w:r>
    </w:p>
    <w:p>
      <w:pPr>
        <w:pStyle w:val="BodyText"/>
      </w:pPr>
      <w:r>
        <w:t xml:space="preserve">We recommend a fixed-price MVP of USD 94,800 within TASCO’s USD 100,000 budget, live with a pilot cohort 13 weeks after contract signature. The pilot should cover 50,000 to 100,000 vehicles in one or two provinces, measured against a control group, so that the decision to scale rests on measured conversion, data repair and trust.</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3" w:name="_Toc300000009"/>
      <w:r>
        <w:rPr>
          <w:rStyle w:val="BookTitle"/>
          <w:bCs w:val="0"/>
          <w:i w:val="0"/>
          <w:iCs w:val="0"/>
          <w:spacing w:val="0"/>
        </w:rPr>
        <w:t xml:space="preserve">Market and context</w:t>
      </w:r>
      <w:bookmarkEnd w:id="13"/>
    </w:p>
    <w:p>
      <w:pPr>
        <w:pStyle w:val="Heading2"/>
      </w:pPr>
      <w:bookmarkStart w:id="14" w:name="_Toc300000010"/>
      <w:r>
        <w:t xml:space="preserve">The parties</w:t>
      </w:r>
      <w:bookmarkEnd w:id="14"/>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489"/>
        <w:gridCol w:w="3763"/>
        <w:gridCol w:w="3775"/>
      </w:tblGrid>
      <w:tr>
        <w:trPr>
          <w:cantSplit/>
          <w:tblHeader/>
        </w:trPr>
        <w:tc>
          <w:tcPr>
            <w:tcW w:w="1489" w:type="dxa"/>
            <w:shd w:val="clear" w:color="auto" w:fill="0F4761"/>
            <w:vAlign w:val="center"/>
          </w:tcPr>
          <w:p>
            <w:pPr>
              <w:pStyle w:val="TableHeading"/>
              <w:jc w:val="left"/>
            </w:pPr>
            <w:r>
              <w:rPr>
                <w:color w:val="FFFFFF"/>
              </w:rPr>
              <w:t xml:space="preserve">Party</w:t>
            </w:r>
          </w:p>
        </w:tc>
        <w:tc>
          <w:tcPr>
            <w:tcW w:w="3763" w:type="dxa"/>
            <w:shd w:val="clear" w:color="auto" w:fill="0F4761"/>
            <w:vAlign w:val="center"/>
          </w:tcPr>
          <w:p>
            <w:pPr>
              <w:pStyle w:val="TableHeading"/>
              <w:jc w:val="left"/>
            </w:pPr>
            <w:r>
              <w:rPr>
                <w:color w:val="FFFFFF"/>
              </w:rPr>
              <w:t xml:space="preserve">Role</w:t>
            </w:r>
          </w:p>
        </w:tc>
        <w:tc>
          <w:tcPr>
            <w:tcW w:w="3775" w:type="dxa"/>
            <w:shd w:val="clear" w:color="auto" w:fill="0F4761"/>
            <w:vAlign w:val="center"/>
          </w:tcPr>
          <w:p>
            <w:pPr>
              <w:pStyle w:val="TableHeading"/>
              <w:jc w:val="left"/>
            </w:pPr>
            <w:r>
              <w:rPr>
                <w:color w:val="FFFFFF"/>
              </w:rPr>
              <w:t xml:space="preserve">Relevance to the strategy</w:t>
            </w:r>
          </w:p>
        </w:tc>
      </w:tr>
      <w:tr>
        <w:trPr>
          <w:cantSplit/>
        </w:trPr>
        <w:tc>
          <w:tcPr>
            <w:tcW w:w="1489" w:type="dxa"/>
            <w:vAlign w:val="top"/>
          </w:tcPr>
          <w:p>
            <w:pPr>
              <w:pStyle w:val="TableText"/>
              <w:jc w:val="left"/>
            </w:pPr>
            <w:r>
              <w:t xml:space="preserve">TASCO Insurance</w:t>
            </w:r>
          </w:p>
        </w:tc>
        <w:tc>
          <w:tcPr>
            <w:tcW w:w="3763" w:type="dxa"/>
            <w:vAlign w:val="top"/>
          </w:tcPr>
          <w:p>
            <w:pPr>
              <w:pStyle w:val="TableText"/>
              <w:jc w:val="left"/>
            </w:pPr>
            <w:r>
              <w:t xml:space="preserve">Non-life insurer, subsidiary of Tasco Joint Stock Company, which acquired Groupama Vietnam General Insurance in 2022</w:t>
            </w:r>
          </w:p>
        </w:tc>
        <w:tc>
          <w:tcPr>
            <w:tcW w:w="3775" w:type="dxa"/>
            <w:vAlign w:val="top"/>
          </w:tcPr>
          <w:p>
            <w:pPr>
              <w:pStyle w:val="TableText"/>
              <w:jc w:val="left"/>
            </w:pPr>
            <w:r>
              <w:t xml:space="preserve">Carries the risk, owns products, tariffs, rating, policies and claims</w:t>
            </w:r>
          </w:p>
        </w:tc>
      </w:tr>
      <w:tr>
        <w:trPr>
          <w:cantSplit/>
        </w:trPr>
        <w:tc>
          <w:tcPr>
            <w:tcW w:w="1489" w:type="dxa"/>
            <w:shd w:val="clear" w:color="auto" w:fill="F4F7FB"/>
            <w:vAlign w:val="top"/>
          </w:tcPr>
          <w:p>
            <w:pPr>
              <w:pStyle w:val="TableText"/>
              <w:jc w:val="left"/>
            </w:pPr>
            <w:r>
              <w:t xml:space="preserve">Tasco JSC</w:t>
            </w:r>
          </w:p>
        </w:tc>
        <w:tc>
          <w:tcPr>
            <w:tcW w:w="3763" w:type="dxa"/>
            <w:shd w:val="clear" w:color="auto" w:fill="F4F7FB"/>
            <w:vAlign w:val="top"/>
          </w:tcPr>
          <w:p>
            <w:pPr>
              <w:pStyle w:val="TableText"/>
              <w:jc w:val="left"/>
            </w:pPr>
            <w:r>
              <w:t xml:space="preserve">Group parent</w:t>
            </w:r>
          </w:p>
        </w:tc>
        <w:tc>
          <w:tcPr>
            <w:tcW w:w="3775" w:type="dxa"/>
            <w:shd w:val="clear" w:color="auto" w:fill="F4F7FB"/>
            <w:vAlign w:val="top"/>
          </w:tcPr>
          <w:p>
            <w:pPr>
              <w:pStyle w:val="TableText"/>
              <w:jc w:val="left"/>
            </w:pPr>
            <w:r>
              <w:t xml:space="preserve">Owns both TASCO Insurance and VETC, so the group already holds a captive distribution opportunity</w:t>
            </w:r>
          </w:p>
        </w:tc>
      </w:tr>
      <w:tr>
        <w:trPr>
          <w:cantSplit/>
        </w:trPr>
        <w:tc>
          <w:tcPr>
            <w:tcW w:w="1489" w:type="dxa"/>
            <w:vAlign w:val="top"/>
          </w:tcPr>
          <w:p>
            <w:pPr>
              <w:pStyle w:val="TableText"/>
              <w:jc w:val="left"/>
            </w:pPr>
            <w:r>
              <w:t xml:space="preserve">VETC</w:t>
            </w:r>
          </w:p>
        </w:tc>
        <w:tc>
          <w:tcPr>
            <w:tcW w:w="3763" w:type="dxa"/>
            <w:vAlign w:val="top"/>
          </w:tcPr>
          <w:p>
            <w:pPr>
              <w:pStyle w:val="TableText"/>
              <w:jc w:val="left"/>
            </w:pPr>
            <w:r>
              <w:t xml:space="preserve">Electronic toll operator with a wallet. About 6 million car drivers; 70 to 80% use the app</w:t>
            </w:r>
          </w:p>
        </w:tc>
        <w:tc>
          <w:tcPr>
            <w:tcW w:w="3775" w:type="dxa"/>
            <w:vAlign w:val="top"/>
          </w:tcPr>
          <w:p>
            <w:pPr>
              <w:pStyle w:val="TableText"/>
              <w:jc w:val="left"/>
            </w:pPr>
            <w:r>
              <w:t xml:space="preserve">Owns the driver relationship, the app, the wallet, trip signals and tag activation events</w:t>
            </w:r>
          </w:p>
        </w:tc>
      </w:tr>
      <w:tr>
        <w:trPr>
          <w:cantSplit/>
        </w:trPr>
        <w:tc>
          <w:tcPr>
            <w:tcW w:w="1489" w:type="dxa"/>
            <w:shd w:val="clear" w:color="auto" w:fill="F4F7FB"/>
            <w:vAlign w:val="top"/>
          </w:tcPr>
          <w:p>
            <w:pPr>
              <w:pStyle w:val="TableText"/>
              <w:jc w:val="left"/>
            </w:pPr>
            <w:r>
              <w:t xml:space="preserve">Other insurers on VETC</w:t>
            </w:r>
          </w:p>
        </w:tc>
        <w:tc>
          <w:tcPr>
            <w:tcW w:w="3763" w:type="dxa"/>
            <w:shd w:val="clear" w:color="auto" w:fill="F4F7FB"/>
            <w:vAlign w:val="top"/>
          </w:tcPr>
          <w:p>
            <w:pPr>
              <w:pStyle w:val="TableText"/>
              <w:jc w:val="left"/>
            </w:pPr>
            <w:r>
              <w:t xml:space="preserve">VETC is a multi-insurer platform (TASCO, PVI and PTI through ADD Solutions)</w:t>
            </w:r>
          </w:p>
        </w:tc>
        <w:tc>
          <w:tcPr>
            <w:tcW w:w="3775" w:type="dxa"/>
            <w:shd w:val="clear" w:color="auto" w:fill="F4F7FB"/>
            <w:vAlign w:val="top"/>
          </w:tcPr>
          <w:p>
            <w:pPr>
              <w:pStyle w:val="TableText"/>
              <w:jc w:val="left"/>
            </w:pPr>
            <w:r>
              <w:t xml:space="preserve">TASCO must earn the customer’s choice through service and respect VETC’s neutrality</w:t>
            </w:r>
          </w:p>
        </w:tc>
      </w:tr>
      <w:tr>
        <w:trPr>
          <w:cantSplit/>
        </w:trPr>
        <w:tc>
          <w:tcPr>
            <w:tcW w:w="1489" w:type="dxa"/>
            <w:vAlign w:val="top"/>
          </w:tcPr>
          <w:p>
            <w:pPr>
              <w:pStyle w:val="TableText"/>
              <w:jc w:val="left"/>
            </w:pPr>
            <w:r>
              <w:t xml:space="preserve">Partners</w:t>
            </w:r>
          </w:p>
        </w:tc>
        <w:tc>
          <w:tcPr>
            <w:tcW w:w="3763" w:type="dxa"/>
            <w:vAlign w:val="top"/>
          </w:tcPr>
          <w:p>
            <w:pPr>
              <w:pStyle w:val="TableText"/>
              <w:jc w:val="left"/>
            </w:pPr>
            <w:r>
              <w:t xml:space="preserve">Agents, banks, car showrooms, corporate and fleet accounts</w:t>
            </w:r>
          </w:p>
        </w:tc>
        <w:tc>
          <w:tcPr>
            <w:tcW w:w="3775" w:type="dxa"/>
            <w:vAlign w:val="top"/>
          </w:tcPr>
          <w:p>
            <w:pPr>
              <w:pStyle w:val="TableText"/>
              <w:jc w:val="left"/>
            </w:pPr>
            <w:r>
              <w:t xml:space="preserve">Close most sales today; the strategy equips them rather than displacing them</w:t>
            </w:r>
          </w:p>
        </w:tc>
      </w:tr>
    </w:tbl>
    <w:p>
      <w:pPr>
        <w:pStyle w:val="Heading2"/>
      </w:pPr>
      <w:bookmarkStart w:id="15" w:name="_Toc300000011"/>
      <w:r>
        <w:t xml:space="preserve">Product and regulatory frame</w:t>
      </w:r>
      <w:bookmarkEnd w:id="15"/>
    </w:p>
    <w:p>
      <w:pPr>
        <w:pStyle w:val="FirstParagraph"/>
      </w:pPr>
      <w:r>
        <w:t xml:space="preserve">TNDS is compulsory and its price is regulated. The platform’s tariff tables carry the annual premiums from Decree 67/2023/ND-CP Appendix I, for example VND 437,000 plus 10% VAT, VND 480,700, for a non-commercial car under 6 seats. In production TASCO core prices every quote; the platform’s tables are used only for indicative quotes when core is unavailable and for testing. TASCO underwriting must confirm the figures before go-live.</w:t>
      </w:r>
    </w:p>
    <w:p>
      <w:pPr>
        <w:pStyle w:val="BodyText"/>
      </w:pPr>
      <w:r>
        <w:t xml:space="preserve">Premium discounts and rebates are prohibited under the Law on Insurance Business 08/2022/QH15, so the platform competes on service and convenience. Partner commission is capped by law; the platform holds caps per product (for example 5% of net premium for TNDS), to be confirmed by TASCO finance and legal.</w:t>
      </w:r>
    </w:p>
    <w:p>
      <w:pPr>
        <w:pStyle w:val="BodyText"/>
      </w:pPr>
      <w:r>
        <w:t xml:space="preserve">Contact and privacy obligations come from the advertising and spam rules (Decree 91/2020/ND-CP), Decree 13/2023/ND-CP on personal data protection and the Personal Data Protection Law 91/2025/QH15, effective 1 January 2026. The platform applies them conservatively through its contact policy and retention rules. Each position is to be confirmed by TASCO legal.</w:t>
      </w:r>
    </w:p>
    <w:p>
      <w:pPr>
        <w:pStyle w:val="Heading2"/>
      </w:pPr>
      <w:bookmarkStart w:id="16" w:name="_Toc300000012"/>
      <w:r>
        <w:t xml:space="preserve">Strategic assets</w:t>
      </w:r>
      <w:bookmarkEnd w:id="16"/>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3273"/>
        <w:gridCol w:w="1231"/>
        <w:gridCol w:w="4523"/>
      </w:tblGrid>
      <w:tr>
        <w:trPr>
          <w:cantSplit/>
          <w:tblHeader/>
        </w:trPr>
        <w:tc>
          <w:tcPr>
            <w:tcW w:w="3273" w:type="dxa"/>
            <w:shd w:val="clear" w:color="auto" w:fill="0F4761"/>
            <w:vAlign w:val="center"/>
          </w:tcPr>
          <w:p>
            <w:pPr>
              <w:pStyle w:val="TableHeading"/>
              <w:jc w:val="left"/>
            </w:pPr>
            <w:r>
              <w:rPr>
                <w:color w:val="FFFFFF"/>
              </w:rPr>
              <w:t xml:space="preserve">Asset</w:t>
            </w:r>
          </w:p>
        </w:tc>
        <w:tc>
          <w:tcPr>
            <w:tcW w:w="1231" w:type="dxa"/>
            <w:shd w:val="clear" w:color="auto" w:fill="0F4761"/>
            <w:vAlign w:val="center"/>
          </w:tcPr>
          <w:p>
            <w:pPr>
              <w:pStyle w:val="TableHeading"/>
              <w:jc w:val="left"/>
            </w:pPr>
            <w:r>
              <w:rPr>
                <w:color w:val="FFFFFF"/>
              </w:rPr>
              <w:t xml:space="preserve">Owner</w:t>
            </w:r>
          </w:p>
        </w:tc>
        <w:tc>
          <w:tcPr>
            <w:tcW w:w="4523" w:type="dxa"/>
            <w:shd w:val="clear" w:color="auto" w:fill="0F4761"/>
            <w:vAlign w:val="center"/>
          </w:tcPr>
          <w:p>
            <w:pPr>
              <w:pStyle w:val="TableHeading"/>
              <w:jc w:val="left"/>
            </w:pPr>
            <w:r>
              <w:rPr>
                <w:color w:val="FFFFFF"/>
              </w:rPr>
              <w:t xml:space="preserve">How the platform uses it</w:t>
            </w:r>
          </w:p>
        </w:tc>
      </w:tr>
      <w:tr>
        <w:trPr>
          <w:cantSplit/>
        </w:trPr>
        <w:tc>
          <w:tcPr>
            <w:tcW w:w="3273" w:type="dxa"/>
            <w:vAlign w:val="top"/>
          </w:tcPr>
          <w:p>
            <w:pPr>
              <w:pStyle w:val="TableText"/>
              <w:jc w:val="left"/>
            </w:pPr>
            <w:r>
              <w:t xml:space="preserve">6 million driver relationships, 70 to 80% app reach</w:t>
            </w:r>
          </w:p>
        </w:tc>
        <w:tc>
          <w:tcPr>
            <w:tcW w:w="1231" w:type="dxa"/>
            <w:vAlign w:val="top"/>
          </w:tcPr>
          <w:p>
            <w:pPr>
              <w:pStyle w:val="TableText"/>
              <w:jc w:val="left"/>
            </w:pPr>
            <w:r>
              <w:t xml:space="preserve">VETC</w:t>
            </w:r>
          </w:p>
        </w:tc>
        <w:tc>
          <w:tcPr>
            <w:tcW w:w="4523" w:type="dxa"/>
            <w:vAlign w:val="top"/>
          </w:tcPr>
          <w:p>
            <w:pPr>
              <w:pStyle w:val="TableText"/>
              <w:jc w:val="left"/>
            </w:pPr>
            <w:r>
              <w:t xml:space="preserve">Primary reach; an app push costs nothing to send</w:t>
            </w:r>
          </w:p>
        </w:tc>
      </w:tr>
      <w:tr>
        <w:trPr>
          <w:cantSplit/>
        </w:trPr>
        <w:tc>
          <w:tcPr>
            <w:tcW w:w="3273" w:type="dxa"/>
            <w:shd w:val="clear" w:color="auto" w:fill="F4F7FB"/>
            <w:vAlign w:val="top"/>
          </w:tcPr>
          <w:p>
            <w:pPr>
              <w:pStyle w:val="TableText"/>
              <w:jc w:val="left"/>
            </w:pPr>
            <w:r>
              <w:t xml:space="preserve">ETC tag activation events</w:t>
            </w:r>
          </w:p>
        </w:tc>
        <w:tc>
          <w:tcPr>
            <w:tcW w:w="1231" w:type="dxa"/>
            <w:shd w:val="clear" w:color="auto" w:fill="F4F7FB"/>
            <w:vAlign w:val="top"/>
          </w:tcPr>
          <w:p>
            <w:pPr>
              <w:pStyle w:val="TableText"/>
              <w:jc w:val="left"/>
            </w:pPr>
            <w:r>
              <w:t xml:space="preserve">VETC</w:t>
            </w:r>
          </w:p>
        </w:tc>
        <w:tc>
          <w:tcPr>
            <w:tcW w:w="4523" w:type="dxa"/>
            <w:shd w:val="clear" w:color="auto" w:fill="F4F7FB"/>
            <w:vAlign w:val="top"/>
          </w:tcPr>
          <w:p>
            <w:pPr>
              <w:pStyle w:val="TableText"/>
              <w:jc w:val="left"/>
            </w:pPr>
            <w:r>
              <w:t xml:space="preserve">Signals a new vehicle and starts the new-vehicle journey</w:t>
            </w:r>
          </w:p>
        </w:tc>
      </w:tr>
      <w:tr>
        <w:trPr>
          <w:cantSplit/>
        </w:trPr>
        <w:tc>
          <w:tcPr>
            <w:tcW w:w="3273" w:type="dxa"/>
            <w:vAlign w:val="top"/>
          </w:tcPr>
          <w:p>
            <w:pPr>
              <w:pStyle w:val="TableText"/>
              <w:jc w:val="left"/>
            </w:pPr>
            <w:r>
              <w:t xml:space="preserve">Toll trips, long trips, app sessions</w:t>
            </w:r>
          </w:p>
        </w:tc>
        <w:tc>
          <w:tcPr>
            <w:tcW w:w="1231" w:type="dxa"/>
            <w:vAlign w:val="top"/>
          </w:tcPr>
          <w:p>
            <w:pPr>
              <w:pStyle w:val="TableText"/>
              <w:jc w:val="left"/>
            </w:pPr>
            <w:r>
              <w:t xml:space="preserve">VETC</w:t>
            </w:r>
          </w:p>
        </w:tc>
        <w:tc>
          <w:tcPr>
            <w:tcW w:w="4523" w:type="dxa"/>
            <w:vAlign w:val="top"/>
          </w:tcPr>
          <w:p>
            <w:pPr>
              <w:pStyle w:val="TableText"/>
              <w:jc w:val="left"/>
            </w:pPr>
            <w:r>
              <w:t xml:space="preserve">Drive the engagement score and the relevance of benefits</w:t>
            </w:r>
          </w:p>
        </w:tc>
      </w:tr>
      <w:tr>
        <w:trPr>
          <w:cantSplit/>
        </w:trPr>
        <w:tc>
          <w:tcPr>
            <w:tcW w:w="3273" w:type="dxa"/>
            <w:shd w:val="clear" w:color="auto" w:fill="F4F7FB"/>
            <w:vAlign w:val="top"/>
          </w:tcPr>
          <w:p>
            <w:pPr>
              <w:pStyle w:val="TableText"/>
              <w:jc w:val="left"/>
            </w:pPr>
            <w:r>
              <w:t xml:space="preserve">VETC wallet and auto top-up</w:t>
            </w:r>
          </w:p>
        </w:tc>
        <w:tc>
          <w:tcPr>
            <w:tcW w:w="1231" w:type="dxa"/>
            <w:shd w:val="clear" w:color="auto" w:fill="F4F7FB"/>
            <w:vAlign w:val="top"/>
          </w:tcPr>
          <w:p>
            <w:pPr>
              <w:pStyle w:val="TableText"/>
              <w:jc w:val="left"/>
            </w:pPr>
            <w:r>
              <w:t xml:space="preserve">VETC</w:t>
            </w:r>
          </w:p>
        </w:tc>
        <w:tc>
          <w:tcPr>
            <w:tcW w:w="4523" w:type="dxa"/>
            <w:shd w:val="clear" w:color="auto" w:fill="F4F7FB"/>
            <w:vAlign w:val="top"/>
          </w:tcPr>
          <w:p>
            <w:pPr>
              <w:pStyle w:val="TableText"/>
              <w:jc w:val="left"/>
            </w:pPr>
            <w:r>
              <w:t xml:space="preserve">Payment in the app;</w:t>
            </w:r>
            <w:r>
              <w:t xml:space="preserve"> </w:t>
            </w:r>
            <w:r>
              <w:t xml:space="preserve">“</w:t>
            </w:r>
            <w:r>
              <w:t xml:space="preserve">wallet covers the premium</w:t>
            </w:r>
            <w:r>
              <w:t xml:space="preserve">”</w:t>
            </w:r>
            <w:r>
              <w:t xml:space="preserve"> </w:t>
            </w:r>
            <w:r>
              <w:t xml:space="preserve">is a buying signal</w:t>
            </w:r>
          </w:p>
        </w:tc>
      </w:tr>
      <w:tr>
        <w:trPr>
          <w:cantSplit/>
        </w:trPr>
        <w:tc>
          <w:tcPr>
            <w:tcW w:w="3273" w:type="dxa"/>
            <w:vAlign w:val="top"/>
          </w:tcPr>
          <w:p>
            <w:pPr>
              <w:pStyle w:val="TableText"/>
              <w:jc w:val="left"/>
            </w:pPr>
            <w:r>
              <w:t xml:space="preserve">Inspection booking</w:t>
            </w:r>
          </w:p>
        </w:tc>
        <w:tc>
          <w:tcPr>
            <w:tcW w:w="1231" w:type="dxa"/>
            <w:vAlign w:val="top"/>
          </w:tcPr>
          <w:p>
            <w:pPr>
              <w:pStyle w:val="TableText"/>
              <w:jc w:val="left"/>
            </w:pPr>
            <w:r>
              <w:t xml:space="preserve">VETC service</w:t>
            </w:r>
          </w:p>
        </w:tc>
        <w:tc>
          <w:tcPr>
            <w:tcW w:w="4523" w:type="dxa"/>
            <w:vAlign w:val="top"/>
          </w:tcPr>
          <w:p>
            <w:pPr>
              <w:pStyle w:val="TableText"/>
              <w:jc w:val="left"/>
            </w:pPr>
            <w:r>
              <w:t xml:space="preserve">A moment when a valid TNDS certificate is required</w:t>
            </w:r>
          </w:p>
        </w:tc>
      </w:tr>
      <w:tr>
        <w:trPr>
          <w:cantSplit/>
        </w:trPr>
        <w:tc>
          <w:tcPr>
            <w:tcW w:w="3273" w:type="dxa"/>
            <w:shd w:val="clear" w:color="auto" w:fill="F4F7FB"/>
            <w:vAlign w:val="top"/>
          </w:tcPr>
          <w:p>
            <w:pPr>
              <w:pStyle w:val="TableText"/>
              <w:jc w:val="left"/>
            </w:pPr>
            <w:r>
              <w:t xml:space="preserve">Products, rating, policies, e-certificates, claims</w:t>
            </w:r>
          </w:p>
        </w:tc>
        <w:tc>
          <w:tcPr>
            <w:tcW w:w="1231" w:type="dxa"/>
            <w:shd w:val="clear" w:color="auto" w:fill="F4F7FB"/>
            <w:vAlign w:val="top"/>
          </w:tcPr>
          <w:p>
            <w:pPr>
              <w:pStyle w:val="TableText"/>
              <w:jc w:val="left"/>
            </w:pPr>
            <w:r>
              <w:t xml:space="preserve">TASCO core</w:t>
            </w:r>
          </w:p>
        </w:tc>
        <w:tc>
          <w:tcPr>
            <w:tcW w:w="4523" w:type="dxa"/>
            <w:shd w:val="clear" w:color="auto" w:fill="F4F7FB"/>
            <w:vAlign w:val="top"/>
          </w:tcPr>
          <w:p>
            <w:pPr>
              <w:pStyle w:val="TableText"/>
              <w:jc w:val="left"/>
            </w:pPr>
            <w:r>
              <w:t xml:space="preserve">Every quote is rated and every policy issued by core; certificates are QR-verifiable</w:t>
            </w:r>
          </w:p>
        </w:tc>
      </w:tr>
      <w:tr>
        <w:trPr>
          <w:cantSplit/>
        </w:trPr>
        <w:tc>
          <w:tcPr>
            <w:tcW w:w="3273" w:type="dxa"/>
            <w:vAlign w:val="top"/>
          </w:tcPr>
          <w:p>
            <w:pPr>
              <w:pStyle w:val="TableText"/>
              <w:jc w:val="left"/>
            </w:pPr>
            <w:r>
              <w:t xml:space="preserve">Partner network</w:t>
            </w:r>
          </w:p>
        </w:tc>
        <w:tc>
          <w:tcPr>
            <w:tcW w:w="1231" w:type="dxa"/>
            <w:vAlign w:val="top"/>
          </w:tcPr>
          <w:p>
            <w:pPr>
              <w:pStyle w:val="TableText"/>
              <w:jc w:val="left"/>
            </w:pPr>
            <w:r>
              <w:t xml:space="preserve">VETC and TASCO</w:t>
            </w:r>
          </w:p>
        </w:tc>
        <w:tc>
          <w:tcPr>
            <w:tcW w:w="4523" w:type="dxa"/>
            <w:vAlign w:val="top"/>
          </w:tcPr>
          <w:p>
            <w:pPr>
              <w:pStyle w:val="TableText"/>
              <w:jc w:val="left"/>
            </w:pPr>
            <w:r>
              <w:t xml:space="preserve">Partner API, commission statements</w:t>
            </w:r>
          </w:p>
        </w:tc>
      </w:tr>
    </w:tbl>
    <w:p>
      <w:pPr>
        <w:pStyle w:val="Heading2"/>
      </w:pPr>
      <w:bookmarkStart w:id="17" w:name="_Toc300000013"/>
      <w:r>
        <w:t xml:space="preserve">TASCO’s digital channels today</w:t>
      </w:r>
      <w:bookmarkEnd w:id="17"/>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3037"/>
        <w:gridCol w:w="2731"/>
        <w:gridCol w:w="3259"/>
      </w:tblGrid>
      <w:tr>
        <w:trPr>
          <w:cantSplit/>
          <w:tblHeader/>
        </w:trPr>
        <w:tc>
          <w:tcPr>
            <w:tcW w:w="3037" w:type="dxa"/>
            <w:shd w:val="clear" w:color="auto" w:fill="0F4761"/>
            <w:vAlign w:val="center"/>
          </w:tcPr>
          <w:p>
            <w:pPr>
              <w:pStyle w:val="TableHeading"/>
              <w:jc w:val="left"/>
            </w:pPr>
            <w:r>
              <w:rPr>
                <w:color w:val="FFFFFF"/>
              </w:rPr>
              <w:t xml:space="preserve">Channel</w:t>
            </w:r>
          </w:p>
        </w:tc>
        <w:tc>
          <w:tcPr>
            <w:tcW w:w="2731" w:type="dxa"/>
            <w:shd w:val="clear" w:color="auto" w:fill="0F4761"/>
            <w:vAlign w:val="center"/>
          </w:tcPr>
          <w:p>
            <w:pPr>
              <w:pStyle w:val="TableHeading"/>
              <w:jc w:val="left"/>
            </w:pPr>
            <w:r>
              <w:rPr>
                <w:color w:val="FFFFFF"/>
              </w:rPr>
              <w:t xml:space="preserve">What it does today</w:t>
            </w:r>
          </w:p>
        </w:tc>
        <w:tc>
          <w:tcPr>
            <w:tcW w:w="3259" w:type="dxa"/>
            <w:shd w:val="clear" w:color="auto" w:fill="0F4761"/>
            <w:vAlign w:val="center"/>
          </w:tcPr>
          <w:p>
            <w:pPr>
              <w:pStyle w:val="TableHeading"/>
              <w:jc w:val="left"/>
            </w:pPr>
            <w:r>
              <w:rPr>
                <w:color w:val="FFFFFF"/>
              </w:rPr>
              <w:t xml:space="preserve">Role in the strategy</w:t>
            </w:r>
          </w:p>
        </w:tc>
      </w:tr>
      <w:tr>
        <w:trPr>
          <w:cantSplit/>
        </w:trPr>
        <w:tc>
          <w:tcPr>
            <w:tcW w:w="3037" w:type="dxa"/>
            <w:vAlign w:val="top"/>
          </w:tcPr>
          <w:p>
            <w:pPr>
              <w:pStyle w:val="TableText"/>
              <w:jc w:val="left"/>
            </w:pPr>
            <w:r>
              <w:t xml:space="preserve">e.baohiemtasco.vn</w:t>
            </w:r>
          </w:p>
        </w:tc>
        <w:tc>
          <w:tcPr>
            <w:tcW w:w="2731" w:type="dxa"/>
            <w:vAlign w:val="top"/>
          </w:tcPr>
          <w:p>
            <w:pPr>
              <w:pStyle w:val="TableText"/>
              <w:jc w:val="left"/>
            </w:pPr>
            <w:r>
              <w:t xml:space="preserve">Online TNDS purchase for cars; asks business use, vehicle type, seats and phone. Physical damage is marked</w:t>
            </w:r>
            <w:r>
              <w:t xml:space="preserve"> </w:t>
            </w:r>
            <w:r>
              <w:t xml:space="preserve">“</w:t>
            </w:r>
            <w:r>
              <w:t xml:space="preserve">coming soon</w:t>
            </w:r>
            <w:r>
              <w:t xml:space="preserve">”</w:t>
            </w:r>
            <w:r>
              <w:t xml:space="preserve">.</w:t>
            </w:r>
          </w:p>
        </w:tc>
        <w:tc>
          <w:tcPr>
            <w:tcW w:w="3259" w:type="dxa"/>
            <w:vAlign w:val="top"/>
          </w:tcPr>
          <w:p>
            <w:pPr>
              <w:pStyle w:val="TableText"/>
              <w:jc w:val="left"/>
            </w:pPr>
            <w:r>
              <w:t xml:space="preserve">Stays the open web channel. It prices from the same core, so premiums match the VETC app. Physical damage with inspection, delivered in the MVP, can be offered there later.</w:t>
            </w:r>
          </w:p>
        </w:tc>
      </w:tr>
      <w:tr>
        <w:trPr>
          <w:cantSplit/>
        </w:trPr>
        <w:tc>
          <w:tcPr>
            <w:tcW w:w="3037" w:type="dxa"/>
            <w:shd w:val="clear" w:color="auto" w:fill="F4F7FB"/>
            <w:vAlign w:val="top"/>
          </w:tcPr>
          <w:p>
            <w:pPr>
              <w:pStyle w:val="TableText"/>
              <w:jc w:val="left"/>
            </w:pPr>
            <w:r>
              <w:t xml:space="preserve">Tasco360</w:t>
            </w:r>
          </w:p>
        </w:tc>
        <w:tc>
          <w:tcPr>
            <w:tcW w:w="2731" w:type="dxa"/>
            <w:shd w:val="clear" w:color="auto" w:fill="F4F7FB"/>
            <w:vAlign w:val="top"/>
          </w:tcPr>
          <w:p>
            <w:pPr>
              <w:pStyle w:val="TableText"/>
              <w:jc w:val="left"/>
            </w:pPr>
            <w:r>
              <w:t xml:space="preserve">TASCO’s app for partners and stakeholders: consultation, sales and after-sales</w:t>
            </w:r>
          </w:p>
        </w:tc>
        <w:tc>
          <w:tcPr>
            <w:tcW w:w="3259" w:type="dxa"/>
            <w:shd w:val="clear" w:color="auto" w:fill="F4F7FB"/>
            <w:vAlign w:val="top"/>
          </w:tcPr>
          <w:p>
            <w:pPr>
              <w:pStyle w:val="TableText"/>
              <w:jc w:val="left"/>
            </w:pPr>
            <w:r>
              <w:t xml:space="preserve">Becomes a consumer of the partner API, so partners quote by plate with VETC vehicle data and receive instant certificates</w:t>
            </w:r>
          </w:p>
        </w:tc>
      </w:tr>
      <w:tr>
        <w:trPr>
          <w:cantSplit/>
        </w:trPr>
        <w:tc>
          <w:tcPr>
            <w:tcW w:w="3037" w:type="dxa"/>
            <w:vAlign w:val="top"/>
          </w:tcPr>
          <w:p>
            <w:pPr>
              <w:pStyle w:val="TableText"/>
              <w:jc w:val="left"/>
            </w:pPr>
            <w:r>
              <w:t xml:space="preserve">Hotline 1900 1562,</w:t>
            </w:r>
            <w:r>
              <w:t xml:space="preserve"> </w:t>
            </w:r>
            <w:hyperlink r:id="rIdG1">
              <w:r>
                <w:rPr>
                  <w:rStyle w:val="Hyperlink"/>
                </w:rPr>
                <w:t xml:space="preserve">info@baohiemtasco.vn</w:t>
              </w:r>
            </w:hyperlink>
            <w:r>
              <w:t xml:space="preserve">, Zalo, Messenger, website chat</w:t>
            </w:r>
          </w:p>
        </w:tc>
        <w:tc>
          <w:tcPr>
            <w:tcW w:w="2731" w:type="dxa"/>
            <w:vAlign w:val="top"/>
          </w:tcPr>
          <w:p>
            <w:pPr>
              <w:pStyle w:val="TableText"/>
              <w:jc w:val="left"/>
            </w:pPr>
            <w:r>
              <w:t xml:space="preserve">Claims, support and enquiries</w:t>
            </w:r>
          </w:p>
        </w:tc>
        <w:tc>
          <w:tcPr>
            <w:tcW w:w="3259" w:type="dxa"/>
            <w:vAlign w:val="top"/>
          </w:tcPr>
          <w:p>
            <w:pPr>
              <w:pStyle w:val="TableText"/>
              <w:jc w:val="left"/>
            </w:pPr>
            <w:r>
              <w:t xml:space="preserve">The same official contacts appear in the customer app, so every touchpoint speaks with one TASCO voice</w:t>
            </w:r>
          </w:p>
        </w:tc>
      </w:tr>
    </w:tbl>
    <w:p>
      <w:pPr>
        <w:pStyle w:val="BodyText"/>
        <w:spacing w:before="160"/>
      </w:pPr>
      <w:r>
        <w:t xml:space="preserve">These channels serve customers who come looking for TASCO. What they cannot do is find the right VETC driver at the right moment. That is the job of the platform.</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8" w:name="_Toc300000014"/>
      <w:r>
        <w:rPr>
          <w:rStyle w:val="BookTitle"/>
          <w:bCs w:val="0"/>
          <w:i w:val="0"/>
          <w:iCs w:val="0"/>
          <w:spacing w:val="0"/>
        </w:rPr>
        <w:t xml:space="preserve">Why own-channel sales are close to zero</w:t>
      </w:r>
      <w:bookmarkEnd w:id="18"/>
    </w:p>
    <w:p>
      <w:pPr>
        <w:pStyle w:val="Heading2"/>
      </w:pPr>
      <w:bookmarkStart w:id="19" w:name="_Toc300000015"/>
      <w:r>
        <w:t xml:space="preserve">Symptoms reported in the brief</w:t>
      </w:r>
      <w:bookmarkEnd w:id="19"/>
    </w:p>
    <w:p>
      <w:pPr>
        <w:pStyle w:val="Compact"/>
        <w:numPr>
          <w:ilvl w:val="0"/>
          <w:numId w:val="1002"/>
        </w:numPr>
      </w:pPr>
      <w:r>
        <w:t xml:space="preserve">Only about one record in ten has a valid policy stamp.</w:t>
      </w:r>
    </w:p>
    <w:p>
      <w:pPr>
        <w:pStyle w:val="Compact"/>
        <w:numPr>
          <w:ilvl w:val="0"/>
          <w:numId w:val="1002"/>
        </w:numPr>
      </w:pPr>
      <w:r>
        <w:t xml:space="preserve">No renewals were closed through own channels this year.</w:t>
      </w:r>
    </w:p>
    <w:p>
      <w:pPr>
        <w:pStyle w:val="Compact"/>
        <w:numPr>
          <w:ilvl w:val="0"/>
          <w:numId w:val="1002"/>
        </w:numPr>
      </w:pPr>
      <w:r>
        <w:t xml:space="preserve">Telesales converts poorly: customers distrust sales calls, discounts are illegal, partners close faster and the app cannot renew.</w:t>
      </w:r>
    </w:p>
    <w:p>
      <w:pPr>
        <w:pStyle w:val="Compact"/>
        <w:numPr>
          <w:ilvl w:val="0"/>
          <w:numId w:val="1002"/>
        </w:numPr>
      </w:pPr>
      <w:r>
        <w:t xml:space="preserve">Most customers look for a percentage discount.</w:t>
      </w:r>
    </w:p>
    <w:p>
      <w:pPr>
        <w:pStyle w:val="Heading2"/>
      </w:pPr>
      <w:bookmarkStart w:id="20" w:name="_Toc300000016"/>
      <w:r>
        <w:t xml:space="preserve">Root causes and design responses</w:t>
      </w:r>
      <w:bookmarkEnd w:id="20"/>
    </w:p>
    <w:p>
      <w:pPr>
        <w:pStyle w:val="FirstParagraph"/>
      </w:pPr>
      <w:r>
        <w:t xml:space="preserve">The diagram below links each of the four causes to the platform’s main response.</w:t>
      </w:r>
    </w:p>
    <w:p xmlns:a="http://schemas.openxmlformats.org/drawingml/2006/main" xmlns:pic="http://schemas.openxmlformats.org/drawingml/2006/picture">
      <w:pPr>
        <w:pStyle w:val="Figure"/>
      </w:pPr>
      <w:r>
        <w:drawing>
          <wp:inline>
            <wp:extent cx="5727700" cy="3933997"/>
            <wp:effectExtent b="0" l="0" r="0" t="0"/>
            <wp:docPr descr="Each root cause and the platform’s main response to it" title="" id="5002" name="Picture"/>
            <a:graphic>
              <a:graphicData uri="http://schemas.openxmlformats.org/drawingml/2006/picture">
                <pic:pic>
                  <pic:nvPicPr>
                    <pic:cNvPr descr="/tmp/claude-0/-home-user-TASCO/19e5534d-12b5-5956-9b60-3e77efde0f49/scratchpad/gen/.cache/mermaid/4c462570ef49d679.png" id="35" name="Picture"/>
                    <pic:cNvPicPr>
                      <a:picLocks noChangeArrowheads="1" noChangeAspect="1"/>
                    </pic:cNvPicPr>
                  </pic:nvPicPr>
                  <pic:blipFill>
                    <a:blip r:embed="rIdG2"/>
                    <a:stretch>
                      <a:fillRect/>
                    </a:stretch>
                  </pic:blipFill>
                  <pic:spPr bwMode="auto">
                    <a:xfrm>
                      <a:off x="0" y="0"/>
                      <a:ext cx="5727700" cy="3933997"/>
                    </a:xfrm>
                    <a:prstGeom prst="rect">
                      <a:avLst/>
                    </a:prstGeom>
                    <a:noFill/>
                    <a:ln w="9525">
                      <a:noFill/>
                      <a:headEnd/>
                      <a:tailEnd/>
                    </a:ln>
                  </pic:spPr>
                </pic:pic>
              </a:graphicData>
            </a:graphic>
          </wp:inline>
        </w:drawing>
      </w:r>
    </w:p>
    <w:p>
      <w:pPr>
        <w:pStyle w:val="Caption"/>
      </w:pPr>
      <w:r>
        <w:t xml:space="preserve">Figure 1 – Each root cause and the platform’s main response to it</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714"/>
        <w:gridCol w:w="2522"/>
        <w:gridCol w:w="5791"/>
      </w:tblGrid>
      <w:tr>
        <w:trPr>
          <w:cantSplit/>
          <w:tblHeader/>
        </w:trPr>
        <w:tc>
          <w:tcPr>
            <w:tcW w:w="714" w:type="dxa"/>
            <w:shd w:val="clear" w:color="auto" w:fill="0F4761"/>
            <w:vAlign w:val="center"/>
          </w:tcPr>
          <w:p>
            <w:pPr>
              <w:pStyle w:val="TableHeading"/>
              <w:jc w:val="left"/>
            </w:pPr>
            <w:r>
              <w:rPr>
                <w:color w:val="FFFFFF"/>
              </w:rPr>
              <w:t xml:space="preserve">Ref</w:t>
            </w:r>
          </w:p>
        </w:tc>
        <w:tc>
          <w:tcPr>
            <w:tcW w:w="2522" w:type="dxa"/>
            <w:shd w:val="clear" w:color="auto" w:fill="0F4761"/>
            <w:vAlign w:val="center"/>
          </w:tcPr>
          <w:p>
            <w:pPr>
              <w:pStyle w:val="TableHeading"/>
              <w:jc w:val="left"/>
            </w:pPr>
            <w:r>
              <w:rPr>
                <w:color w:val="FFFFFF"/>
              </w:rPr>
              <w:t xml:space="preserve">Root cause</w:t>
            </w:r>
          </w:p>
        </w:tc>
        <w:tc>
          <w:tcPr>
            <w:tcW w:w="5791" w:type="dxa"/>
            <w:shd w:val="clear" w:color="auto" w:fill="0F4761"/>
            <w:vAlign w:val="center"/>
          </w:tcPr>
          <w:p>
            <w:pPr>
              <w:pStyle w:val="TableHeading"/>
              <w:jc w:val="left"/>
            </w:pPr>
            <w:r>
              <w:rPr>
                <w:color w:val="FFFFFF"/>
              </w:rPr>
              <w:t xml:space="preserve">Design response</w:t>
            </w:r>
          </w:p>
        </w:tc>
      </w:tr>
      <w:tr>
        <w:trPr>
          <w:cantSplit/>
        </w:trPr>
        <w:tc>
          <w:tcPr>
            <w:tcW w:w="714" w:type="dxa"/>
            <w:noWrap/>
            <w:vAlign w:val="top"/>
          </w:tcPr>
          <w:p>
            <w:pPr>
              <w:pStyle w:val="TableText"/>
              <w:jc w:val="left"/>
            </w:pPr>
            <w:r>
              <w:t xml:space="preserve">RC-1</w:t>
            </w:r>
          </w:p>
        </w:tc>
        <w:tc>
          <w:tcPr>
            <w:tcW w:w="2522" w:type="dxa"/>
            <w:vAlign w:val="top"/>
          </w:tcPr>
          <w:p>
            <w:pPr>
              <w:pStyle w:val="TableText"/>
              <w:jc w:val="left"/>
            </w:pPr>
            <w:r>
              <w:t xml:space="preserve">Expiry date unknown or unreliable for most vehicles</w:t>
            </w:r>
          </w:p>
        </w:tc>
        <w:tc>
          <w:tcPr>
            <w:tcW w:w="5791" w:type="dxa"/>
            <w:vAlign w:val="top"/>
          </w:tcPr>
          <w:p>
            <w:pPr>
              <w:pStyle w:val="TableText"/>
              <w:jc w:val="left"/>
            </w:pPr>
            <w:r>
              <w:t xml:space="preserve">Expiry estimated from evidence with a confidence score; vehicles below the usable threshold are asked to confirm their expiry before any selling</w:t>
            </w:r>
          </w:p>
        </w:tc>
      </w:tr>
      <w:tr>
        <w:trPr>
          <w:cantSplit/>
        </w:trPr>
        <w:tc>
          <w:tcPr>
            <w:tcW w:w="714" w:type="dxa"/>
            <w:shd w:val="clear" w:color="auto" w:fill="F4F7FB"/>
            <w:noWrap/>
            <w:vAlign w:val="top"/>
          </w:tcPr>
          <w:p>
            <w:pPr>
              <w:pStyle w:val="TableText"/>
              <w:jc w:val="left"/>
            </w:pPr>
            <w:r>
              <w:t xml:space="preserve">RC-2</w:t>
            </w:r>
          </w:p>
        </w:tc>
        <w:tc>
          <w:tcPr>
            <w:tcW w:w="2522" w:type="dxa"/>
            <w:shd w:val="clear" w:color="auto" w:fill="F4F7FB"/>
            <w:vAlign w:val="top"/>
          </w:tcPr>
          <w:p>
            <w:pPr>
              <w:pStyle w:val="TableText"/>
              <w:jc w:val="left"/>
            </w:pPr>
            <w:r>
              <w:t xml:space="preserve">Duplicate, inconsistent records from many sources</w:t>
            </w:r>
          </w:p>
        </w:tc>
        <w:tc>
          <w:tcPr>
            <w:tcW w:w="5791" w:type="dxa"/>
            <w:shd w:val="clear" w:color="auto" w:fill="F4F7FB"/>
            <w:vAlign w:val="top"/>
          </w:tcPr>
          <w:p>
            <w:pPr>
              <w:pStyle w:val="TableText"/>
              <w:jc w:val="left"/>
            </w:pPr>
            <w:r>
              <w:t xml:space="preserve">Plate and phone normalisation; one record per plate; the most trusted source wins; field-level lineage</w:t>
            </w:r>
          </w:p>
        </w:tc>
      </w:tr>
      <w:tr>
        <w:trPr>
          <w:cantSplit/>
        </w:trPr>
        <w:tc>
          <w:tcPr>
            <w:tcW w:w="714" w:type="dxa"/>
            <w:noWrap/>
            <w:vAlign w:val="top"/>
          </w:tcPr>
          <w:p>
            <w:pPr>
              <w:pStyle w:val="TableText"/>
              <w:jc w:val="left"/>
            </w:pPr>
            <w:r>
              <w:t xml:space="preserve">RC-3</w:t>
            </w:r>
          </w:p>
        </w:tc>
        <w:tc>
          <w:tcPr>
            <w:tcW w:w="2522" w:type="dxa"/>
            <w:vAlign w:val="top"/>
          </w:tcPr>
          <w:p>
            <w:pPr>
              <w:pStyle w:val="TableText"/>
              <w:jc w:val="left"/>
            </w:pPr>
            <w:r>
              <w:t xml:space="preserve">No way to capture what customers tell us</w:t>
            </w:r>
          </w:p>
        </w:tc>
        <w:tc>
          <w:tcPr>
            <w:tcW w:w="5791" w:type="dxa"/>
            <w:vAlign w:val="top"/>
          </w:tcPr>
          <w:p>
            <w:pPr>
              <w:pStyle w:val="TableText"/>
              <w:jc w:val="left"/>
            </w:pPr>
            <w:r>
              <w:t xml:space="preserve">Customer confirms expiry in the app; the assistant records</w:t>
            </w:r>
            <w:r>
              <w:t xml:space="preserve"> </w:t>
            </w:r>
            <w:r>
              <w:t xml:space="preserve">“</w:t>
            </w:r>
            <w:r>
              <w:t xml:space="preserve">already renewed</w:t>
            </w:r>
            <w:r>
              <w:t xml:space="preserve">”</w:t>
            </w:r>
            <w:r>
              <w:t xml:space="preserve">, the insurer and the next date; a TASCO issuance sets confidence to 1.0</w:t>
            </w:r>
          </w:p>
        </w:tc>
      </w:tr>
      <w:tr>
        <w:trPr>
          <w:cantSplit/>
        </w:trPr>
        <w:tc>
          <w:tcPr>
            <w:tcW w:w="714" w:type="dxa"/>
            <w:shd w:val="clear" w:color="auto" w:fill="F4F7FB"/>
            <w:noWrap/>
            <w:vAlign w:val="top"/>
          </w:tcPr>
          <w:p>
            <w:pPr>
              <w:pStyle w:val="TableText"/>
              <w:jc w:val="left"/>
            </w:pPr>
            <w:r>
              <w:t xml:space="preserve">RC-4</w:t>
            </w:r>
          </w:p>
        </w:tc>
        <w:tc>
          <w:tcPr>
            <w:tcW w:w="2522" w:type="dxa"/>
            <w:shd w:val="clear" w:color="auto" w:fill="F4F7FB"/>
            <w:vAlign w:val="top"/>
          </w:tcPr>
          <w:p>
            <w:pPr>
              <w:pStyle w:val="TableText"/>
              <w:jc w:val="left"/>
            </w:pPr>
            <w:r>
              <w:t xml:space="preserve">Distrust of calls</w:t>
            </w:r>
          </w:p>
        </w:tc>
        <w:tc>
          <w:tcPr>
            <w:tcW w:w="5791" w:type="dxa"/>
            <w:shd w:val="clear" w:color="auto" w:fill="F4F7FB"/>
            <w:vAlign w:val="top"/>
          </w:tcPr>
          <w:p>
            <w:pPr>
              <w:pStyle w:val="TableText"/>
              <w:jc w:val="left"/>
            </w:pPr>
            <w:r>
              <w:t xml:space="preserve">Automated-assistant disclosure, plate-first verification, a</w:t>
            </w:r>
            <w:r>
              <w:t xml:space="preserve"> </w:t>
            </w:r>
            <w:r>
              <w:t xml:space="preserve">“</w:t>
            </w:r>
            <w:r>
              <w:t xml:space="preserve">VETC never asks for OTP or payment</w:t>
            </w:r>
            <w:r>
              <w:t xml:space="preserve">”</w:t>
            </w:r>
            <w:r>
              <w:t xml:space="preserve"> </w:t>
            </w:r>
            <w:r>
              <w:t xml:space="preserve">statement, a scam-concern script, payment only in the app</w:t>
            </w:r>
          </w:p>
        </w:tc>
      </w:tr>
      <w:tr>
        <w:trPr>
          <w:cantSplit/>
        </w:trPr>
        <w:tc>
          <w:tcPr>
            <w:tcW w:w="714" w:type="dxa"/>
            <w:noWrap/>
            <w:vAlign w:val="top"/>
          </w:tcPr>
          <w:p>
            <w:pPr>
              <w:pStyle w:val="TableText"/>
              <w:jc w:val="left"/>
            </w:pPr>
            <w:r>
              <w:t xml:space="preserve">RC-5</w:t>
            </w:r>
          </w:p>
        </w:tc>
        <w:tc>
          <w:tcPr>
            <w:tcW w:w="2522" w:type="dxa"/>
            <w:vAlign w:val="top"/>
          </w:tcPr>
          <w:p>
            <w:pPr>
              <w:pStyle w:val="TableText"/>
              <w:jc w:val="left"/>
            </w:pPr>
            <w:r>
              <w:t xml:space="preserve">No independent proof of cover</w:t>
            </w:r>
          </w:p>
        </w:tc>
        <w:tc>
          <w:tcPr>
            <w:tcW w:w="5791" w:type="dxa"/>
            <w:vAlign w:val="top"/>
          </w:tcPr>
          <w:p>
            <w:pPr>
              <w:pStyle w:val="TableText"/>
              <w:jc w:val="left"/>
            </w:pPr>
            <w:r>
              <w:t xml:space="preserve">Public certificate verification by QR, with no personal data shown</w:t>
            </w:r>
          </w:p>
        </w:tc>
      </w:tr>
      <w:tr>
        <w:trPr>
          <w:cantSplit/>
        </w:trPr>
        <w:tc>
          <w:tcPr>
            <w:tcW w:w="714" w:type="dxa"/>
            <w:shd w:val="clear" w:color="auto" w:fill="F4F7FB"/>
            <w:noWrap/>
            <w:vAlign w:val="top"/>
          </w:tcPr>
          <w:p>
            <w:pPr>
              <w:pStyle w:val="TableText"/>
              <w:jc w:val="left"/>
            </w:pPr>
            <w:r>
              <w:t xml:space="preserve">RC-6</w:t>
            </w:r>
          </w:p>
        </w:tc>
        <w:tc>
          <w:tcPr>
            <w:tcW w:w="2522" w:type="dxa"/>
            <w:shd w:val="clear" w:color="auto" w:fill="F4F7FB"/>
            <w:vAlign w:val="top"/>
          </w:tcPr>
          <w:p>
            <w:pPr>
              <w:pStyle w:val="TableText"/>
              <w:jc w:val="left"/>
            </w:pPr>
            <w:r>
              <w:t xml:space="preserve">Price-only mindset</w:t>
            </w:r>
          </w:p>
        </w:tc>
        <w:tc>
          <w:tcPr>
            <w:tcW w:w="5791" w:type="dxa"/>
            <w:shd w:val="clear" w:color="auto" w:fill="F4F7FB"/>
            <w:vAlign w:val="top"/>
          </w:tcPr>
          <w:p>
            <w:pPr>
              <w:pStyle w:val="TableText"/>
              <w:jc w:val="left"/>
            </w:pPr>
            <w:r>
              <w:t xml:space="preserve">Benefits ranked by relevance to each driver; the assistant answers price truthfully and moves to service value</w:t>
            </w:r>
          </w:p>
        </w:tc>
      </w:tr>
      <w:tr>
        <w:trPr>
          <w:cantSplit/>
        </w:trPr>
        <w:tc>
          <w:tcPr>
            <w:tcW w:w="714" w:type="dxa"/>
            <w:noWrap/>
            <w:vAlign w:val="top"/>
          </w:tcPr>
          <w:p>
            <w:pPr>
              <w:pStyle w:val="TableText"/>
              <w:jc w:val="left"/>
            </w:pPr>
            <w:r>
              <w:t xml:space="preserve">RC-7</w:t>
            </w:r>
          </w:p>
        </w:tc>
        <w:tc>
          <w:tcPr>
            <w:tcW w:w="2522" w:type="dxa"/>
            <w:vAlign w:val="top"/>
          </w:tcPr>
          <w:p>
            <w:pPr>
              <w:pStyle w:val="TableText"/>
              <w:jc w:val="left"/>
            </w:pPr>
            <w:r>
              <w:t xml:space="preserve">Buying is harder than through a partner</w:t>
            </w:r>
          </w:p>
        </w:tc>
        <w:tc>
          <w:tcPr>
            <w:tcW w:w="5791" w:type="dxa"/>
            <w:vAlign w:val="top"/>
          </w:tcPr>
          <w:p>
            <w:pPr>
              <w:pStyle w:val="TableText"/>
              <w:jc w:val="left"/>
            </w:pPr>
            <w:r>
              <w:t xml:space="preserve">Signed link, quote priced by TASCO core, VETC wallet payment, e-certificate; telesales send quotes to the app for the customer to pay</w:t>
            </w:r>
          </w:p>
        </w:tc>
      </w:tr>
      <w:tr>
        <w:trPr>
          <w:cantSplit/>
        </w:trPr>
        <w:tc>
          <w:tcPr>
            <w:tcW w:w="714" w:type="dxa"/>
            <w:shd w:val="clear" w:color="auto" w:fill="F4F7FB"/>
            <w:noWrap/>
            <w:vAlign w:val="top"/>
          </w:tcPr>
          <w:p>
            <w:pPr>
              <w:pStyle w:val="TableText"/>
              <w:jc w:val="left"/>
            </w:pPr>
            <w:r>
              <w:t xml:space="preserve">RC-8</w:t>
            </w:r>
          </w:p>
        </w:tc>
        <w:tc>
          <w:tcPr>
            <w:tcW w:w="2522" w:type="dxa"/>
            <w:shd w:val="clear" w:color="auto" w:fill="F4F7FB"/>
            <w:vAlign w:val="top"/>
          </w:tcPr>
          <w:p>
            <w:pPr>
              <w:pStyle w:val="TableText"/>
              <w:jc w:val="left"/>
            </w:pPr>
            <w:r>
              <w:t xml:space="preserve">Partners hold the point of sale</w:t>
            </w:r>
          </w:p>
        </w:tc>
        <w:tc>
          <w:tcPr>
            <w:tcW w:w="5791" w:type="dxa"/>
            <w:shd w:val="clear" w:color="auto" w:fill="F4F7FB"/>
            <w:vAlign w:val="top"/>
          </w:tcPr>
          <w:p>
            <w:pPr>
              <w:pStyle w:val="TableText"/>
              <w:jc w:val="left"/>
            </w:pPr>
            <w:r>
              <w:t xml:space="preserve">Partner API to quote and bind by plate, with transparent commission</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21" w:name="_Toc300000017"/>
      <w:r>
        <w:rPr>
          <w:rStyle w:val="BookTitle"/>
          <w:bCs w:val="0"/>
          <w:i w:val="0"/>
          <w:iCs w:val="0"/>
          <w:spacing w:val="0"/>
        </w:rPr>
        <w:t xml:space="preserve">Growth strategy</w:t>
      </w:r>
      <w:bookmarkEnd w:id="21"/>
    </w:p>
    <w:p>
      <w:pPr>
        <w:pStyle w:val="FirstParagraph"/>
      </w:pPr>
      <w:r>
        <w:t xml:space="preserve">TASCO asked us not to limit the scope to TNDS renewals. The strategy therefore treats the VETC base as a portfolio of segments, each with its own objective, journey and economics. Each vehicle is placed in the first matching journey by priority, and all contact stops as soon as the vehicle is insured with TASCO.</w:t>
      </w:r>
    </w:p>
    <w:p>
      <w:pPr>
        <w:pStyle w:val="Heading2"/>
      </w:pPr>
      <w:bookmarkStart w:id="22" w:name="_Toc300000018"/>
      <w:r>
        <w:t xml:space="preserve">Segments</w:t>
      </w:r>
      <w:bookmarkEnd w:id="22"/>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834"/>
        <w:gridCol w:w="1637"/>
        <w:gridCol w:w="2841"/>
        <w:gridCol w:w="1649"/>
        <w:gridCol w:w="2066"/>
      </w:tblGrid>
      <w:tr>
        <w:trPr>
          <w:cantSplit/>
          <w:tblHeader/>
        </w:trPr>
        <w:tc>
          <w:tcPr>
            <w:tcW w:w="834" w:type="dxa"/>
            <w:shd w:val="clear" w:color="auto" w:fill="0F4761"/>
            <w:vAlign w:val="center"/>
          </w:tcPr>
          <w:p>
            <w:pPr>
              <w:pStyle w:val="TableHeading"/>
              <w:jc w:val="left"/>
            </w:pPr>
            <w:r>
              <w:rPr>
                <w:color w:val="FFFFFF"/>
              </w:rPr>
              <w:t xml:space="preserve">Ref</w:t>
            </w:r>
          </w:p>
        </w:tc>
        <w:tc>
          <w:tcPr>
            <w:tcW w:w="1637" w:type="dxa"/>
            <w:shd w:val="clear" w:color="auto" w:fill="0F4761"/>
            <w:vAlign w:val="center"/>
          </w:tcPr>
          <w:p>
            <w:pPr>
              <w:pStyle w:val="TableHeading"/>
              <w:jc w:val="left"/>
            </w:pPr>
            <w:r>
              <w:rPr>
                <w:color w:val="FFFFFF"/>
              </w:rPr>
              <w:t xml:space="preserve">Segment</w:t>
            </w:r>
          </w:p>
        </w:tc>
        <w:tc>
          <w:tcPr>
            <w:tcW w:w="2841" w:type="dxa"/>
            <w:shd w:val="clear" w:color="auto" w:fill="0F4761"/>
            <w:vAlign w:val="center"/>
          </w:tcPr>
          <w:p>
            <w:pPr>
              <w:pStyle w:val="TableHeading"/>
              <w:jc w:val="left"/>
            </w:pPr>
            <w:r>
              <w:rPr>
                <w:color w:val="FFFFFF"/>
              </w:rPr>
              <w:t xml:space="preserve">Definition</w:t>
            </w:r>
          </w:p>
        </w:tc>
        <w:tc>
          <w:tcPr>
            <w:tcW w:w="1649" w:type="dxa"/>
            <w:shd w:val="clear" w:color="auto" w:fill="0F4761"/>
            <w:vAlign w:val="center"/>
          </w:tcPr>
          <w:p>
            <w:pPr>
              <w:pStyle w:val="TableHeading"/>
              <w:jc w:val="left"/>
            </w:pPr>
            <w:r>
              <w:rPr>
                <w:color w:val="FFFFFF"/>
              </w:rPr>
              <w:t xml:space="preserve">Objective</w:t>
            </w:r>
          </w:p>
        </w:tc>
        <w:tc>
          <w:tcPr>
            <w:tcW w:w="2066" w:type="dxa"/>
            <w:shd w:val="clear" w:color="auto" w:fill="0F4761"/>
            <w:vAlign w:val="center"/>
          </w:tcPr>
          <w:p>
            <w:pPr>
              <w:pStyle w:val="TableHeading"/>
              <w:jc w:val="left"/>
            </w:pPr>
            <w:r>
              <w:rPr>
                <w:color w:val="FFFFFF"/>
              </w:rPr>
              <w:t xml:space="preserve">Journey</w:t>
            </w:r>
          </w:p>
        </w:tc>
      </w:tr>
      <w:tr>
        <w:trPr>
          <w:cantSplit/>
        </w:trPr>
        <w:tc>
          <w:tcPr>
            <w:tcW w:w="834" w:type="dxa"/>
            <w:noWrap/>
            <w:vAlign w:val="top"/>
          </w:tcPr>
          <w:p>
            <w:pPr>
              <w:pStyle w:val="TableText"/>
              <w:jc w:val="left"/>
            </w:pPr>
            <w:r>
              <w:t xml:space="preserve">SEG-1</w:t>
            </w:r>
          </w:p>
        </w:tc>
        <w:tc>
          <w:tcPr>
            <w:tcW w:w="1637" w:type="dxa"/>
            <w:vAlign w:val="top"/>
          </w:tcPr>
          <w:p>
            <w:pPr>
              <w:pStyle w:val="TableText"/>
              <w:jc w:val="left"/>
            </w:pPr>
            <w:r>
              <w:t xml:space="preserve">Uninsured or lapsed</w:t>
            </w:r>
          </w:p>
        </w:tc>
        <w:tc>
          <w:tcPr>
            <w:tcW w:w="2841" w:type="dxa"/>
            <w:vAlign w:val="top"/>
          </w:tcPr>
          <w:p>
            <w:pPr>
              <w:pStyle w:val="TableText"/>
              <w:jc w:val="left"/>
            </w:pPr>
            <w:r>
              <w:t xml:space="preserve">Expiry passed within the last 60 days, confidence at least 0.5</w:t>
            </w:r>
          </w:p>
        </w:tc>
        <w:tc>
          <w:tcPr>
            <w:tcW w:w="1649" w:type="dxa"/>
            <w:vAlign w:val="top"/>
          </w:tcPr>
          <w:p>
            <w:pPr>
              <w:pStyle w:val="TableText"/>
              <w:jc w:val="left"/>
            </w:pPr>
            <w:r>
              <w:t xml:space="preserve">New business</w:t>
            </w:r>
          </w:p>
        </w:tc>
        <w:tc>
          <w:tcPr>
            <w:tcW w:w="2066" w:type="dxa"/>
            <w:vAlign w:val="top"/>
          </w:tcPr>
          <w:p>
            <w:pPr>
              <w:pStyle w:val="TableText"/>
              <w:jc w:val="left"/>
            </w:pPr>
            <w:r>
              <w:t xml:space="preserve">Uninsured recovery (priority 1)</w:t>
            </w:r>
          </w:p>
        </w:tc>
      </w:tr>
      <w:tr>
        <w:trPr>
          <w:cantSplit/>
        </w:trPr>
        <w:tc>
          <w:tcPr>
            <w:tcW w:w="834" w:type="dxa"/>
            <w:shd w:val="clear" w:color="auto" w:fill="F4F7FB"/>
            <w:noWrap/>
            <w:vAlign w:val="top"/>
          </w:tcPr>
          <w:p>
            <w:pPr>
              <w:pStyle w:val="TableText"/>
              <w:jc w:val="left"/>
            </w:pPr>
            <w:r>
              <w:t xml:space="preserve">SEG-2</w:t>
            </w:r>
          </w:p>
        </w:tc>
        <w:tc>
          <w:tcPr>
            <w:tcW w:w="1637" w:type="dxa"/>
            <w:shd w:val="clear" w:color="auto" w:fill="F4F7FB"/>
            <w:vAlign w:val="top"/>
          </w:tcPr>
          <w:p>
            <w:pPr>
              <w:pStyle w:val="TableText"/>
              <w:jc w:val="left"/>
            </w:pPr>
            <w:r>
              <w:t xml:space="preserve">New vehicle</w:t>
            </w:r>
          </w:p>
        </w:tc>
        <w:tc>
          <w:tcPr>
            <w:tcW w:w="2841" w:type="dxa"/>
            <w:shd w:val="clear" w:color="auto" w:fill="F4F7FB"/>
            <w:vAlign w:val="top"/>
          </w:tcPr>
          <w:p>
            <w:pPr>
              <w:pStyle w:val="TableText"/>
              <w:jc w:val="left"/>
            </w:pPr>
            <w:r>
              <w:t xml:space="preserve">Tag activated in the last 60 days, insurer not TASCO</w:t>
            </w:r>
          </w:p>
        </w:tc>
        <w:tc>
          <w:tcPr>
            <w:tcW w:w="1649" w:type="dxa"/>
            <w:shd w:val="clear" w:color="auto" w:fill="F4F7FB"/>
            <w:vAlign w:val="top"/>
          </w:tcPr>
          <w:p>
            <w:pPr>
              <w:pStyle w:val="TableText"/>
              <w:jc w:val="left"/>
            </w:pPr>
            <w:r>
              <w:t xml:space="preserve">New business</w:t>
            </w:r>
          </w:p>
        </w:tc>
        <w:tc>
          <w:tcPr>
            <w:tcW w:w="2066" w:type="dxa"/>
            <w:shd w:val="clear" w:color="auto" w:fill="F4F7FB"/>
            <w:vAlign w:val="top"/>
          </w:tcPr>
          <w:p>
            <w:pPr>
              <w:pStyle w:val="TableText"/>
              <w:jc w:val="left"/>
            </w:pPr>
            <w:r>
              <w:t xml:space="preserve">New vehicle (priority 2)</w:t>
            </w:r>
          </w:p>
        </w:tc>
      </w:tr>
      <w:tr>
        <w:trPr>
          <w:cantSplit/>
        </w:trPr>
        <w:tc>
          <w:tcPr>
            <w:tcW w:w="834" w:type="dxa"/>
            <w:noWrap/>
            <w:vAlign w:val="top"/>
          </w:tcPr>
          <w:p>
            <w:pPr>
              <w:pStyle w:val="TableText"/>
              <w:jc w:val="left"/>
            </w:pPr>
            <w:r>
              <w:t xml:space="preserve">SEG-3</w:t>
            </w:r>
          </w:p>
        </w:tc>
        <w:tc>
          <w:tcPr>
            <w:tcW w:w="1637" w:type="dxa"/>
            <w:vAlign w:val="top"/>
          </w:tcPr>
          <w:p>
            <w:pPr>
              <w:pStyle w:val="TableText"/>
              <w:jc w:val="left"/>
            </w:pPr>
            <w:r>
              <w:t xml:space="preserve">TASCO renewal</w:t>
            </w:r>
          </w:p>
        </w:tc>
        <w:tc>
          <w:tcPr>
            <w:tcW w:w="2841" w:type="dxa"/>
            <w:vAlign w:val="top"/>
          </w:tcPr>
          <w:p>
            <w:pPr>
              <w:pStyle w:val="TableText"/>
              <w:jc w:val="left"/>
            </w:pPr>
            <w:r>
              <w:t xml:space="preserve">Current insurer is TASCO</w:t>
            </w:r>
          </w:p>
        </w:tc>
        <w:tc>
          <w:tcPr>
            <w:tcW w:w="1649" w:type="dxa"/>
            <w:vAlign w:val="top"/>
          </w:tcPr>
          <w:p>
            <w:pPr>
              <w:pStyle w:val="TableText"/>
              <w:jc w:val="left"/>
            </w:pPr>
            <w:r>
              <w:t xml:space="preserve">Retention</w:t>
            </w:r>
          </w:p>
        </w:tc>
        <w:tc>
          <w:tcPr>
            <w:tcW w:w="2066" w:type="dxa"/>
            <w:vAlign w:val="top"/>
          </w:tcPr>
          <w:p>
            <w:pPr>
              <w:pStyle w:val="TableText"/>
              <w:jc w:val="left"/>
            </w:pPr>
            <w:r>
              <w:t xml:space="preserve">Renewal, TASCO book (priority 3)</w:t>
            </w:r>
          </w:p>
        </w:tc>
      </w:tr>
      <w:tr>
        <w:trPr>
          <w:cantSplit/>
        </w:trPr>
        <w:tc>
          <w:tcPr>
            <w:tcW w:w="834" w:type="dxa"/>
            <w:shd w:val="clear" w:color="auto" w:fill="F4F7FB"/>
            <w:noWrap/>
            <w:vAlign w:val="top"/>
          </w:tcPr>
          <w:p>
            <w:pPr>
              <w:pStyle w:val="TableText"/>
              <w:jc w:val="left"/>
            </w:pPr>
            <w:r>
              <w:t xml:space="preserve">SEG-4</w:t>
            </w:r>
          </w:p>
        </w:tc>
        <w:tc>
          <w:tcPr>
            <w:tcW w:w="1637" w:type="dxa"/>
            <w:shd w:val="clear" w:color="auto" w:fill="F4F7FB"/>
            <w:vAlign w:val="top"/>
          </w:tcPr>
          <w:p>
            <w:pPr>
              <w:pStyle w:val="TableText"/>
              <w:jc w:val="left"/>
            </w:pPr>
            <w:r>
              <w:t xml:space="preserve">Conquest</w:t>
            </w:r>
          </w:p>
        </w:tc>
        <w:tc>
          <w:tcPr>
            <w:tcW w:w="2841" w:type="dxa"/>
            <w:shd w:val="clear" w:color="auto" w:fill="F4F7FB"/>
            <w:vAlign w:val="top"/>
          </w:tcPr>
          <w:p>
            <w:pPr>
              <w:pStyle w:val="TableText"/>
              <w:jc w:val="left"/>
            </w:pPr>
            <w:r>
              <w:t xml:space="preserve">Insured elsewhere or insurer unknown</w:t>
            </w:r>
          </w:p>
        </w:tc>
        <w:tc>
          <w:tcPr>
            <w:tcW w:w="1649" w:type="dxa"/>
            <w:shd w:val="clear" w:color="auto" w:fill="F4F7FB"/>
            <w:vAlign w:val="top"/>
          </w:tcPr>
          <w:p>
            <w:pPr>
              <w:pStyle w:val="TableText"/>
              <w:jc w:val="left"/>
            </w:pPr>
            <w:r>
              <w:t xml:space="preserve">New business</w:t>
            </w:r>
          </w:p>
        </w:tc>
        <w:tc>
          <w:tcPr>
            <w:tcW w:w="2066" w:type="dxa"/>
            <w:shd w:val="clear" w:color="auto" w:fill="F4F7FB"/>
            <w:vAlign w:val="top"/>
          </w:tcPr>
          <w:p>
            <w:pPr>
              <w:pStyle w:val="TableText"/>
              <w:jc w:val="left"/>
            </w:pPr>
            <w:r>
              <w:t xml:space="preserve">Conquest, other insurer (priority 4)</w:t>
            </w:r>
          </w:p>
        </w:tc>
      </w:tr>
      <w:tr>
        <w:trPr>
          <w:cantSplit/>
        </w:trPr>
        <w:tc>
          <w:tcPr>
            <w:tcW w:w="834" w:type="dxa"/>
            <w:noWrap/>
            <w:vAlign w:val="top"/>
          </w:tcPr>
          <w:p>
            <w:pPr>
              <w:pStyle w:val="TableText"/>
              <w:jc w:val="left"/>
            </w:pPr>
            <w:r>
              <w:t xml:space="preserve">SEG-5</w:t>
            </w:r>
          </w:p>
        </w:tc>
        <w:tc>
          <w:tcPr>
            <w:tcW w:w="1637" w:type="dxa"/>
            <w:noWrap/>
            <w:vAlign w:val="top"/>
          </w:tcPr>
          <w:p>
            <w:pPr>
              <w:pStyle w:val="TableText"/>
              <w:jc w:val="left"/>
            </w:pPr>
            <w:r>
              <w:t xml:space="preserve">Cross-sell</w:t>
            </w:r>
          </w:p>
        </w:tc>
        <w:tc>
          <w:tcPr>
            <w:tcW w:w="2841" w:type="dxa"/>
            <w:vAlign w:val="top"/>
          </w:tcPr>
          <w:p>
            <w:pPr>
              <w:pStyle w:val="TableText"/>
              <w:jc w:val="left"/>
            </w:pPr>
            <w:r>
              <w:t xml:space="preserve">Bought TNDS only and gave marketing consent</w:t>
            </w:r>
          </w:p>
        </w:tc>
        <w:tc>
          <w:tcPr>
            <w:tcW w:w="1649" w:type="dxa"/>
            <w:noWrap/>
            <w:vAlign w:val="top"/>
          </w:tcPr>
          <w:p>
            <w:pPr>
              <w:pStyle w:val="TableText"/>
              <w:jc w:val="left"/>
            </w:pPr>
            <w:r>
              <w:t xml:space="preserve">Cross-sell</w:t>
            </w:r>
          </w:p>
        </w:tc>
        <w:tc>
          <w:tcPr>
            <w:tcW w:w="2066" w:type="dxa"/>
            <w:vAlign w:val="top"/>
          </w:tcPr>
          <w:p>
            <w:pPr>
              <w:pStyle w:val="TableText"/>
              <w:jc w:val="left"/>
            </w:pPr>
            <w:r>
              <w:t xml:space="preserve">Cross-sell, one day after purchase</w:t>
            </w:r>
          </w:p>
        </w:tc>
      </w:tr>
      <w:tr>
        <w:trPr>
          <w:cantSplit/>
        </w:trPr>
        <w:tc>
          <w:tcPr>
            <w:tcW w:w="834" w:type="dxa"/>
            <w:shd w:val="clear" w:color="auto" w:fill="F4F7FB"/>
            <w:noWrap/>
            <w:vAlign w:val="top"/>
          </w:tcPr>
          <w:p>
            <w:pPr>
              <w:pStyle w:val="TableText"/>
              <w:jc w:val="left"/>
            </w:pPr>
            <w:r>
              <w:t xml:space="preserve">SEG-6</w:t>
            </w:r>
          </w:p>
        </w:tc>
        <w:tc>
          <w:tcPr>
            <w:tcW w:w="1637" w:type="dxa"/>
            <w:shd w:val="clear" w:color="auto" w:fill="F4F7FB"/>
            <w:vAlign w:val="top"/>
          </w:tcPr>
          <w:p>
            <w:pPr>
              <w:pStyle w:val="TableText"/>
              <w:jc w:val="left"/>
            </w:pPr>
            <w:r>
              <w:t xml:space="preserve">Fleet</w:t>
            </w:r>
          </w:p>
        </w:tc>
        <w:tc>
          <w:tcPr>
            <w:tcW w:w="2841" w:type="dxa"/>
            <w:shd w:val="clear" w:color="auto" w:fill="F4F7FB"/>
            <w:vAlign w:val="top"/>
          </w:tcPr>
          <w:p>
            <w:pPr>
              <w:pStyle w:val="TableText"/>
              <w:jc w:val="left"/>
            </w:pPr>
            <w:r>
              <w:t xml:space="preserve">Company-owned vehicle</w:t>
            </w:r>
          </w:p>
        </w:tc>
        <w:tc>
          <w:tcPr>
            <w:tcW w:w="1649" w:type="dxa"/>
            <w:shd w:val="clear" w:color="auto" w:fill="F4F7FB"/>
            <w:vAlign w:val="top"/>
          </w:tcPr>
          <w:p>
            <w:pPr>
              <w:pStyle w:val="TableText"/>
              <w:jc w:val="left"/>
            </w:pPr>
            <w:r>
              <w:t xml:space="preserve">New business and retention</w:t>
            </w:r>
          </w:p>
        </w:tc>
        <w:tc>
          <w:tcPr>
            <w:tcW w:w="2066" w:type="dxa"/>
            <w:shd w:val="clear" w:color="auto" w:fill="F4F7FB"/>
            <w:vAlign w:val="top"/>
          </w:tcPr>
          <w:p>
            <w:pPr>
              <w:pStyle w:val="TableText"/>
              <w:jc w:val="left"/>
            </w:pPr>
            <w:r>
              <w:t xml:space="preserve">Routed to the B2B team</w:t>
            </w:r>
          </w:p>
        </w:tc>
      </w:tr>
      <w:tr>
        <w:trPr>
          <w:cantSplit/>
        </w:trPr>
        <w:tc>
          <w:tcPr>
            <w:tcW w:w="834" w:type="dxa"/>
            <w:noWrap/>
            <w:vAlign w:val="top"/>
          </w:tcPr>
          <w:p>
            <w:pPr>
              <w:pStyle w:val="TableText"/>
              <w:jc w:val="left"/>
            </w:pPr>
            <w:r>
              <w:t xml:space="preserve">SEG-7</w:t>
            </w:r>
          </w:p>
        </w:tc>
        <w:tc>
          <w:tcPr>
            <w:tcW w:w="1637" w:type="dxa"/>
            <w:noWrap/>
            <w:vAlign w:val="top"/>
          </w:tcPr>
          <w:p>
            <w:pPr>
              <w:pStyle w:val="TableText"/>
              <w:jc w:val="left"/>
            </w:pPr>
            <w:r>
              <w:t xml:space="preserve">Partner-led</w:t>
            </w:r>
          </w:p>
        </w:tc>
        <w:tc>
          <w:tcPr>
            <w:tcW w:w="2841" w:type="dxa"/>
            <w:vAlign w:val="top"/>
          </w:tcPr>
          <w:p>
            <w:pPr>
              <w:pStyle w:val="TableText"/>
              <w:jc w:val="left"/>
            </w:pPr>
            <w:r>
              <w:t xml:space="preserve">Sold by a bank, showroom, agent, fleet operator or inspection centre</w:t>
            </w:r>
          </w:p>
        </w:tc>
        <w:tc>
          <w:tcPr>
            <w:tcW w:w="1649" w:type="dxa"/>
            <w:vAlign w:val="top"/>
          </w:tcPr>
          <w:p>
            <w:pPr>
              <w:pStyle w:val="TableText"/>
              <w:jc w:val="left"/>
            </w:pPr>
            <w:r>
              <w:t xml:space="preserve">New business</w:t>
            </w:r>
          </w:p>
        </w:tc>
        <w:tc>
          <w:tcPr>
            <w:tcW w:w="2066" w:type="dxa"/>
            <w:vAlign w:val="top"/>
          </w:tcPr>
          <w:p>
            <w:pPr>
              <w:pStyle w:val="TableText"/>
              <w:jc w:val="left"/>
            </w:pPr>
            <w:r>
              <w:t xml:space="preserve">Partner API</w:t>
            </w:r>
          </w:p>
        </w:tc>
      </w:tr>
    </w:tbl>
    <w:p>
      <w:pPr>
        <w:pStyle w:val="BodyText"/>
        <w:spacing w:before="160"/>
      </w:pPr>
      <w:r>
        <w:t xml:space="preserve">The diagram shows how a vehicle reaches a journey. Separately, a vehicle whose expiry confidence is below 0.5 receives</w:t>
      </w:r>
      <w:r>
        <w:t xml:space="preserve"> </w:t>
      </w:r>
      <w:r>
        <w:t xml:space="preserve">“</w:t>
      </w:r>
      <w:r>
        <w:t xml:space="preserve">Ask customer to confirm expiry</w:t>
      </w:r>
      <w:r>
        <w:t xml:space="preserve">”</w:t>
      </w:r>
      <w:r>
        <w:t xml:space="preserve"> </w:t>
      </w:r>
      <w:r>
        <w:t xml:space="preserve">as its next best action, so data repair comes before selling.</w:t>
      </w:r>
    </w:p>
    <w:p xmlns:a="http://schemas.openxmlformats.org/drawingml/2006/main" xmlns:pic="http://schemas.openxmlformats.org/drawingml/2006/picture">
      <w:pPr>
        <w:pStyle w:val="Figure"/>
      </w:pPr>
      <w:r>
        <w:drawing>
          <wp:inline>
            <wp:extent cx="5727700" cy="6172030"/>
            <wp:effectExtent b="0" l="0" r="0" t="0"/>
            <wp:docPr descr="How a vehicle record is routed to a journey" title="" id="5003" name="Picture"/>
            <a:graphic>
              <a:graphicData uri="http://schemas.openxmlformats.org/drawingml/2006/picture">
                <pic:pic>
                  <pic:nvPicPr>
                    <pic:cNvPr descr="/tmp/claude-0/-home-user-TASCO/19e5534d-12b5-5956-9b60-3e77efde0f49/scratchpad/gen/.cache/mermaid/7b17ed5194878966.png" id="40" name="Picture"/>
                    <pic:cNvPicPr>
                      <a:picLocks noChangeArrowheads="1" noChangeAspect="1"/>
                    </pic:cNvPicPr>
                  </pic:nvPicPr>
                  <pic:blipFill>
                    <a:blip r:embed="rIdG3"/>
                    <a:stretch>
                      <a:fillRect/>
                    </a:stretch>
                  </pic:blipFill>
                  <pic:spPr bwMode="auto">
                    <a:xfrm>
                      <a:off x="0" y="0"/>
                      <a:ext cx="5727700" cy="6172030"/>
                    </a:xfrm>
                    <a:prstGeom prst="rect">
                      <a:avLst/>
                    </a:prstGeom>
                    <a:noFill/>
                    <a:ln w="9525">
                      <a:noFill/>
                      <a:headEnd/>
                      <a:tailEnd/>
                    </a:ln>
                  </pic:spPr>
                </pic:pic>
              </a:graphicData>
            </a:graphic>
          </wp:inline>
        </w:drawing>
      </w:r>
    </w:p>
    <w:p>
      <w:pPr>
        <w:pStyle w:val="Caption"/>
      </w:pPr>
      <w:r>
        <w:t xml:space="preserve">Figure 2 – How a vehicle record is routed to a journey</w:t>
      </w:r>
    </w:p>
    <w:p>
      <w:pPr>
        <w:pStyle w:val="Heading2"/>
      </w:pPr>
      <w:bookmarkStart w:id="23" w:name="_Toc300000019"/>
      <w:r>
        <w:t xml:space="preserve">Plays by segment</w:t>
      </w:r>
      <w:bookmarkEnd w:id="23"/>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542"/>
        <w:gridCol w:w="2050"/>
        <w:gridCol w:w="1848"/>
        <w:gridCol w:w="1231"/>
        <w:gridCol w:w="2356"/>
      </w:tblGrid>
      <w:tr>
        <w:trPr>
          <w:cantSplit/>
          <w:tblHeader/>
        </w:trPr>
        <w:tc>
          <w:tcPr>
            <w:tcW w:w="1542" w:type="dxa"/>
            <w:shd w:val="clear" w:color="auto" w:fill="0F4761"/>
            <w:vAlign w:val="center"/>
          </w:tcPr>
          <w:p>
            <w:pPr>
              <w:pStyle w:val="TableHeading"/>
              <w:jc w:val="left"/>
            </w:pPr>
            <w:r>
              <w:rPr>
                <w:color w:val="FFFFFF"/>
              </w:rPr>
              <w:t xml:space="preserve">Segment</w:t>
            </w:r>
          </w:p>
        </w:tc>
        <w:tc>
          <w:tcPr>
            <w:tcW w:w="2050" w:type="dxa"/>
            <w:shd w:val="clear" w:color="auto" w:fill="0F4761"/>
            <w:vAlign w:val="center"/>
          </w:tcPr>
          <w:p>
            <w:pPr>
              <w:pStyle w:val="TableHeading"/>
              <w:jc w:val="left"/>
            </w:pPr>
            <w:r>
              <w:rPr>
                <w:color w:val="FFFFFF"/>
              </w:rPr>
              <w:t xml:space="preserve">Why they buy here</w:t>
            </w:r>
          </w:p>
        </w:tc>
        <w:tc>
          <w:tcPr>
            <w:tcW w:w="1848" w:type="dxa"/>
            <w:shd w:val="clear" w:color="auto" w:fill="0F4761"/>
            <w:vAlign w:val="center"/>
          </w:tcPr>
          <w:p>
            <w:pPr>
              <w:pStyle w:val="TableHeading"/>
              <w:jc w:val="left"/>
            </w:pPr>
            <w:r>
              <w:rPr>
                <w:color w:val="FFFFFF"/>
              </w:rPr>
              <w:t xml:space="preserve">Lead message</w:t>
            </w:r>
          </w:p>
        </w:tc>
        <w:tc>
          <w:tcPr>
            <w:tcW w:w="1231" w:type="dxa"/>
            <w:shd w:val="clear" w:color="auto" w:fill="0F4761"/>
            <w:vAlign w:val="center"/>
          </w:tcPr>
          <w:p>
            <w:pPr>
              <w:pStyle w:val="TableHeading"/>
              <w:jc w:val="left"/>
            </w:pPr>
            <w:r>
              <w:rPr>
                <w:color w:val="FFFFFF"/>
              </w:rPr>
              <w:t xml:space="preserve">Channel order</w:t>
            </w:r>
          </w:p>
        </w:tc>
        <w:tc>
          <w:tcPr>
            <w:tcW w:w="2356" w:type="dxa"/>
            <w:shd w:val="clear" w:color="auto" w:fill="0F4761"/>
            <w:vAlign w:val="center"/>
          </w:tcPr>
          <w:p>
            <w:pPr>
              <w:pStyle w:val="TableHeading"/>
              <w:jc w:val="left"/>
            </w:pPr>
            <w:r>
              <w:rPr>
                <w:color w:val="FFFFFF"/>
              </w:rPr>
              <w:t xml:space="preserve">Escalation</w:t>
            </w:r>
          </w:p>
        </w:tc>
      </w:tr>
      <w:tr>
        <w:trPr>
          <w:cantSplit/>
        </w:trPr>
        <w:tc>
          <w:tcPr>
            <w:tcW w:w="1542" w:type="dxa"/>
            <w:vAlign w:val="top"/>
          </w:tcPr>
          <w:p>
            <w:pPr>
              <w:pStyle w:val="TableText"/>
              <w:jc w:val="left"/>
            </w:pPr>
            <w:r>
              <w:t xml:space="preserve">SEG-1 Lapsed</w:t>
            </w:r>
          </w:p>
        </w:tc>
        <w:tc>
          <w:tcPr>
            <w:tcW w:w="2050" w:type="dxa"/>
            <w:vAlign w:val="top"/>
          </w:tcPr>
          <w:p>
            <w:pPr>
              <w:pStyle w:val="TableText"/>
              <w:jc w:val="left"/>
            </w:pPr>
            <w:r>
              <w:t xml:space="preserve">Legal exposure; inspection blocked without TNDS</w:t>
            </w:r>
          </w:p>
        </w:tc>
        <w:tc>
          <w:tcPr>
            <w:tcW w:w="1848" w:type="dxa"/>
            <w:vAlign w:val="top"/>
          </w:tcPr>
          <w:p>
            <w:pPr>
              <w:pStyle w:val="TableText"/>
              <w:jc w:val="left"/>
            </w:pPr>
            <w:r>
              <w:t xml:space="preserve">Lapsed notice (service)</w:t>
            </w:r>
          </w:p>
        </w:tc>
        <w:tc>
          <w:tcPr>
            <w:tcW w:w="1231" w:type="dxa"/>
            <w:vAlign w:val="top"/>
          </w:tcPr>
          <w:p>
            <w:pPr>
              <w:pStyle w:val="TableText"/>
              <w:jc w:val="left"/>
            </w:pPr>
            <w:r>
              <w:t xml:space="preserve">Push, Zalo, SMS</w:t>
            </w:r>
          </w:p>
        </w:tc>
        <w:tc>
          <w:tcPr>
            <w:tcW w:w="2356" w:type="dxa"/>
            <w:vAlign w:val="top"/>
          </w:tcPr>
          <w:p>
            <w:pPr>
              <w:pStyle w:val="TableText"/>
              <w:jc w:val="left"/>
            </w:pPr>
            <w:r>
              <w:t xml:space="preserve">Assistant at day 2 (hot or warm); telesales at day 5 (hot)</w:t>
            </w:r>
          </w:p>
        </w:tc>
      </w:tr>
      <w:tr>
        <w:trPr>
          <w:cantSplit/>
        </w:trPr>
        <w:tc>
          <w:tcPr>
            <w:tcW w:w="1542" w:type="dxa"/>
            <w:shd w:val="clear" w:color="auto" w:fill="F4F7FB"/>
            <w:vAlign w:val="top"/>
          </w:tcPr>
          <w:p>
            <w:pPr>
              <w:pStyle w:val="TableText"/>
              <w:jc w:val="left"/>
            </w:pPr>
            <w:r>
              <w:t xml:space="preserve">SEG-2 New vehicle</w:t>
            </w:r>
          </w:p>
        </w:tc>
        <w:tc>
          <w:tcPr>
            <w:tcW w:w="2050" w:type="dxa"/>
            <w:shd w:val="clear" w:color="auto" w:fill="F4F7FB"/>
            <w:vAlign w:val="top"/>
          </w:tcPr>
          <w:p>
            <w:pPr>
              <w:pStyle w:val="TableText"/>
              <w:jc w:val="left"/>
            </w:pPr>
            <w:r>
              <w:t xml:space="preserve">First weeks in the ecosystem</w:t>
            </w:r>
          </w:p>
        </w:tc>
        <w:tc>
          <w:tcPr>
            <w:tcW w:w="1848" w:type="dxa"/>
            <w:shd w:val="clear" w:color="auto" w:fill="F4F7FB"/>
            <w:vAlign w:val="top"/>
          </w:tcPr>
          <w:p>
            <w:pPr>
              <w:pStyle w:val="TableText"/>
              <w:jc w:val="left"/>
            </w:pPr>
            <w:r>
              <w:t xml:space="preserve">Welcome; confirm expiry</w:t>
            </w:r>
          </w:p>
        </w:tc>
        <w:tc>
          <w:tcPr>
            <w:tcW w:w="1231" w:type="dxa"/>
            <w:shd w:val="clear" w:color="auto" w:fill="F4F7FB"/>
            <w:vAlign w:val="top"/>
          </w:tcPr>
          <w:p>
            <w:pPr>
              <w:pStyle w:val="TableText"/>
              <w:jc w:val="left"/>
            </w:pPr>
            <w:r>
              <w:t xml:space="preserve">Push, Zalo</w:t>
            </w:r>
          </w:p>
        </w:tc>
        <w:tc>
          <w:tcPr>
            <w:tcW w:w="2356" w:type="dxa"/>
            <w:shd w:val="clear" w:color="auto" w:fill="F4F7FB"/>
            <w:vAlign w:val="top"/>
          </w:tcPr>
          <w:p>
            <w:pPr>
              <w:pStyle w:val="TableText"/>
              <w:jc w:val="left"/>
            </w:pPr>
            <w:r>
              <w:t xml:space="preserve">Value reminder at day 14</w:t>
            </w:r>
          </w:p>
        </w:tc>
      </w:tr>
      <w:tr>
        <w:trPr>
          <w:cantSplit/>
        </w:trPr>
        <w:tc>
          <w:tcPr>
            <w:tcW w:w="1542" w:type="dxa"/>
            <w:vAlign w:val="top"/>
          </w:tcPr>
          <w:p>
            <w:pPr>
              <w:pStyle w:val="TableText"/>
              <w:jc w:val="left"/>
            </w:pPr>
            <w:r>
              <w:t xml:space="preserve">SEG-3 Renewal</w:t>
            </w:r>
          </w:p>
        </w:tc>
        <w:tc>
          <w:tcPr>
            <w:tcW w:w="2050" w:type="dxa"/>
            <w:vAlign w:val="top"/>
          </w:tcPr>
          <w:p>
            <w:pPr>
              <w:pStyle w:val="TableText"/>
              <w:jc w:val="left"/>
            </w:pPr>
            <w:r>
              <w:t xml:space="preserve">Already a TASCO customer</w:t>
            </w:r>
          </w:p>
        </w:tc>
        <w:tc>
          <w:tcPr>
            <w:tcW w:w="1848" w:type="dxa"/>
            <w:vAlign w:val="top"/>
          </w:tcPr>
          <w:p>
            <w:pPr>
              <w:pStyle w:val="TableText"/>
              <w:jc w:val="left"/>
            </w:pPr>
            <w:r>
              <w:t xml:space="preserve">First, urgent and expiry-day reminders</w:t>
            </w:r>
          </w:p>
        </w:tc>
        <w:tc>
          <w:tcPr>
            <w:tcW w:w="1231" w:type="dxa"/>
            <w:vAlign w:val="top"/>
          </w:tcPr>
          <w:p>
            <w:pPr>
              <w:pStyle w:val="TableText"/>
              <w:jc w:val="left"/>
            </w:pPr>
            <w:r>
              <w:t xml:space="preserve">Push, Zalo, SMS</w:t>
            </w:r>
          </w:p>
        </w:tc>
        <w:tc>
          <w:tcPr>
            <w:tcW w:w="2356" w:type="dxa"/>
            <w:vAlign w:val="top"/>
          </w:tcPr>
          <w:p>
            <w:pPr>
              <w:pStyle w:val="TableText"/>
              <w:jc w:val="left"/>
            </w:pPr>
            <w:r>
              <w:t xml:space="preserve">Assistant at 14 days before expiry (hot or warm); telesales at 3 days (hot)</w:t>
            </w:r>
          </w:p>
        </w:tc>
      </w:tr>
      <w:tr>
        <w:trPr>
          <w:cantSplit/>
        </w:trPr>
        <w:tc>
          <w:tcPr>
            <w:tcW w:w="1542" w:type="dxa"/>
            <w:shd w:val="clear" w:color="auto" w:fill="F4F7FB"/>
            <w:vAlign w:val="top"/>
          </w:tcPr>
          <w:p>
            <w:pPr>
              <w:pStyle w:val="TableText"/>
              <w:jc w:val="left"/>
            </w:pPr>
            <w:r>
              <w:t xml:space="preserve">SEG-4 Conquest</w:t>
            </w:r>
          </w:p>
        </w:tc>
        <w:tc>
          <w:tcPr>
            <w:tcW w:w="2050" w:type="dxa"/>
            <w:shd w:val="clear" w:color="auto" w:fill="F4F7FB"/>
            <w:vAlign w:val="top"/>
          </w:tcPr>
          <w:p>
            <w:pPr>
              <w:pStyle w:val="TableText"/>
              <w:jc w:val="left"/>
            </w:pPr>
            <w:r>
              <w:t xml:space="preserve">Same regulated price, better service</w:t>
            </w:r>
          </w:p>
        </w:tc>
        <w:tc>
          <w:tcPr>
            <w:tcW w:w="1848" w:type="dxa"/>
            <w:shd w:val="clear" w:color="auto" w:fill="F4F7FB"/>
            <w:vAlign w:val="top"/>
          </w:tcPr>
          <w:p>
            <w:pPr>
              <w:pStyle w:val="TableText"/>
              <w:jc w:val="left"/>
            </w:pPr>
            <w:r>
              <w:t xml:space="preserve">Conquest and value reminders</w:t>
            </w:r>
          </w:p>
        </w:tc>
        <w:tc>
          <w:tcPr>
            <w:tcW w:w="1231" w:type="dxa"/>
            <w:shd w:val="clear" w:color="auto" w:fill="F4F7FB"/>
            <w:vAlign w:val="top"/>
          </w:tcPr>
          <w:p>
            <w:pPr>
              <w:pStyle w:val="TableText"/>
              <w:jc w:val="left"/>
            </w:pPr>
            <w:r>
              <w:t xml:space="preserve">Push, Zalo, SMS</w:t>
            </w:r>
          </w:p>
        </w:tc>
        <w:tc>
          <w:tcPr>
            <w:tcW w:w="2356" w:type="dxa"/>
            <w:shd w:val="clear" w:color="auto" w:fill="F4F7FB"/>
            <w:vAlign w:val="top"/>
          </w:tcPr>
          <w:p>
            <w:pPr>
              <w:pStyle w:val="TableText"/>
              <w:jc w:val="left"/>
            </w:pPr>
            <w:r>
              <w:t xml:space="preserve">Assistant at 14 days before expiry (hot only)</w:t>
            </w:r>
          </w:p>
        </w:tc>
      </w:tr>
      <w:tr>
        <w:trPr>
          <w:cantSplit/>
        </w:trPr>
        <w:tc>
          <w:tcPr>
            <w:tcW w:w="1542" w:type="dxa"/>
            <w:vAlign w:val="top"/>
          </w:tcPr>
          <w:p>
            <w:pPr>
              <w:pStyle w:val="TableText"/>
              <w:jc w:val="left"/>
            </w:pPr>
            <w:r>
              <w:t xml:space="preserve">SEG-5 Cross-sell</w:t>
            </w:r>
          </w:p>
        </w:tc>
        <w:tc>
          <w:tcPr>
            <w:tcW w:w="2050" w:type="dxa"/>
            <w:vAlign w:val="top"/>
          </w:tcPr>
          <w:p>
            <w:pPr>
              <w:pStyle w:val="TableText"/>
              <w:jc w:val="left"/>
            </w:pPr>
            <w:r>
              <w:t xml:space="preserve">TNDS covers only third parties</w:t>
            </w:r>
          </w:p>
        </w:tc>
        <w:tc>
          <w:tcPr>
            <w:tcW w:w="1848" w:type="dxa"/>
            <w:noWrap/>
            <w:vAlign w:val="top"/>
          </w:tcPr>
          <w:p>
            <w:pPr>
              <w:pStyle w:val="TableText"/>
              <w:jc w:val="left"/>
            </w:pPr>
            <w:r>
              <w:t xml:space="preserve">Cross-sell</w:t>
            </w:r>
          </w:p>
        </w:tc>
        <w:tc>
          <w:tcPr>
            <w:tcW w:w="1231" w:type="dxa"/>
            <w:vAlign w:val="top"/>
          </w:tcPr>
          <w:p>
            <w:pPr>
              <w:pStyle w:val="TableText"/>
              <w:jc w:val="left"/>
            </w:pPr>
            <w:r>
              <w:t xml:space="preserve">Push, Zalo</w:t>
            </w:r>
          </w:p>
        </w:tc>
        <w:tc>
          <w:tcPr>
            <w:tcW w:w="2356" w:type="dxa"/>
            <w:vAlign w:val="top"/>
          </w:tcPr>
          <w:p>
            <w:pPr>
              <w:pStyle w:val="TableText"/>
              <w:jc w:val="left"/>
            </w:pPr>
            <w:r>
              <w:t xml:space="preserve">None; marketing consent required</w:t>
            </w:r>
          </w:p>
        </w:tc>
      </w:tr>
      <w:tr>
        <w:trPr>
          <w:cantSplit/>
        </w:trPr>
        <w:tc>
          <w:tcPr>
            <w:tcW w:w="1542" w:type="dxa"/>
            <w:shd w:val="clear" w:color="auto" w:fill="F4F7FB"/>
            <w:vAlign w:val="top"/>
          </w:tcPr>
          <w:p>
            <w:pPr>
              <w:pStyle w:val="TableText"/>
              <w:jc w:val="left"/>
            </w:pPr>
            <w:r>
              <w:t xml:space="preserve">SEG-6 Fleet</w:t>
            </w:r>
          </w:p>
        </w:tc>
        <w:tc>
          <w:tcPr>
            <w:tcW w:w="2050" w:type="dxa"/>
            <w:shd w:val="clear" w:color="auto" w:fill="F4F7FB"/>
            <w:vAlign w:val="top"/>
          </w:tcPr>
          <w:p>
            <w:pPr>
              <w:pStyle w:val="TableText"/>
              <w:jc w:val="left"/>
            </w:pPr>
            <w:r>
              <w:t xml:space="preserve">One view and one VAT invoice</w:t>
            </w:r>
          </w:p>
        </w:tc>
        <w:tc>
          <w:tcPr>
            <w:tcW w:w="1848" w:type="dxa"/>
            <w:shd w:val="clear" w:color="auto" w:fill="F4F7FB"/>
            <w:vAlign w:val="top"/>
          </w:tcPr>
          <w:p>
            <w:pPr>
              <w:pStyle w:val="TableText"/>
              <w:jc w:val="left"/>
            </w:pPr>
            <w:r>
              <w:t xml:space="preserve">Account management</w:t>
            </w:r>
          </w:p>
        </w:tc>
        <w:tc>
          <w:tcPr>
            <w:tcW w:w="1231" w:type="dxa"/>
            <w:shd w:val="clear" w:color="auto" w:fill="F4F7FB"/>
            <w:vAlign w:val="top"/>
          </w:tcPr>
          <w:p>
            <w:pPr>
              <w:pStyle w:val="TableText"/>
              <w:jc w:val="left"/>
            </w:pPr>
            <w:r>
              <w:t xml:space="preserve">B2B team</w:t>
            </w:r>
          </w:p>
        </w:tc>
        <w:tc>
          <w:tcPr>
            <w:tcW w:w="2356" w:type="dxa"/>
            <w:shd w:val="clear" w:color="auto" w:fill="F4F7FB"/>
            <w:vAlign w:val="top"/>
          </w:tcPr>
          <w:p>
            <w:pPr>
              <w:pStyle w:val="TableText"/>
              <w:jc w:val="left"/>
            </w:pPr>
            <w:r>
              <w:t xml:space="preserve">None</w:t>
            </w:r>
          </w:p>
        </w:tc>
      </w:tr>
      <w:tr>
        <w:trPr>
          <w:cantSplit/>
        </w:trPr>
        <w:tc>
          <w:tcPr>
            <w:tcW w:w="1542" w:type="dxa"/>
            <w:vAlign w:val="top"/>
          </w:tcPr>
          <w:p>
            <w:pPr>
              <w:pStyle w:val="TableText"/>
              <w:jc w:val="left"/>
            </w:pPr>
            <w:r>
              <w:t xml:space="preserve">SEG-7 Partner</w:t>
            </w:r>
          </w:p>
        </w:tc>
        <w:tc>
          <w:tcPr>
            <w:tcW w:w="2050" w:type="dxa"/>
            <w:vAlign w:val="top"/>
          </w:tcPr>
          <w:p>
            <w:pPr>
              <w:pStyle w:val="TableText"/>
              <w:jc w:val="left"/>
            </w:pPr>
            <w:r>
              <w:t xml:space="preserve">Partner closes faster with VETC data</w:t>
            </w:r>
          </w:p>
        </w:tc>
        <w:tc>
          <w:tcPr>
            <w:tcW w:w="1848" w:type="dxa"/>
            <w:vAlign w:val="top"/>
          </w:tcPr>
          <w:p>
            <w:pPr>
              <w:pStyle w:val="TableText"/>
              <w:jc w:val="left"/>
            </w:pPr>
            <w:r>
              <w:t xml:space="preserve">Partner’s own front end</w:t>
            </w:r>
          </w:p>
        </w:tc>
        <w:tc>
          <w:tcPr>
            <w:tcW w:w="1231" w:type="dxa"/>
            <w:vAlign w:val="top"/>
          </w:tcPr>
          <w:p>
            <w:pPr>
              <w:pStyle w:val="TableText"/>
              <w:jc w:val="left"/>
            </w:pPr>
            <w:r>
              <w:t xml:space="preserve">Partner API</w:t>
            </w:r>
          </w:p>
        </w:tc>
        <w:tc>
          <w:tcPr>
            <w:tcW w:w="2356" w:type="dxa"/>
            <w:vAlign w:val="top"/>
          </w:tcPr>
          <w:p>
            <w:pPr>
              <w:pStyle w:val="TableText"/>
              <w:jc w:val="left"/>
            </w:pPr>
            <w:r>
              <w:t xml:space="preserve">Commission</w:t>
            </w:r>
          </w:p>
        </w:tc>
      </w:tr>
    </w:tbl>
    <w:p>
      <w:pPr>
        <w:pStyle w:val="Heading2"/>
      </w:pPr>
      <w:bookmarkStart w:id="24" w:name="_Toc300000020"/>
      <w:r>
        <w:t xml:space="preserve">Moments of truth from the VETC ecosystem</w:t>
      </w:r>
      <w:bookmarkEnd w:id="24"/>
    </w:p>
    <w:p>
      <w:pPr>
        <w:pStyle w:val="FirstParagraph"/>
      </w:pPr>
      <w:r>
        <w:t xml:space="preserve">Calendar reminders are reinforced by VETC events, when a driver is most receptive.</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790"/>
        <w:gridCol w:w="2266"/>
        <w:gridCol w:w="3633"/>
        <w:gridCol w:w="1338"/>
      </w:tblGrid>
      <w:tr>
        <w:trPr>
          <w:cantSplit/>
          <w:tblHeader/>
        </w:trPr>
        <w:tc>
          <w:tcPr>
            <w:tcW w:w="1790" w:type="dxa"/>
            <w:shd w:val="clear" w:color="auto" w:fill="0F4761"/>
            <w:vAlign w:val="center"/>
          </w:tcPr>
          <w:p>
            <w:pPr>
              <w:pStyle w:val="TableHeading"/>
              <w:jc w:val="left"/>
            </w:pPr>
            <w:r>
              <w:rPr>
                <w:color w:val="FFFFFF"/>
              </w:rPr>
              <w:t xml:space="preserve">VETC event</w:t>
            </w:r>
          </w:p>
        </w:tc>
        <w:tc>
          <w:tcPr>
            <w:tcW w:w="2266" w:type="dxa"/>
            <w:shd w:val="clear" w:color="auto" w:fill="0F4761"/>
            <w:vAlign w:val="center"/>
          </w:tcPr>
          <w:p>
            <w:pPr>
              <w:pStyle w:val="TableHeading"/>
              <w:jc w:val="left"/>
            </w:pPr>
            <w:r>
              <w:rPr>
                <w:color w:val="FFFFFF"/>
              </w:rPr>
              <w:t xml:space="preserve">Condition</w:t>
            </w:r>
          </w:p>
        </w:tc>
        <w:tc>
          <w:tcPr>
            <w:tcW w:w="3633" w:type="dxa"/>
            <w:shd w:val="clear" w:color="auto" w:fill="0F4761"/>
            <w:vAlign w:val="center"/>
          </w:tcPr>
          <w:p>
            <w:pPr>
              <w:pStyle w:val="TableHeading"/>
              <w:jc w:val="left"/>
            </w:pPr>
            <w:r>
              <w:rPr>
                <w:color w:val="FFFFFF"/>
              </w:rPr>
              <w:t xml:space="preserve">Action</w:t>
            </w:r>
          </w:p>
        </w:tc>
        <w:tc>
          <w:tcPr>
            <w:tcW w:w="1338" w:type="dxa"/>
            <w:shd w:val="clear" w:color="auto" w:fill="0F4761"/>
            <w:vAlign w:val="center"/>
          </w:tcPr>
          <w:p>
            <w:pPr>
              <w:pStyle w:val="TableHeading"/>
              <w:jc w:val="left"/>
            </w:pPr>
            <w:r>
              <w:rPr>
                <w:color w:val="FFFFFF"/>
              </w:rPr>
              <w:t xml:space="preserve">Marketing</w:t>
            </w:r>
          </w:p>
        </w:tc>
      </w:tr>
      <w:tr>
        <w:trPr>
          <w:cantSplit/>
        </w:trPr>
        <w:tc>
          <w:tcPr>
            <w:tcW w:w="1790" w:type="dxa"/>
            <w:vAlign w:val="top"/>
          </w:tcPr>
          <w:p>
            <w:pPr>
              <w:pStyle w:val="TableText"/>
              <w:jc w:val="left"/>
            </w:pPr>
            <w:r>
              <w:t xml:space="preserve">Tag activated</w:t>
            </w:r>
          </w:p>
        </w:tc>
        <w:tc>
          <w:tcPr>
            <w:tcW w:w="2266" w:type="dxa"/>
            <w:vAlign w:val="top"/>
          </w:tcPr>
          <w:p>
            <w:pPr>
              <w:pStyle w:val="TableText"/>
              <w:jc w:val="left"/>
            </w:pPr>
            <w:r>
              <w:t xml:space="preserve">None</w:t>
            </w:r>
          </w:p>
        </w:tc>
        <w:tc>
          <w:tcPr>
            <w:tcW w:w="3633" w:type="dxa"/>
            <w:vAlign w:val="top"/>
          </w:tcPr>
          <w:p>
            <w:pPr>
              <w:pStyle w:val="TableText"/>
              <w:jc w:val="left"/>
            </w:pPr>
            <w:r>
              <w:t xml:space="preserve">Enrol in the new-vehicle journey</w:t>
            </w:r>
          </w:p>
        </w:tc>
        <w:tc>
          <w:tcPr>
            <w:tcW w:w="1338" w:type="dxa"/>
            <w:vAlign w:val="top"/>
          </w:tcPr>
          <w:p>
            <w:pPr>
              <w:pStyle w:val="TableText"/>
              <w:jc w:val="left"/>
            </w:pPr>
            <w:r>
              <w:t xml:space="preserve">No</w:t>
            </w:r>
          </w:p>
        </w:tc>
      </w:tr>
      <w:tr>
        <w:trPr>
          <w:cantSplit/>
        </w:trPr>
        <w:tc>
          <w:tcPr>
            <w:tcW w:w="1790" w:type="dxa"/>
            <w:shd w:val="clear" w:color="auto" w:fill="F4F7FB"/>
            <w:vAlign w:val="top"/>
          </w:tcPr>
          <w:p>
            <w:pPr>
              <w:pStyle w:val="TableText"/>
              <w:jc w:val="left"/>
            </w:pPr>
            <w:r>
              <w:t xml:space="preserve">Inspection booked</w:t>
            </w:r>
          </w:p>
        </w:tc>
        <w:tc>
          <w:tcPr>
            <w:tcW w:w="2266" w:type="dxa"/>
            <w:shd w:val="clear" w:color="auto" w:fill="F4F7FB"/>
            <w:vAlign w:val="top"/>
          </w:tcPr>
          <w:p>
            <w:pPr>
              <w:pStyle w:val="TableText"/>
              <w:jc w:val="left"/>
            </w:pPr>
            <w:r>
              <w:t xml:space="preserve">Expiry less than 60 days away</w:t>
            </w:r>
          </w:p>
        </w:tc>
        <w:tc>
          <w:tcPr>
            <w:tcW w:w="3633" w:type="dxa"/>
            <w:shd w:val="clear" w:color="auto" w:fill="F4F7FB"/>
            <w:vAlign w:val="top"/>
          </w:tcPr>
          <w:p>
            <w:pPr>
              <w:pStyle w:val="TableText"/>
              <w:jc w:val="left"/>
            </w:pPr>
            <w:r>
              <w:t xml:space="preserve">TNDS check message by push or Zalo</w:t>
            </w:r>
          </w:p>
        </w:tc>
        <w:tc>
          <w:tcPr>
            <w:tcW w:w="1338" w:type="dxa"/>
            <w:shd w:val="clear" w:color="auto" w:fill="F4F7FB"/>
            <w:vAlign w:val="top"/>
          </w:tcPr>
          <w:p>
            <w:pPr>
              <w:pStyle w:val="TableText"/>
              <w:jc w:val="left"/>
            </w:pPr>
            <w:r>
              <w:t xml:space="preserve">No (service)</w:t>
            </w:r>
          </w:p>
        </w:tc>
      </w:tr>
      <w:tr>
        <w:trPr>
          <w:cantSplit/>
        </w:trPr>
        <w:tc>
          <w:tcPr>
            <w:tcW w:w="1790" w:type="dxa"/>
            <w:vAlign w:val="top"/>
          </w:tcPr>
          <w:p>
            <w:pPr>
              <w:pStyle w:val="TableText"/>
              <w:jc w:val="left"/>
            </w:pPr>
            <w:r>
              <w:t xml:space="preserve">Wallet topped up</w:t>
            </w:r>
          </w:p>
        </w:tc>
        <w:tc>
          <w:tcPr>
            <w:tcW w:w="2266" w:type="dxa"/>
            <w:vAlign w:val="top"/>
          </w:tcPr>
          <w:p>
            <w:pPr>
              <w:pStyle w:val="TableText"/>
              <w:jc w:val="left"/>
            </w:pPr>
            <w:r>
              <w:t xml:space="preserve">Expiry within 30 days either side</w:t>
            </w:r>
          </w:p>
        </w:tc>
        <w:tc>
          <w:tcPr>
            <w:tcW w:w="3633" w:type="dxa"/>
            <w:vAlign w:val="top"/>
          </w:tcPr>
          <w:p>
            <w:pPr>
              <w:pStyle w:val="TableText"/>
              <w:jc w:val="left"/>
            </w:pPr>
            <w:r>
              <w:t xml:space="preserve">First reminder by push while the customer is in the app with funds</w:t>
            </w:r>
          </w:p>
        </w:tc>
        <w:tc>
          <w:tcPr>
            <w:tcW w:w="1338" w:type="dxa"/>
            <w:vAlign w:val="top"/>
          </w:tcPr>
          <w:p>
            <w:pPr>
              <w:pStyle w:val="TableText"/>
              <w:jc w:val="left"/>
            </w:pPr>
            <w:r>
              <w:t xml:space="preserve">Yes</w:t>
            </w:r>
          </w:p>
        </w:tc>
      </w:tr>
      <w:tr>
        <w:trPr>
          <w:cantSplit/>
        </w:trPr>
        <w:tc>
          <w:tcPr>
            <w:tcW w:w="1790" w:type="dxa"/>
            <w:shd w:val="clear" w:color="auto" w:fill="F4F7FB"/>
            <w:vAlign w:val="top"/>
          </w:tcPr>
          <w:p>
            <w:pPr>
              <w:pStyle w:val="TableText"/>
              <w:jc w:val="left"/>
            </w:pPr>
            <w:r>
              <w:t xml:space="preserve">Long trip started</w:t>
            </w:r>
          </w:p>
        </w:tc>
        <w:tc>
          <w:tcPr>
            <w:tcW w:w="2266" w:type="dxa"/>
            <w:shd w:val="clear" w:color="auto" w:fill="F4F7FB"/>
            <w:vAlign w:val="top"/>
          </w:tcPr>
          <w:p>
            <w:pPr>
              <w:pStyle w:val="TableText"/>
              <w:jc w:val="left"/>
            </w:pPr>
            <w:r>
              <w:t xml:space="preserve">Lapsed up to 60 days</w:t>
            </w:r>
          </w:p>
        </w:tc>
        <w:tc>
          <w:tcPr>
            <w:tcW w:w="3633" w:type="dxa"/>
            <w:shd w:val="clear" w:color="auto" w:fill="F4F7FB"/>
            <w:vAlign w:val="top"/>
          </w:tcPr>
          <w:p>
            <w:pPr>
              <w:pStyle w:val="TableText"/>
              <w:jc w:val="left"/>
            </w:pPr>
            <w:r>
              <w:t xml:space="preserve">Value reminder by push</w:t>
            </w:r>
          </w:p>
        </w:tc>
        <w:tc>
          <w:tcPr>
            <w:tcW w:w="1338" w:type="dxa"/>
            <w:shd w:val="clear" w:color="auto" w:fill="F4F7FB"/>
            <w:vAlign w:val="top"/>
          </w:tcPr>
          <w:p>
            <w:pPr>
              <w:pStyle w:val="TableText"/>
              <w:jc w:val="left"/>
            </w:pPr>
            <w:r>
              <w:t xml:space="preserve">Yes</w:t>
            </w:r>
          </w:p>
        </w:tc>
      </w:tr>
    </w:tbl>
    <w:p>
      <w:pPr>
        <w:pStyle w:val="BodyText"/>
        <w:spacing w:before="160"/>
      </w:pPr>
      <w:r>
        <w:t xml:space="preserve">In the MVP the tag-activation event is connected live; the other events are handled by the platform and can be simulated from the staff console until VETC’s live event feed is connected in the scale phase.</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25" w:name="_Toc300000021"/>
      <w:r>
        <w:rPr>
          <w:rStyle w:val="BookTitle"/>
          <w:bCs w:val="0"/>
          <w:i w:val="0"/>
          <w:iCs w:val="0"/>
          <w:spacing w:val="0"/>
        </w:rPr>
        <w:t xml:space="preserve">Channel strategy</w:t>
      </w:r>
      <w:bookmarkEnd w:id="25"/>
    </w:p>
    <w:p>
      <w:pPr>
        <w:pStyle w:val="Heading2"/>
      </w:pPr>
      <w:bookmarkStart w:id="26" w:name="_Toc300000022"/>
      <w:r>
        <w:t xml:space="preserve">Principle</w:t>
      </w:r>
      <w:bookmarkEnd w:id="26"/>
    </w:p>
    <w:p>
      <w:pPr>
        <w:pStyle w:val="FirstParagraph"/>
      </w:pPr>
      <w:r>
        <w:t xml:space="preserve">Partners close most TNDS sales because they are present at the moment of need: a car purchase, a loan, an inspection. Competing with them at that moment is slow and damages the relationship. TASCO should own the moments partners do not see (renewal timing, in-app moments, lapsed vehicles) and equip partners with VETC data and instant TASCO issuance for the moments they do own.</w:t>
      </w:r>
    </w:p>
    <w:p>
      <w:pPr>
        <w:pStyle w:val="Heading2"/>
      </w:pPr>
      <w:bookmarkStart w:id="27" w:name="_Toc300000023"/>
      <w:r>
        <w:t xml:space="preserve">Channel roles</w:t>
      </w:r>
      <w:bookmarkEnd w:id="27"/>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623"/>
        <w:gridCol w:w="3227"/>
        <w:gridCol w:w="2100"/>
        <w:gridCol w:w="2077"/>
      </w:tblGrid>
      <w:tr>
        <w:trPr>
          <w:cantSplit/>
          <w:tblHeader/>
        </w:trPr>
        <w:tc>
          <w:tcPr>
            <w:tcW w:w="1623" w:type="dxa"/>
            <w:shd w:val="clear" w:color="auto" w:fill="0F4761"/>
            <w:vAlign w:val="center"/>
          </w:tcPr>
          <w:p>
            <w:pPr>
              <w:pStyle w:val="TableHeading"/>
              <w:jc w:val="left"/>
            </w:pPr>
            <w:r>
              <w:rPr>
                <w:color w:val="FFFFFF"/>
              </w:rPr>
              <w:t xml:space="preserve">Channel</w:t>
            </w:r>
          </w:p>
        </w:tc>
        <w:tc>
          <w:tcPr>
            <w:tcW w:w="3227" w:type="dxa"/>
            <w:shd w:val="clear" w:color="auto" w:fill="0F4761"/>
            <w:vAlign w:val="center"/>
          </w:tcPr>
          <w:p>
            <w:pPr>
              <w:pStyle w:val="TableHeading"/>
              <w:jc w:val="left"/>
            </w:pPr>
            <w:r>
              <w:rPr>
                <w:color w:val="FFFFFF"/>
              </w:rPr>
              <w:t xml:space="preserve">Role</w:t>
            </w:r>
          </w:p>
        </w:tc>
        <w:tc>
          <w:tcPr>
            <w:tcW w:w="2100" w:type="dxa"/>
            <w:shd w:val="clear" w:color="auto" w:fill="0F4761"/>
            <w:vAlign w:val="center"/>
          </w:tcPr>
          <w:p>
            <w:pPr>
              <w:pStyle w:val="TableHeading"/>
              <w:jc w:val="left"/>
            </w:pPr>
            <w:r>
              <w:rPr>
                <w:color w:val="FFFFFF"/>
              </w:rPr>
              <w:t xml:space="preserve">Cost per contact</w:t>
            </w:r>
          </w:p>
        </w:tc>
        <w:tc>
          <w:tcPr>
            <w:tcW w:w="2077" w:type="dxa"/>
            <w:shd w:val="clear" w:color="auto" w:fill="0F4761"/>
            <w:vAlign w:val="center"/>
          </w:tcPr>
          <w:p>
            <w:pPr>
              <w:pStyle w:val="TableHeading"/>
              <w:jc w:val="left"/>
            </w:pPr>
            <w:r>
              <w:rPr>
                <w:color w:val="FFFFFF"/>
              </w:rPr>
              <w:t xml:space="preserve">Consent needed</w:t>
            </w:r>
          </w:p>
        </w:tc>
      </w:tr>
      <w:tr>
        <w:trPr>
          <w:cantSplit/>
        </w:trPr>
        <w:tc>
          <w:tcPr>
            <w:tcW w:w="1623" w:type="dxa"/>
            <w:vAlign w:val="top"/>
          </w:tcPr>
          <w:p>
            <w:pPr>
              <w:pStyle w:val="TableText"/>
              <w:jc w:val="left"/>
            </w:pPr>
            <w:r>
              <w:t xml:space="preserve">VETC app push</w:t>
            </w:r>
          </w:p>
        </w:tc>
        <w:tc>
          <w:tcPr>
            <w:tcW w:w="3227" w:type="dxa"/>
            <w:vAlign w:val="top"/>
          </w:tcPr>
          <w:p>
            <w:pPr>
              <w:pStyle w:val="TableText"/>
              <w:jc w:val="left"/>
            </w:pPr>
            <w:r>
              <w:t xml:space="preserve">Primary reminder; purchase in the app</w:t>
            </w:r>
          </w:p>
        </w:tc>
        <w:tc>
          <w:tcPr>
            <w:tcW w:w="2100" w:type="dxa"/>
            <w:vAlign w:val="top"/>
          </w:tcPr>
          <w:p>
            <w:pPr>
              <w:pStyle w:val="TableText"/>
              <w:jc w:val="left"/>
            </w:pPr>
            <w:r>
              <w:t xml:space="preserve">VND 0</w:t>
            </w:r>
          </w:p>
        </w:tc>
        <w:tc>
          <w:tcPr>
            <w:tcW w:w="2077" w:type="dxa"/>
            <w:vAlign w:val="top"/>
          </w:tcPr>
          <w:p>
            <w:pPr>
              <w:pStyle w:val="TableText"/>
              <w:jc w:val="left"/>
            </w:pPr>
            <w:r>
              <w:t xml:space="preserve">Marketing consent for marketing messages</w:t>
            </w:r>
          </w:p>
        </w:tc>
      </w:tr>
      <w:tr>
        <w:trPr>
          <w:cantSplit/>
        </w:trPr>
        <w:tc>
          <w:tcPr>
            <w:tcW w:w="1623" w:type="dxa"/>
            <w:shd w:val="clear" w:color="auto" w:fill="F4F7FB"/>
            <w:vAlign w:val="top"/>
          </w:tcPr>
          <w:p>
            <w:pPr>
              <w:pStyle w:val="TableText"/>
              <w:jc w:val="left"/>
            </w:pPr>
            <w:r>
              <w:t xml:space="preserve">Zalo ZNS</w:t>
            </w:r>
          </w:p>
        </w:tc>
        <w:tc>
          <w:tcPr>
            <w:tcW w:w="3227" w:type="dxa"/>
            <w:shd w:val="clear" w:color="auto" w:fill="F4F7FB"/>
            <w:vAlign w:val="top"/>
          </w:tcPr>
          <w:p>
            <w:pPr>
              <w:pStyle w:val="TableText"/>
              <w:jc w:val="left"/>
            </w:pPr>
            <w:r>
              <w:t xml:space="preserve">Secondary reminder from the official account</w:t>
            </w:r>
          </w:p>
        </w:tc>
        <w:tc>
          <w:tcPr>
            <w:tcW w:w="2100" w:type="dxa"/>
            <w:shd w:val="clear" w:color="auto" w:fill="F4F7FB"/>
            <w:vAlign w:val="top"/>
          </w:tcPr>
          <w:p>
            <w:pPr>
              <w:pStyle w:val="TableText"/>
              <w:jc w:val="left"/>
            </w:pPr>
            <w:r>
              <w:t xml:space="preserve">VND 300</w:t>
            </w:r>
          </w:p>
        </w:tc>
        <w:tc>
          <w:tcPr>
            <w:tcW w:w="2077" w:type="dxa"/>
            <w:shd w:val="clear" w:color="auto" w:fill="F4F7FB"/>
            <w:vAlign w:val="top"/>
          </w:tcPr>
          <w:p>
            <w:pPr>
              <w:pStyle w:val="TableText"/>
              <w:jc w:val="left"/>
            </w:pPr>
            <w:r>
              <w:t xml:space="preserve">Marketing consent for marketing messages</w:t>
            </w:r>
          </w:p>
        </w:tc>
      </w:tr>
      <w:tr>
        <w:trPr>
          <w:cantSplit/>
        </w:trPr>
        <w:tc>
          <w:tcPr>
            <w:tcW w:w="1623" w:type="dxa"/>
            <w:vAlign w:val="top"/>
          </w:tcPr>
          <w:p>
            <w:pPr>
              <w:pStyle w:val="TableText"/>
              <w:jc w:val="left"/>
            </w:pPr>
            <w:r>
              <w:t xml:space="preserve">SMS brandname</w:t>
            </w:r>
          </w:p>
        </w:tc>
        <w:tc>
          <w:tcPr>
            <w:tcW w:w="3227" w:type="dxa"/>
            <w:vAlign w:val="top"/>
          </w:tcPr>
          <w:p>
            <w:pPr>
              <w:pStyle w:val="TableText"/>
              <w:jc w:val="left"/>
            </w:pPr>
            <w:r>
              <w:t xml:space="preserve">Fallback for phone-only contacts</w:t>
            </w:r>
          </w:p>
        </w:tc>
        <w:tc>
          <w:tcPr>
            <w:tcW w:w="2100" w:type="dxa"/>
            <w:vAlign w:val="top"/>
          </w:tcPr>
          <w:p>
            <w:pPr>
              <w:pStyle w:val="TableText"/>
              <w:jc w:val="left"/>
            </w:pPr>
            <w:r>
              <w:t xml:space="preserve">VND 700</w:t>
            </w:r>
          </w:p>
        </w:tc>
        <w:tc>
          <w:tcPr>
            <w:tcW w:w="2077" w:type="dxa"/>
            <w:vAlign w:val="top"/>
          </w:tcPr>
          <w:p>
            <w:pPr>
              <w:pStyle w:val="TableText"/>
              <w:jc w:val="left"/>
            </w:pPr>
            <w:r>
              <w:t xml:space="preserve">Marketing consent for marketing messages</w:t>
            </w:r>
          </w:p>
        </w:tc>
      </w:tr>
      <w:tr>
        <w:trPr>
          <w:cantSplit/>
        </w:trPr>
        <w:tc>
          <w:tcPr>
            <w:tcW w:w="1623" w:type="dxa"/>
            <w:shd w:val="clear" w:color="auto" w:fill="F4F7FB"/>
            <w:vAlign w:val="top"/>
          </w:tcPr>
          <w:p>
            <w:pPr>
              <w:pStyle w:val="TableText"/>
              <w:jc w:val="left"/>
            </w:pPr>
            <w:r>
              <w:t xml:space="preserve">AI voice assistant</w:t>
            </w:r>
          </w:p>
        </w:tc>
        <w:tc>
          <w:tcPr>
            <w:tcW w:w="3227" w:type="dxa"/>
            <w:shd w:val="clear" w:color="auto" w:fill="F4F7FB"/>
            <w:vAlign w:val="top"/>
          </w:tcPr>
          <w:p>
            <w:pPr>
              <w:pStyle w:val="TableText"/>
              <w:jc w:val="left"/>
            </w:pPr>
            <w:r>
              <w:t xml:space="preserve">Qualify, verify the plate, capture data, hand off or send a link</w:t>
            </w:r>
          </w:p>
        </w:tc>
        <w:tc>
          <w:tcPr>
            <w:tcW w:w="2100" w:type="dxa"/>
            <w:shd w:val="clear" w:color="auto" w:fill="F4F7FB"/>
            <w:vAlign w:val="top"/>
          </w:tcPr>
          <w:p>
            <w:pPr>
              <w:pStyle w:val="TableText"/>
              <w:jc w:val="left"/>
            </w:pPr>
            <w:r>
              <w:t xml:space="preserve">VND 2,400 per call (VND 1,500 a minute, 1.6 minutes)</w:t>
            </w:r>
          </w:p>
        </w:tc>
        <w:tc>
          <w:tcPr>
            <w:tcW w:w="2077" w:type="dxa"/>
            <w:shd w:val="clear" w:color="auto" w:fill="F4F7FB"/>
            <w:vAlign w:val="top"/>
          </w:tcPr>
          <w:p>
            <w:pPr>
              <w:pStyle w:val="TableText"/>
              <w:jc w:val="left"/>
            </w:pPr>
            <w:r>
              <w:t xml:space="preserve">Call consent (and marketing)</w:t>
            </w:r>
          </w:p>
        </w:tc>
      </w:tr>
      <w:tr>
        <w:trPr>
          <w:cantSplit/>
        </w:trPr>
        <w:tc>
          <w:tcPr>
            <w:tcW w:w="1623" w:type="dxa"/>
            <w:vAlign w:val="top"/>
          </w:tcPr>
          <w:p>
            <w:pPr>
              <w:pStyle w:val="TableText"/>
              <w:jc w:val="left"/>
            </w:pPr>
            <w:r>
              <w:t xml:space="preserve">Telesales</w:t>
            </w:r>
          </w:p>
        </w:tc>
        <w:tc>
          <w:tcPr>
            <w:tcW w:w="3227" w:type="dxa"/>
            <w:vAlign w:val="top"/>
          </w:tcPr>
          <w:p>
            <w:pPr>
              <w:pStyle w:val="TableText"/>
              <w:jc w:val="left"/>
            </w:pPr>
            <w:r>
              <w:t xml:space="preserve">Close hot leads by sending the quote to the VETC app</w:t>
            </w:r>
          </w:p>
        </w:tc>
        <w:tc>
          <w:tcPr>
            <w:tcW w:w="2100" w:type="dxa"/>
            <w:vAlign w:val="top"/>
          </w:tcPr>
          <w:p>
            <w:pPr>
              <w:pStyle w:val="TableText"/>
              <w:jc w:val="left"/>
            </w:pPr>
            <w:r>
              <w:t xml:space="preserve">VND 27,000 per call (VND 6,000 a minute, 4.5 minutes)</w:t>
            </w:r>
          </w:p>
        </w:tc>
        <w:tc>
          <w:tcPr>
            <w:tcW w:w="2077" w:type="dxa"/>
            <w:vAlign w:val="top"/>
          </w:tcPr>
          <w:p>
            <w:pPr>
              <w:pStyle w:val="TableText"/>
              <w:jc w:val="left"/>
            </w:pPr>
            <w:r>
              <w:t xml:space="preserve">Call consent (and marketing)</w:t>
            </w:r>
          </w:p>
        </w:tc>
      </w:tr>
      <w:tr>
        <w:trPr>
          <w:cantSplit/>
        </w:trPr>
        <w:tc>
          <w:tcPr>
            <w:tcW w:w="1623" w:type="dxa"/>
            <w:shd w:val="clear" w:color="auto" w:fill="F4F7FB"/>
            <w:vAlign w:val="top"/>
          </w:tcPr>
          <w:p>
            <w:pPr>
              <w:pStyle w:val="TableText"/>
              <w:jc w:val="left"/>
            </w:pPr>
            <w:r>
              <w:t xml:space="preserve">Partner API, including Tasco360</w:t>
            </w:r>
          </w:p>
        </w:tc>
        <w:tc>
          <w:tcPr>
            <w:tcW w:w="3227" w:type="dxa"/>
            <w:shd w:val="clear" w:color="auto" w:fill="F4F7FB"/>
            <w:vAlign w:val="top"/>
          </w:tcPr>
          <w:p>
            <w:pPr>
              <w:pStyle w:val="TableText"/>
              <w:jc w:val="left"/>
            </w:pPr>
            <w:r>
              <w:t xml:space="preserve">Partner-originated new business</w:t>
            </w:r>
          </w:p>
        </w:tc>
        <w:tc>
          <w:tcPr>
            <w:tcW w:w="2100" w:type="dxa"/>
            <w:shd w:val="clear" w:color="auto" w:fill="F4F7FB"/>
            <w:vAlign w:val="top"/>
          </w:tcPr>
          <w:p>
            <w:pPr>
              <w:pStyle w:val="TableText"/>
              <w:jc w:val="left"/>
            </w:pPr>
            <w:r>
              <w:t xml:space="preserve">Commission (TNDS 5% of net premium)</w:t>
            </w:r>
          </w:p>
        </w:tc>
        <w:tc>
          <w:tcPr>
            <w:tcW w:w="2077" w:type="dxa"/>
            <w:shd w:val="clear" w:color="auto" w:fill="F4F7FB"/>
            <w:vAlign w:val="top"/>
          </w:tcPr>
          <w:p>
            <w:pPr>
              <w:pStyle w:val="TableText"/>
              <w:jc w:val="left"/>
            </w:pPr>
            <w:r>
              <w:t xml:space="preserve">Obtained by the partner</w:t>
            </w:r>
          </w:p>
        </w:tc>
      </w:tr>
    </w:tbl>
    <w:p>
      <w:pPr>
        <w:pStyle w:val="BodyText"/>
        <w:spacing w:before="160"/>
      </w:pPr>
      <w:r>
        <w:t xml:space="preserve">Service messages, such as the lapsed notice, the expiry-day notice, a purchase confirmation or a link the customer asked for, are exempt from frequency caps but still respect do-not-contact and channel availability. Marketing contact is limited to 08:00 to 20:00 Vietnam time, one message a day and three a week, with at most two call attempts a week. A touchpoint blocked only by the contact window is deferred to the next run inside the window, not skipped.</w:t>
      </w:r>
    </w:p>
    <w:p>
      <w:pPr>
        <w:pStyle w:val="Heading2"/>
      </w:pPr>
      <w:bookmarkStart w:id="28" w:name="_Toc300000024"/>
      <w:r>
        <w:t xml:space="preserve">Channel waterfall</w:t>
      </w:r>
      <w:bookmarkEnd w:id="28"/>
    </w:p>
    <w:p>
      <w:pPr>
        <w:pStyle w:val="FirstParagraph"/>
      </w:pPr>
      <w:r>
        <w:t xml:space="preserve">For each touchpoint the platform tries the step’s channels in order and sends on the first permitted channel that succeeds. It records why any channel was blocked. Low-cost digital channels therefore always go first, and calls are reserved for hot and warm leads.</w:t>
      </w:r>
    </w:p>
    <w:p>
      <w:pPr>
        <w:pStyle w:val="Heading2"/>
      </w:pPr>
      <w:bookmarkStart w:id="29" w:name="_Toc300000025"/>
      <w:r>
        <w:t xml:space="preserve">Partner enablement</w:t>
      </w:r>
      <w:bookmarkEnd w:id="29"/>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5264"/>
        <w:gridCol w:w="3763"/>
      </w:tblGrid>
      <w:tr>
        <w:trPr>
          <w:cantSplit/>
          <w:tblHeader/>
        </w:trPr>
        <w:tc>
          <w:tcPr>
            <w:tcW w:w="5264" w:type="dxa"/>
            <w:shd w:val="clear" w:color="auto" w:fill="0F4761"/>
            <w:vAlign w:val="center"/>
          </w:tcPr>
          <w:p>
            <w:pPr>
              <w:pStyle w:val="TableHeading"/>
              <w:jc w:val="left"/>
            </w:pPr>
            <w:r>
              <w:rPr>
                <w:color w:val="FFFFFF"/>
              </w:rPr>
              <w:t xml:space="preserve">Capability</w:t>
            </w:r>
          </w:p>
        </w:tc>
        <w:tc>
          <w:tcPr>
            <w:tcW w:w="3763" w:type="dxa"/>
            <w:shd w:val="clear" w:color="auto" w:fill="0F4761"/>
            <w:vAlign w:val="center"/>
          </w:tcPr>
          <w:p>
            <w:pPr>
              <w:pStyle w:val="TableHeading"/>
              <w:jc w:val="left"/>
            </w:pPr>
            <w:r>
              <w:rPr>
                <w:color w:val="FFFFFF"/>
              </w:rPr>
              <w:t xml:space="preserve">Business value</w:t>
            </w:r>
          </w:p>
        </w:tc>
      </w:tr>
      <w:tr>
        <w:trPr>
          <w:cantSplit/>
        </w:trPr>
        <w:tc>
          <w:tcPr>
            <w:tcW w:w="5264" w:type="dxa"/>
            <w:vAlign w:val="top"/>
          </w:tcPr>
          <w:p>
            <w:pPr>
              <w:pStyle w:val="TableText"/>
              <w:jc w:val="left"/>
            </w:pPr>
            <w:r>
              <w:t xml:space="preserve">Onboard a partner by type: bank, showroom, agent, fleet, inspection centre</w:t>
            </w:r>
          </w:p>
        </w:tc>
        <w:tc>
          <w:tcPr>
            <w:tcW w:w="3763" w:type="dxa"/>
            <w:vAlign w:val="top"/>
          </w:tcPr>
          <w:p>
            <w:pPr>
              <w:pStyle w:val="TableText"/>
              <w:jc w:val="left"/>
            </w:pPr>
            <w:r>
              <w:t xml:space="preserve">Partner growth without IT projects</w:t>
            </w:r>
          </w:p>
        </w:tc>
      </w:tr>
      <w:tr>
        <w:trPr>
          <w:cantSplit/>
        </w:trPr>
        <w:tc>
          <w:tcPr>
            <w:tcW w:w="5264" w:type="dxa"/>
            <w:shd w:val="clear" w:color="auto" w:fill="F4F7FB"/>
            <w:vAlign w:val="top"/>
          </w:tcPr>
          <w:p>
            <w:pPr>
              <w:pStyle w:val="TableText"/>
              <w:jc w:val="left"/>
            </w:pPr>
            <w:r>
              <w:t xml:space="preserve">Issue or revoke an API key, shown once and stored only as a hash</w:t>
            </w:r>
          </w:p>
        </w:tc>
        <w:tc>
          <w:tcPr>
            <w:tcW w:w="3763" w:type="dxa"/>
            <w:shd w:val="clear" w:color="auto" w:fill="F4F7FB"/>
            <w:vAlign w:val="top"/>
          </w:tcPr>
          <w:p>
            <w:pPr>
              <w:pStyle w:val="TableText"/>
              <w:jc w:val="left"/>
            </w:pPr>
            <w:r>
              <w:t xml:space="preserve">Secure system-to-system integration</w:t>
            </w:r>
          </w:p>
        </w:tc>
      </w:tr>
      <w:tr>
        <w:trPr>
          <w:cantSplit/>
        </w:trPr>
        <w:tc>
          <w:tcPr>
            <w:tcW w:w="5264" w:type="dxa"/>
            <w:vAlign w:val="top"/>
          </w:tcPr>
          <w:p>
            <w:pPr>
              <w:pStyle w:val="TableText"/>
              <w:jc w:val="left"/>
            </w:pPr>
            <w:r>
              <w:t xml:space="preserve">Quote by plate; unknown vehicles join the base as new business</w:t>
            </w:r>
          </w:p>
        </w:tc>
        <w:tc>
          <w:tcPr>
            <w:tcW w:w="3763" w:type="dxa"/>
            <w:vAlign w:val="top"/>
          </w:tcPr>
          <w:p>
            <w:pPr>
              <w:pStyle w:val="TableText"/>
              <w:jc w:val="left"/>
            </w:pPr>
            <w:r>
              <w:t xml:space="preserve">Every partner sale also enriches the VETC base</w:t>
            </w:r>
          </w:p>
        </w:tc>
      </w:tr>
      <w:tr>
        <w:trPr>
          <w:cantSplit/>
        </w:trPr>
        <w:tc>
          <w:tcPr>
            <w:tcW w:w="5264" w:type="dxa"/>
            <w:shd w:val="clear" w:color="auto" w:fill="F4F7FB"/>
            <w:vAlign w:val="top"/>
          </w:tcPr>
          <w:p>
            <w:pPr>
              <w:pStyle w:val="TableText"/>
              <w:jc w:val="left"/>
            </w:pPr>
            <w:r>
              <w:t xml:space="preserve">Bind a quote; the partner collects the premium, no VETC wallet debit</w:t>
            </w:r>
          </w:p>
        </w:tc>
        <w:tc>
          <w:tcPr>
            <w:tcW w:w="3763" w:type="dxa"/>
            <w:shd w:val="clear" w:color="auto" w:fill="F4F7FB"/>
            <w:vAlign w:val="top"/>
          </w:tcPr>
          <w:p>
            <w:pPr>
              <w:pStyle w:val="TableText"/>
              <w:jc w:val="left"/>
            </w:pPr>
            <w:r>
              <w:t xml:space="preserve">Instant e-certificate at the counter</w:t>
            </w:r>
          </w:p>
        </w:tc>
      </w:tr>
      <w:tr>
        <w:trPr>
          <w:cantSplit/>
        </w:trPr>
        <w:tc>
          <w:tcPr>
            <w:tcW w:w="5264" w:type="dxa"/>
            <w:vAlign w:val="top"/>
          </w:tcPr>
          <w:p>
            <w:pPr>
              <w:pStyle w:val="TableText"/>
              <w:jc w:val="left"/>
            </w:pPr>
            <w:r>
              <w:t xml:space="preserve">Partner’s own policies and commission statement</w:t>
            </w:r>
          </w:p>
        </w:tc>
        <w:tc>
          <w:tcPr>
            <w:tcW w:w="3763" w:type="dxa"/>
            <w:vAlign w:val="top"/>
          </w:tcPr>
          <w:p>
            <w:pPr>
              <w:pStyle w:val="TableText"/>
              <w:jc w:val="left"/>
            </w:pPr>
            <w:r>
              <w:t xml:space="preserve">Transparent commission, fewer disputes</w:t>
            </w:r>
          </w:p>
        </w:tc>
      </w:tr>
      <w:tr>
        <w:trPr>
          <w:cantSplit/>
        </w:trPr>
        <w:tc>
          <w:tcPr>
            <w:tcW w:w="5264" w:type="dxa"/>
            <w:shd w:val="clear" w:color="auto" w:fill="F4F7FB"/>
            <w:vAlign w:val="top"/>
          </w:tcPr>
          <w:p>
            <w:pPr>
              <w:pStyle w:val="TableText"/>
              <w:jc w:val="left"/>
            </w:pPr>
            <w:r>
              <w:t xml:space="preserve">Commission by product and partner type, capped at the statutory cap</w:t>
            </w:r>
          </w:p>
        </w:tc>
        <w:tc>
          <w:tcPr>
            <w:tcW w:w="3763" w:type="dxa"/>
            <w:shd w:val="clear" w:color="auto" w:fill="F4F7FB"/>
            <w:vAlign w:val="top"/>
          </w:tcPr>
          <w:p>
            <w:pPr>
              <w:pStyle w:val="TableText"/>
              <w:jc w:val="left"/>
            </w:pPr>
            <w:r>
              <w:t xml:space="preserve">Compliance by construction</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30" w:name="_Toc300000026"/>
      <w:r>
        <w:rPr>
          <w:rStyle w:val="BookTitle"/>
          <w:bCs w:val="0"/>
          <w:i w:val="0"/>
          <w:iCs w:val="0"/>
          <w:spacing w:val="0"/>
        </w:rPr>
        <w:t xml:space="preserve">Value beyond discount</w:t>
      </w:r>
      <w:bookmarkEnd w:id="30"/>
    </w:p>
    <w:p>
      <w:pPr>
        <w:pStyle w:val="FirstParagraph"/>
      </w:pPr>
      <w:r>
        <w:t xml:space="preserve">Price cannot move, so the proposition is built from service, convenience and relevant cover. The platform ranks benefits by relevance to each driver, explains why in plain language and shows customers at most three. Only benefits approved by TASCO legal and available today reach customers. Roadmap items and items pending legal review are shown to staff only, and are flagged.</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859"/>
        <w:gridCol w:w="1538"/>
        <w:gridCol w:w="2575"/>
        <w:gridCol w:w="2055"/>
      </w:tblGrid>
      <w:tr>
        <w:trPr>
          <w:cantSplit/>
          <w:tblHeader/>
        </w:trPr>
        <w:tc>
          <w:tcPr>
            <w:tcW w:w="2859" w:type="dxa"/>
            <w:shd w:val="clear" w:color="auto" w:fill="0F4761"/>
            <w:vAlign w:val="center"/>
          </w:tcPr>
          <w:p>
            <w:pPr>
              <w:pStyle w:val="TableHeading"/>
              <w:jc w:val="left"/>
            </w:pPr>
            <w:r>
              <w:rPr>
                <w:color w:val="FFFFFF"/>
              </w:rPr>
              <w:t xml:space="preserve">Benefit</w:t>
            </w:r>
          </w:p>
        </w:tc>
        <w:tc>
          <w:tcPr>
            <w:tcW w:w="1538" w:type="dxa"/>
            <w:shd w:val="clear" w:color="auto" w:fill="0F4761"/>
            <w:vAlign w:val="center"/>
          </w:tcPr>
          <w:p>
            <w:pPr>
              <w:pStyle w:val="TableHeading"/>
              <w:jc w:val="left"/>
            </w:pPr>
            <w:r>
              <w:rPr>
                <w:color w:val="FFFFFF"/>
              </w:rPr>
              <w:t xml:space="preserve">Type</w:t>
            </w:r>
          </w:p>
        </w:tc>
        <w:tc>
          <w:tcPr>
            <w:tcW w:w="2575" w:type="dxa"/>
            <w:shd w:val="clear" w:color="auto" w:fill="0F4761"/>
            <w:vAlign w:val="center"/>
          </w:tcPr>
          <w:p>
            <w:pPr>
              <w:pStyle w:val="TableHeading"/>
              <w:jc w:val="left"/>
            </w:pPr>
            <w:r>
              <w:rPr>
                <w:color w:val="FFFFFF"/>
              </w:rPr>
              <w:t xml:space="preserve">Personalisation signal</w:t>
            </w:r>
          </w:p>
        </w:tc>
        <w:tc>
          <w:tcPr>
            <w:tcW w:w="2055" w:type="dxa"/>
            <w:shd w:val="clear" w:color="auto" w:fill="0F4761"/>
            <w:vAlign w:val="center"/>
          </w:tcPr>
          <w:p>
            <w:pPr>
              <w:pStyle w:val="TableHeading"/>
              <w:jc w:val="left"/>
            </w:pPr>
            <w:r>
              <w:rPr>
                <w:color w:val="FFFFFF"/>
              </w:rPr>
              <w:t xml:space="preserve">Status</w:t>
            </w:r>
          </w:p>
        </w:tc>
      </w:tr>
      <w:tr>
        <w:trPr>
          <w:cantSplit/>
        </w:trPr>
        <w:tc>
          <w:tcPr>
            <w:tcW w:w="2859" w:type="dxa"/>
            <w:vAlign w:val="top"/>
          </w:tcPr>
          <w:p>
            <w:pPr>
              <w:pStyle w:val="TableText"/>
              <w:jc w:val="left"/>
            </w:pPr>
            <w:r>
              <w:t xml:space="preserve">24/7 roadside assistance (Cứu hộ giao thông 24/7)</w:t>
            </w:r>
          </w:p>
        </w:tc>
        <w:tc>
          <w:tcPr>
            <w:tcW w:w="1538" w:type="dxa"/>
            <w:vAlign w:val="top"/>
          </w:tcPr>
          <w:p>
            <w:pPr>
              <w:pStyle w:val="TableText"/>
              <w:jc w:val="left"/>
            </w:pPr>
            <w:r>
              <w:t xml:space="preserve">Service</w:t>
            </w:r>
          </w:p>
        </w:tc>
        <w:tc>
          <w:tcPr>
            <w:tcW w:w="2575" w:type="dxa"/>
            <w:vAlign w:val="top"/>
          </w:tcPr>
          <w:p>
            <w:pPr>
              <w:pStyle w:val="TableText"/>
              <w:jc w:val="left"/>
            </w:pPr>
            <w:r>
              <w:t xml:space="preserve">Long trips over 90 days, toll trips</w:t>
            </w:r>
          </w:p>
        </w:tc>
        <w:tc>
          <w:tcPr>
            <w:tcW w:w="2055" w:type="dxa"/>
            <w:vAlign w:val="top"/>
          </w:tcPr>
          <w:p>
            <w:pPr>
              <w:pStyle w:val="TableText"/>
              <w:jc w:val="left"/>
            </w:pPr>
            <w:r>
              <w:t xml:space="preserve">Approved</w:t>
            </w:r>
          </w:p>
        </w:tc>
      </w:tr>
      <w:tr>
        <w:trPr>
          <w:cantSplit/>
        </w:trPr>
        <w:tc>
          <w:tcPr>
            <w:tcW w:w="2859" w:type="dxa"/>
            <w:shd w:val="clear" w:color="auto" w:fill="F4F7FB"/>
            <w:vAlign w:val="top"/>
          </w:tcPr>
          <w:p>
            <w:pPr>
              <w:pStyle w:val="TableText"/>
              <w:jc w:val="left"/>
            </w:pPr>
            <w:r>
              <w:t xml:space="preserve">Instant e-certificate with QR check</w:t>
            </w:r>
          </w:p>
        </w:tc>
        <w:tc>
          <w:tcPr>
            <w:tcW w:w="1538" w:type="dxa"/>
            <w:shd w:val="clear" w:color="auto" w:fill="F4F7FB"/>
            <w:vAlign w:val="top"/>
          </w:tcPr>
          <w:p>
            <w:pPr>
              <w:pStyle w:val="TableText"/>
              <w:jc w:val="left"/>
            </w:pPr>
            <w:r>
              <w:t xml:space="preserve">Service</w:t>
            </w:r>
          </w:p>
        </w:tc>
        <w:tc>
          <w:tcPr>
            <w:tcW w:w="2575" w:type="dxa"/>
            <w:shd w:val="clear" w:color="auto" w:fill="F4F7FB"/>
            <w:vAlign w:val="top"/>
          </w:tcPr>
          <w:p>
            <w:pPr>
              <w:pStyle w:val="TableText"/>
              <w:jc w:val="left"/>
            </w:pPr>
            <w:r>
              <w:t xml:space="preserve">All customers</w:t>
            </w:r>
          </w:p>
        </w:tc>
        <w:tc>
          <w:tcPr>
            <w:tcW w:w="2055" w:type="dxa"/>
            <w:shd w:val="clear" w:color="auto" w:fill="F4F7FB"/>
            <w:vAlign w:val="top"/>
          </w:tcPr>
          <w:p>
            <w:pPr>
              <w:pStyle w:val="TableText"/>
              <w:jc w:val="left"/>
            </w:pPr>
            <w:r>
              <w:t xml:space="preserve">Approved</w:t>
            </w:r>
          </w:p>
        </w:tc>
      </w:tr>
      <w:tr>
        <w:trPr>
          <w:cantSplit/>
        </w:trPr>
        <w:tc>
          <w:tcPr>
            <w:tcW w:w="2859" w:type="dxa"/>
            <w:vAlign w:val="top"/>
          </w:tcPr>
          <w:p>
            <w:pPr>
              <w:pStyle w:val="TableText"/>
              <w:jc w:val="left"/>
            </w:pPr>
            <w:r>
              <w:t xml:space="preserve">Inspection reminder and booking</w:t>
            </w:r>
          </w:p>
        </w:tc>
        <w:tc>
          <w:tcPr>
            <w:tcW w:w="1538" w:type="dxa"/>
            <w:vAlign w:val="top"/>
          </w:tcPr>
          <w:p>
            <w:pPr>
              <w:pStyle w:val="TableText"/>
              <w:jc w:val="left"/>
            </w:pPr>
            <w:r>
              <w:t xml:space="preserve">Service</w:t>
            </w:r>
          </w:p>
        </w:tc>
        <w:tc>
          <w:tcPr>
            <w:tcW w:w="2575" w:type="dxa"/>
            <w:vAlign w:val="top"/>
          </w:tcPr>
          <w:p>
            <w:pPr>
              <w:pStyle w:val="TableText"/>
              <w:jc w:val="left"/>
            </w:pPr>
            <w:r>
              <w:t xml:space="preserve">Expiry inferred from the inspection cycle</w:t>
            </w:r>
          </w:p>
        </w:tc>
        <w:tc>
          <w:tcPr>
            <w:tcW w:w="2055" w:type="dxa"/>
            <w:vAlign w:val="top"/>
          </w:tcPr>
          <w:p>
            <w:pPr>
              <w:pStyle w:val="TableText"/>
              <w:jc w:val="left"/>
            </w:pPr>
            <w:r>
              <w:t xml:space="preserve">Approved; booking integration in the scale phase</w:t>
            </w:r>
          </w:p>
        </w:tc>
      </w:tr>
      <w:tr>
        <w:trPr>
          <w:cantSplit/>
        </w:trPr>
        <w:tc>
          <w:tcPr>
            <w:tcW w:w="2859" w:type="dxa"/>
            <w:shd w:val="clear" w:color="auto" w:fill="F4F7FB"/>
            <w:vAlign w:val="top"/>
          </w:tcPr>
          <w:p>
            <w:pPr>
              <w:pStyle w:val="TableText"/>
              <w:jc w:val="left"/>
            </w:pPr>
            <w:r>
              <w:t xml:space="preserve">Claims fast lane: accident reporting in the app</w:t>
            </w:r>
          </w:p>
        </w:tc>
        <w:tc>
          <w:tcPr>
            <w:tcW w:w="1538" w:type="dxa"/>
            <w:shd w:val="clear" w:color="auto" w:fill="F4F7FB"/>
            <w:vAlign w:val="top"/>
          </w:tcPr>
          <w:p>
            <w:pPr>
              <w:pStyle w:val="TableText"/>
              <w:jc w:val="left"/>
            </w:pPr>
            <w:r>
              <w:t xml:space="preserve">Service</w:t>
            </w:r>
          </w:p>
        </w:tc>
        <w:tc>
          <w:tcPr>
            <w:tcW w:w="2575" w:type="dxa"/>
            <w:shd w:val="clear" w:color="auto" w:fill="F4F7FB"/>
            <w:vAlign w:val="top"/>
          </w:tcPr>
          <w:p>
            <w:pPr>
              <w:pStyle w:val="TableText"/>
              <w:jc w:val="left"/>
            </w:pPr>
            <w:r>
              <w:t xml:space="preserve">Toll trips</w:t>
            </w:r>
          </w:p>
        </w:tc>
        <w:tc>
          <w:tcPr>
            <w:tcW w:w="2055" w:type="dxa"/>
            <w:shd w:val="clear" w:color="auto" w:fill="F4F7FB"/>
            <w:vAlign w:val="top"/>
          </w:tcPr>
          <w:p>
            <w:pPr>
              <w:pStyle w:val="TableText"/>
              <w:jc w:val="left"/>
            </w:pPr>
            <w:r>
              <w:t xml:space="preserve">Approved</w:t>
            </w:r>
          </w:p>
        </w:tc>
      </w:tr>
      <w:tr>
        <w:trPr>
          <w:cantSplit/>
        </w:trPr>
        <w:tc>
          <w:tcPr>
            <w:tcW w:w="2859" w:type="dxa"/>
            <w:vAlign w:val="top"/>
          </w:tcPr>
          <w:p>
            <w:pPr>
              <w:pStyle w:val="TableText"/>
              <w:jc w:val="left"/>
            </w:pPr>
            <w:r>
              <w:t xml:space="preserve">Multi-year cover (two or three years at the regulated pro-rata premium)</w:t>
            </w:r>
          </w:p>
        </w:tc>
        <w:tc>
          <w:tcPr>
            <w:tcW w:w="1538" w:type="dxa"/>
            <w:vAlign w:val="top"/>
          </w:tcPr>
          <w:p>
            <w:pPr>
              <w:pStyle w:val="TableText"/>
              <w:jc w:val="left"/>
            </w:pPr>
            <w:r>
              <w:t xml:space="preserve">Convenience</w:t>
            </w:r>
          </w:p>
        </w:tc>
        <w:tc>
          <w:tcPr>
            <w:tcW w:w="2575" w:type="dxa"/>
            <w:vAlign w:val="top"/>
          </w:tcPr>
          <w:p>
            <w:pPr>
              <w:pStyle w:val="TableText"/>
              <w:jc w:val="left"/>
            </w:pPr>
            <w:r>
              <w:t xml:space="preserve">Wallet balance above VND 1 million; individuals only</w:t>
            </w:r>
          </w:p>
        </w:tc>
        <w:tc>
          <w:tcPr>
            <w:tcW w:w="2055" w:type="dxa"/>
            <w:vAlign w:val="top"/>
          </w:tcPr>
          <w:p>
            <w:pPr>
              <w:pStyle w:val="TableText"/>
              <w:jc w:val="left"/>
            </w:pPr>
            <w:r>
              <w:t xml:space="preserve">Approved</w:t>
            </w:r>
          </w:p>
        </w:tc>
      </w:tr>
      <w:tr>
        <w:trPr>
          <w:cantSplit/>
        </w:trPr>
        <w:tc>
          <w:tcPr>
            <w:tcW w:w="2859" w:type="dxa"/>
            <w:shd w:val="clear" w:color="auto" w:fill="F4F7FB"/>
            <w:vAlign w:val="top"/>
          </w:tcPr>
          <w:p>
            <w:pPr>
              <w:pStyle w:val="TableText"/>
              <w:jc w:val="left"/>
            </w:pPr>
            <w:r>
              <w:t xml:space="preserve">Protect your passengers (personal accident cover per seat)</w:t>
            </w:r>
          </w:p>
        </w:tc>
        <w:tc>
          <w:tcPr>
            <w:tcW w:w="1538" w:type="dxa"/>
            <w:shd w:val="clear" w:color="auto" w:fill="F4F7FB"/>
            <w:vAlign w:val="top"/>
          </w:tcPr>
          <w:p>
            <w:pPr>
              <w:pStyle w:val="TableText"/>
              <w:jc w:val="left"/>
            </w:pPr>
            <w:r>
              <w:t xml:space="preserve">Cover upgrade</w:t>
            </w:r>
          </w:p>
        </w:tc>
        <w:tc>
          <w:tcPr>
            <w:tcW w:w="2575" w:type="dxa"/>
            <w:shd w:val="clear" w:color="auto" w:fill="F4F7FB"/>
            <w:vAlign w:val="top"/>
          </w:tcPr>
          <w:p>
            <w:pPr>
              <w:pStyle w:val="TableText"/>
              <w:jc w:val="left"/>
            </w:pPr>
            <w:r>
              <w:t xml:space="preserve">Seven seats or more</w:t>
            </w:r>
          </w:p>
        </w:tc>
        <w:tc>
          <w:tcPr>
            <w:tcW w:w="2055" w:type="dxa"/>
            <w:shd w:val="clear" w:color="auto" w:fill="F4F7FB"/>
            <w:vAlign w:val="top"/>
          </w:tcPr>
          <w:p>
            <w:pPr>
              <w:pStyle w:val="TableText"/>
              <w:jc w:val="left"/>
            </w:pPr>
            <w:r>
              <w:t xml:space="preserve">Approved</w:t>
            </w:r>
          </w:p>
        </w:tc>
      </w:tr>
      <w:tr>
        <w:trPr>
          <w:cantSplit/>
        </w:trPr>
        <w:tc>
          <w:tcPr>
            <w:tcW w:w="2859" w:type="dxa"/>
            <w:vAlign w:val="top"/>
          </w:tcPr>
          <w:p>
            <w:pPr>
              <w:pStyle w:val="TableText"/>
              <w:jc w:val="left"/>
            </w:pPr>
            <w:r>
              <w:t xml:space="preserve">Cover damage to your own car (physical damage cover)</w:t>
            </w:r>
          </w:p>
        </w:tc>
        <w:tc>
          <w:tcPr>
            <w:tcW w:w="1538" w:type="dxa"/>
            <w:vAlign w:val="top"/>
          </w:tcPr>
          <w:p>
            <w:pPr>
              <w:pStyle w:val="TableText"/>
              <w:jc w:val="left"/>
            </w:pPr>
            <w:r>
              <w:t xml:space="preserve">Cover upgrade</w:t>
            </w:r>
          </w:p>
        </w:tc>
        <w:tc>
          <w:tcPr>
            <w:tcW w:w="2575" w:type="dxa"/>
            <w:vAlign w:val="top"/>
          </w:tcPr>
          <w:p>
            <w:pPr>
              <w:pStyle w:val="TableText"/>
              <w:jc w:val="left"/>
            </w:pPr>
            <w:r>
              <w:t xml:space="preserve">Vehicle five years old or less</w:t>
            </w:r>
          </w:p>
        </w:tc>
        <w:tc>
          <w:tcPr>
            <w:tcW w:w="2055" w:type="dxa"/>
            <w:vAlign w:val="top"/>
          </w:tcPr>
          <w:p>
            <w:pPr>
              <w:pStyle w:val="TableText"/>
              <w:jc w:val="left"/>
            </w:pPr>
            <w:r>
              <w:t xml:space="preserve">Approved; inspection required before payment</w:t>
            </w:r>
          </w:p>
        </w:tc>
      </w:tr>
      <w:tr>
        <w:trPr>
          <w:cantSplit/>
        </w:trPr>
        <w:tc>
          <w:tcPr>
            <w:tcW w:w="2859" w:type="dxa"/>
            <w:shd w:val="clear" w:color="auto" w:fill="F4F7FB"/>
            <w:vAlign w:val="top"/>
          </w:tcPr>
          <w:p>
            <w:pPr>
              <w:pStyle w:val="TableText"/>
              <w:jc w:val="left"/>
            </w:pPr>
            <w:r>
              <w:t xml:space="preserve">Never-lapse auto renewal, confirm before debit</w:t>
            </w:r>
          </w:p>
        </w:tc>
        <w:tc>
          <w:tcPr>
            <w:tcW w:w="1538" w:type="dxa"/>
            <w:shd w:val="clear" w:color="auto" w:fill="F4F7FB"/>
            <w:vAlign w:val="top"/>
          </w:tcPr>
          <w:p>
            <w:pPr>
              <w:pStyle w:val="TableText"/>
              <w:jc w:val="left"/>
            </w:pPr>
            <w:r>
              <w:t xml:space="preserve">Service</w:t>
            </w:r>
          </w:p>
        </w:tc>
        <w:tc>
          <w:tcPr>
            <w:tcW w:w="2575" w:type="dxa"/>
            <w:shd w:val="clear" w:color="auto" w:fill="F4F7FB"/>
            <w:vAlign w:val="top"/>
          </w:tcPr>
          <w:p>
            <w:pPr>
              <w:pStyle w:val="TableText"/>
              <w:jc w:val="left"/>
            </w:pPr>
            <w:r>
              <w:t xml:space="preserve">Wallet auto top-up</w:t>
            </w:r>
          </w:p>
        </w:tc>
        <w:tc>
          <w:tcPr>
            <w:tcW w:w="2055" w:type="dxa"/>
            <w:shd w:val="clear" w:color="auto" w:fill="F4F7FB"/>
            <w:vAlign w:val="top"/>
          </w:tcPr>
          <w:p>
            <w:pPr>
              <w:pStyle w:val="TableText"/>
              <w:jc w:val="left"/>
            </w:pPr>
            <w:r>
              <w:t xml:space="preserve">Roadmap; staff view only</w:t>
            </w:r>
          </w:p>
        </w:tc>
      </w:tr>
      <w:tr>
        <w:trPr>
          <w:cantSplit/>
        </w:trPr>
        <w:tc>
          <w:tcPr>
            <w:tcW w:w="2859" w:type="dxa"/>
            <w:vAlign w:val="top"/>
          </w:tcPr>
          <w:p>
            <w:pPr>
              <w:pStyle w:val="TableText"/>
              <w:jc w:val="left"/>
            </w:pPr>
            <w:r>
              <w:t xml:space="preserve">Fleet renewal dashboard and consolidated VAT invoice</w:t>
            </w:r>
          </w:p>
        </w:tc>
        <w:tc>
          <w:tcPr>
            <w:tcW w:w="1538" w:type="dxa"/>
            <w:vAlign w:val="top"/>
          </w:tcPr>
          <w:p>
            <w:pPr>
              <w:pStyle w:val="TableText"/>
              <w:jc w:val="left"/>
            </w:pPr>
            <w:r>
              <w:t xml:space="preserve">Service</w:t>
            </w:r>
          </w:p>
        </w:tc>
        <w:tc>
          <w:tcPr>
            <w:tcW w:w="2575" w:type="dxa"/>
            <w:vAlign w:val="top"/>
          </w:tcPr>
          <w:p>
            <w:pPr>
              <w:pStyle w:val="TableText"/>
              <w:jc w:val="left"/>
            </w:pPr>
            <w:r>
              <w:t xml:space="preserve">Company owner</w:t>
            </w:r>
          </w:p>
        </w:tc>
        <w:tc>
          <w:tcPr>
            <w:tcW w:w="2055" w:type="dxa"/>
            <w:vAlign w:val="top"/>
          </w:tcPr>
          <w:p>
            <w:pPr>
              <w:pStyle w:val="TableText"/>
              <w:jc w:val="left"/>
            </w:pPr>
            <w:r>
              <w:t xml:space="preserve">Roadmap; staff view only</w:t>
            </w:r>
          </w:p>
        </w:tc>
      </w:tr>
      <w:tr>
        <w:trPr>
          <w:cantSplit/>
        </w:trPr>
        <w:tc>
          <w:tcPr>
            <w:tcW w:w="2859" w:type="dxa"/>
            <w:shd w:val="clear" w:color="auto" w:fill="F4F7FB"/>
            <w:vAlign w:val="top"/>
          </w:tcPr>
          <w:p>
            <w:pPr>
              <w:pStyle w:val="TableText"/>
              <w:jc w:val="left"/>
            </w:pPr>
            <w:r>
              <w:t xml:space="preserve">VETC loyalty points (non-cash)</w:t>
            </w:r>
          </w:p>
        </w:tc>
        <w:tc>
          <w:tcPr>
            <w:tcW w:w="1538" w:type="dxa"/>
            <w:shd w:val="clear" w:color="auto" w:fill="F4F7FB"/>
            <w:vAlign w:val="top"/>
          </w:tcPr>
          <w:p>
            <w:pPr>
              <w:pStyle w:val="TableText"/>
              <w:jc w:val="left"/>
            </w:pPr>
            <w:r>
              <w:t xml:space="preserve">Loyalty</w:t>
            </w:r>
          </w:p>
        </w:tc>
        <w:tc>
          <w:tcPr>
            <w:tcW w:w="2575" w:type="dxa"/>
            <w:shd w:val="clear" w:color="auto" w:fill="F4F7FB"/>
            <w:vAlign w:val="top"/>
          </w:tcPr>
          <w:p>
            <w:pPr>
              <w:pStyle w:val="TableText"/>
              <w:jc w:val="left"/>
            </w:pPr>
            <w:r>
              <w:t xml:space="preserve">App sessions</w:t>
            </w:r>
          </w:p>
        </w:tc>
        <w:tc>
          <w:tcPr>
            <w:tcW w:w="2055" w:type="dxa"/>
            <w:shd w:val="clear" w:color="auto" w:fill="F4F7FB"/>
            <w:vAlign w:val="top"/>
          </w:tcPr>
          <w:p>
            <w:pPr>
              <w:pStyle w:val="TableText"/>
              <w:jc w:val="left"/>
            </w:pPr>
            <w:r>
              <w:t xml:space="preserve">Pending review by TASCO legal</w:t>
            </w:r>
          </w:p>
        </w:tc>
      </w:tr>
    </w:tbl>
    <w:p>
      <w:pPr>
        <w:pStyle w:val="BodyText"/>
        <w:spacing w:before="160"/>
      </w:pPr>
      <w:r>
        <w:t xml:space="preserve">Three guardrails apply. First, a copy guard blocks discount language in every customer message:</w:t>
      </w:r>
      <w:r>
        <w:t xml:space="preserve"> </w:t>
      </w:r>
      <w:r>
        <w:t xml:space="preserve">“</w:t>
      </w:r>
      <w:r>
        <w:t xml:space="preserve">giảm giá</w:t>
      </w:r>
      <w:r>
        <w:t xml:space="preserve">”</w:t>
      </w:r>
      <w:r>
        <w:t xml:space="preserve">,</w:t>
      </w:r>
      <w:r>
        <w:t xml:space="preserve"> </w:t>
      </w:r>
      <w:r>
        <w:t xml:space="preserve">“</w:t>
      </w:r>
      <w:r>
        <w:t xml:space="preserve">chiết khấu</w:t>
      </w:r>
      <w:r>
        <w:t xml:space="preserve">”</w:t>
      </w:r>
      <w:r>
        <w:t xml:space="preserve">,</w:t>
      </w:r>
      <w:r>
        <w:t xml:space="preserve"> </w:t>
      </w:r>
      <w:r>
        <w:t xml:space="preserve">“</w:t>
      </w:r>
      <w:r>
        <w:t xml:space="preserve">hoàn tiền</w:t>
      </w:r>
      <w:r>
        <w:t xml:space="preserve">”</w:t>
      </w:r>
      <w:r>
        <w:t xml:space="preserve">,</w:t>
      </w:r>
      <w:r>
        <w:t xml:space="preserve"> </w:t>
      </w:r>
      <w:r>
        <w:t xml:space="preserve">“</w:t>
      </w:r>
      <w:r>
        <w:t xml:space="preserve">khuyến mãi phí</w:t>
      </w:r>
      <w:r>
        <w:t xml:space="preserve">”</w:t>
      </w:r>
      <w:r>
        <w:t xml:space="preserve">,</w:t>
      </w:r>
      <w:r>
        <w:t xml:space="preserve"> </w:t>
      </w:r>
      <w:r>
        <w:t xml:space="preserve">“</w:t>
      </w:r>
      <w:r>
        <w:t xml:space="preserve">rẻ hơn</w:t>
      </w:r>
      <w:r>
        <w:t xml:space="preserve">”</w:t>
      </w:r>
      <w:r>
        <w:t xml:space="preserve">,</w:t>
      </w:r>
      <w:r>
        <w:t xml:space="preserve"> </w:t>
      </w:r>
      <w:r>
        <w:t xml:space="preserve">“</w:t>
      </w:r>
      <w:r>
        <w:t xml:space="preserve">discount</w:t>
      </w:r>
      <w:r>
        <w:t xml:space="preserve">”</w:t>
      </w:r>
      <w:r>
        <w:t xml:space="preserve">,</w:t>
      </w:r>
      <w:r>
        <w:t xml:space="preserve"> </w:t>
      </w:r>
      <w:r>
        <w:t xml:space="preserve">“</w:t>
      </w:r>
      <w:r>
        <w:t xml:space="preserve">cashback</w:t>
      </w:r>
      <w:r>
        <w:t xml:space="preserve">”</w:t>
      </w:r>
      <w:r>
        <w:t xml:space="preserve">,</w:t>
      </w:r>
      <w:r>
        <w:t xml:space="preserve"> </w:t>
      </w:r>
      <w:r>
        <w:t xml:space="preserve">“</w:t>
      </w:r>
      <w:r>
        <w:t xml:space="preserve">rebate</w:t>
      </w:r>
      <w:r>
        <w:t xml:space="preserve">”</w:t>
      </w:r>
      <w:r>
        <w:t xml:space="preserve">,</w:t>
      </w:r>
      <w:r>
        <w:t xml:space="preserve"> </w:t>
      </w:r>
      <w:r>
        <w:t xml:space="preserve">“</w:t>
      </w:r>
      <w:r>
        <w:t xml:space="preserve">% off</w:t>
      </w:r>
      <w:r>
        <w:t xml:space="preserve">”</w:t>
      </w:r>
      <w:r>
        <w:t xml:space="preserve">,</w:t>
      </w:r>
      <w:r>
        <w:t xml:space="preserve"> </w:t>
      </w:r>
      <w:r>
        <w:t xml:space="preserve">“</w:t>
      </w:r>
      <w:r>
        <w:t xml:space="preserve">cheaper</w:t>
      </w:r>
      <w:r>
        <w:t xml:space="preserve">”</w:t>
      </w:r>
      <w:r>
        <w:t xml:space="preserve">,</w:t>
      </w:r>
      <w:r>
        <w:t xml:space="preserve"> </w:t>
      </w:r>
      <w:r>
        <w:t xml:space="preserve">“</w:t>
      </w:r>
      <w:r>
        <w:t xml:space="preserve">lower premium</w:t>
      </w:r>
      <w:r>
        <w:t xml:space="preserve">”</w:t>
      </w:r>
      <w:r>
        <w:t xml:space="preserve"> </w:t>
      </w:r>
      <w:r>
        <w:t xml:space="preserve">and</w:t>
      </w:r>
      <w:r>
        <w:t xml:space="preserve"> </w:t>
      </w:r>
      <w:r>
        <w:t xml:space="preserve">“</w:t>
      </w:r>
      <w:r>
        <w:t xml:space="preserve">price cut</w:t>
      </w:r>
      <w:r>
        <w:t xml:space="preserve">”</w:t>
      </w:r>
      <w:r>
        <w:t xml:space="preserve">. It runs when content rules are saved and again at send time, and it ignores diacritics, extra spaces and punctuation, so</w:t>
      </w:r>
      <w:r>
        <w:t xml:space="preserve"> </w:t>
      </w:r>
      <w:r>
        <w:t xml:space="preserve">“</w:t>
      </w:r>
      <w:r>
        <w:t xml:space="preserve">giảm giá</w:t>
      </w:r>
      <w:r>
        <w:t xml:space="preserve">”</w:t>
      </w:r>
      <w:r>
        <w:t xml:space="preserve"> </w:t>
      </w:r>
      <w:r>
        <w:t xml:space="preserve">and</w:t>
      </w:r>
      <w:r>
        <w:t xml:space="preserve"> </w:t>
      </w:r>
      <w:r>
        <w:t xml:space="preserve">“</w:t>
      </w:r>
      <w:r>
        <w:t xml:space="preserve">cash back</w:t>
      </w:r>
      <w:r>
        <w:t xml:space="preserve">”</w:t>
      </w:r>
      <w:r>
        <w:t xml:space="preserve"> </w:t>
      </w:r>
      <w:r>
        <w:t xml:space="preserve">are also caught. Second, loyalty points and referral rewards stay switched off until TASCO legal approves them, and must never be promised to customers before then. Third, bundles (Safe Drive: TNDS plus personal accident cover per seat; Full Motor: TNDS, physical damage and personal accident cover) are priced as the sum of their parts. A bundle is a convenience, not a discount.</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31" w:name="_Toc300000027"/>
      <w:r>
        <w:rPr>
          <w:rStyle w:val="BookTitle"/>
          <w:bCs w:val="0"/>
          <w:i w:val="0"/>
          <w:iCs w:val="0"/>
          <w:spacing w:val="0"/>
        </w:rPr>
        <w:t xml:space="preserve">Trust strategy</w:t>
      </w:r>
      <w:bookmarkEnd w:id="31"/>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267"/>
        <w:gridCol w:w="6760"/>
      </w:tblGrid>
      <w:tr>
        <w:trPr>
          <w:cantSplit/>
          <w:tblHeader/>
        </w:trPr>
        <w:tc>
          <w:tcPr>
            <w:tcW w:w="2267" w:type="dxa"/>
            <w:shd w:val="clear" w:color="auto" w:fill="0F4761"/>
            <w:vAlign w:val="center"/>
          </w:tcPr>
          <w:p>
            <w:pPr>
              <w:pStyle w:val="TableHeading"/>
              <w:jc w:val="left"/>
            </w:pPr>
            <w:r>
              <w:rPr>
                <w:color w:val="FFFFFF"/>
              </w:rPr>
              <w:t xml:space="preserve">Principle</w:t>
            </w:r>
          </w:p>
        </w:tc>
        <w:tc>
          <w:tcPr>
            <w:tcW w:w="6760" w:type="dxa"/>
            <w:shd w:val="clear" w:color="auto" w:fill="0F4761"/>
            <w:vAlign w:val="center"/>
          </w:tcPr>
          <w:p>
            <w:pPr>
              <w:pStyle w:val="TableHeading"/>
              <w:jc w:val="left"/>
            </w:pPr>
            <w:r>
              <w:rPr>
                <w:color w:val="FFFFFF"/>
              </w:rPr>
              <w:t xml:space="preserve">How the platform applies it</w:t>
            </w:r>
          </w:p>
        </w:tc>
      </w:tr>
      <w:tr>
        <w:trPr>
          <w:cantSplit/>
        </w:trPr>
        <w:tc>
          <w:tcPr>
            <w:tcW w:w="2267" w:type="dxa"/>
            <w:vAlign w:val="top"/>
          </w:tcPr>
          <w:p>
            <w:pPr>
              <w:pStyle w:val="TableText"/>
              <w:jc w:val="left"/>
            </w:pPr>
            <w:r>
              <w:t xml:space="preserve">Prove legitimacy before asking anything</w:t>
            </w:r>
          </w:p>
        </w:tc>
        <w:tc>
          <w:tcPr>
            <w:tcW w:w="6760" w:type="dxa"/>
            <w:vAlign w:val="top"/>
          </w:tcPr>
          <w:p>
            <w:pPr>
              <w:pStyle w:val="TableText"/>
              <w:jc w:val="left"/>
            </w:pPr>
            <w:r>
              <w:t xml:space="preserve">The assistant says it is VETC’s automated assistant, that the call is recorded and that VETC never asks for an OTP or payment by phone</w:t>
            </w:r>
          </w:p>
        </w:tc>
      </w:tr>
      <w:tr>
        <w:trPr>
          <w:cantSplit/>
        </w:trPr>
        <w:tc>
          <w:tcPr>
            <w:tcW w:w="2267" w:type="dxa"/>
            <w:shd w:val="clear" w:color="auto" w:fill="F4F7FB"/>
            <w:vAlign w:val="top"/>
          </w:tcPr>
          <w:p>
            <w:pPr>
              <w:pStyle w:val="TableText"/>
              <w:jc w:val="left"/>
            </w:pPr>
            <w:r>
              <w:t xml:space="preserve">Plate first</w:t>
            </w:r>
          </w:p>
        </w:tc>
        <w:tc>
          <w:tcPr>
            <w:tcW w:w="6760" w:type="dxa"/>
            <w:shd w:val="clear" w:color="auto" w:fill="F4F7FB"/>
            <w:vAlign w:val="top"/>
          </w:tcPr>
          <w:p>
            <w:pPr>
              <w:pStyle w:val="TableText"/>
              <w:jc w:val="left"/>
            </w:pPr>
            <w:r>
              <w:t xml:space="preserve">The customer says the plate; the assistant compares it with the record and never reads it out. A mismatch ends the call politely. At most three attempts</w:t>
            </w:r>
          </w:p>
        </w:tc>
      </w:tr>
      <w:tr>
        <w:trPr>
          <w:cantSplit/>
        </w:trPr>
        <w:tc>
          <w:tcPr>
            <w:tcW w:w="2267" w:type="dxa"/>
            <w:vAlign w:val="top"/>
          </w:tcPr>
          <w:p>
            <w:pPr>
              <w:pStyle w:val="TableText"/>
              <w:jc w:val="left"/>
            </w:pPr>
            <w:r>
              <w:t xml:space="preserve">Mask data on calls</w:t>
            </w:r>
          </w:p>
        </w:tc>
        <w:tc>
          <w:tcPr>
            <w:tcW w:w="6760" w:type="dxa"/>
            <w:vAlign w:val="top"/>
          </w:tcPr>
          <w:p>
            <w:pPr>
              <w:pStyle w:val="TableText"/>
              <w:jc w:val="left"/>
            </w:pPr>
            <w:r>
              <w:t xml:space="preserve">Plate and phone are masked in summaries (for example 30A-***.45)</w:t>
            </w:r>
          </w:p>
        </w:tc>
      </w:tr>
      <w:tr>
        <w:trPr>
          <w:cantSplit/>
        </w:trPr>
        <w:tc>
          <w:tcPr>
            <w:tcW w:w="2267" w:type="dxa"/>
            <w:shd w:val="clear" w:color="auto" w:fill="F4F7FB"/>
            <w:vAlign w:val="top"/>
          </w:tcPr>
          <w:p>
            <w:pPr>
              <w:pStyle w:val="TableText"/>
              <w:jc w:val="left"/>
            </w:pPr>
            <w:r>
              <w:t xml:space="preserve">No payment on calls</w:t>
            </w:r>
          </w:p>
        </w:tc>
        <w:tc>
          <w:tcPr>
            <w:tcW w:w="6760" w:type="dxa"/>
            <w:shd w:val="clear" w:color="auto" w:fill="F4F7FB"/>
            <w:vAlign w:val="top"/>
          </w:tcPr>
          <w:p>
            <w:pPr>
              <w:pStyle w:val="TableText"/>
              <w:jc w:val="left"/>
            </w:pPr>
            <w:r>
              <w:t xml:space="preserve">The assistant and telesales send a link or a quote; payment happens only in the VETC app from the wallet. Staff have no way to take payment</w:t>
            </w:r>
          </w:p>
        </w:tc>
      </w:tr>
      <w:tr>
        <w:trPr>
          <w:cantSplit/>
        </w:trPr>
        <w:tc>
          <w:tcPr>
            <w:tcW w:w="2267" w:type="dxa"/>
            <w:vAlign w:val="top"/>
          </w:tcPr>
          <w:p>
            <w:pPr>
              <w:pStyle w:val="TableText"/>
              <w:jc w:val="left"/>
            </w:pPr>
            <w:r>
              <w:t xml:space="preserve">Handle the scam objection</w:t>
            </w:r>
          </w:p>
        </w:tc>
        <w:tc>
          <w:tcPr>
            <w:tcW w:w="6760" w:type="dxa"/>
            <w:vAlign w:val="top"/>
          </w:tcPr>
          <w:p>
            <w:pPr>
              <w:pStyle w:val="TableText"/>
              <w:jc w:val="left"/>
            </w:pPr>
            <w:r>
              <w:t xml:space="preserve">A customer who asks</w:t>
            </w:r>
            <w:r>
              <w:t xml:space="preserve"> </w:t>
            </w:r>
            <w:r>
              <w:t xml:space="preserve">“</w:t>
            </w:r>
            <w:r>
              <w:t xml:space="preserve">is this a scam?</w:t>
            </w:r>
            <w:r>
              <w:t xml:space="preserve">”</w:t>
            </w:r>
            <w:r>
              <w:t xml:space="preserve"> </w:t>
            </w:r>
            <w:r>
              <w:t xml:space="preserve">hears how to verify the call and is offered a notice in the app</w:t>
            </w:r>
          </w:p>
        </w:tc>
      </w:tr>
      <w:tr>
        <w:trPr>
          <w:cantSplit/>
        </w:trPr>
        <w:tc>
          <w:tcPr>
            <w:tcW w:w="2267" w:type="dxa"/>
            <w:shd w:val="clear" w:color="auto" w:fill="F4F7FB"/>
            <w:vAlign w:val="top"/>
          </w:tcPr>
          <w:p>
            <w:pPr>
              <w:pStyle w:val="TableText"/>
              <w:jc w:val="left"/>
            </w:pPr>
            <w:r>
              <w:t xml:space="preserve">Independent proof of cover</w:t>
            </w:r>
          </w:p>
        </w:tc>
        <w:tc>
          <w:tcPr>
            <w:tcW w:w="6760" w:type="dxa"/>
            <w:shd w:val="clear" w:color="auto" w:fill="F4F7FB"/>
            <w:vAlign w:val="top"/>
          </w:tcPr>
          <w:p>
            <w:pPr>
              <w:pStyle w:val="TableText"/>
              <w:jc w:val="left"/>
            </w:pPr>
            <w:r>
              <w:t xml:space="preserve">The QR on the e-certificate opens a public page showing the masked plate, validity and insurer, with no personal data</w:t>
            </w:r>
          </w:p>
        </w:tc>
      </w:tr>
      <w:tr>
        <w:trPr>
          <w:cantSplit/>
        </w:trPr>
        <w:tc>
          <w:tcPr>
            <w:tcW w:w="2267" w:type="dxa"/>
            <w:vAlign w:val="top"/>
          </w:tcPr>
          <w:p>
            <w:pPr>
              <w:pStyle w:val="TableText"/>
              <w:jc w:val="left"/>
            </w:pPr>
            <w:r>
              <w:t xml:space="preserve">Branded channels only</w:t>
            </w:r>
          </w:p>
        </w:tc>
        <w:tc>
          <w:tcPr>
            <w:tcW w:w="6760" w:type="dxa"/>
            <w:vAlign w:val="top"/>
          </w:tcPr>
          <w:p>
            <w:pPr>
              <w:pStyle w:val="TableText"/>
              <w:jc w:val="left"/>
            </w:pPr>
            <w:r>
              <w:t xml:space="preserve">Messages come from the VETC app and VETC’s official Zalo account. Links are signed, contain no guessable identifiers and expire after 30 days by default</w:t>
            </w:r>
          </w:p>
        </w:tc>
      </w:tr>
      <w:tr>
        <w:trPr>
          <w:cantSplit/>
        </w:trPr>
        <w:tc>
          <w:tcPr>
            <w:tcW w:w="2267" w:type="dxa"/>
            <w:shd w:val="clear" w:color="auto" w:fill="F4F7FB"/>
            <w:vAlign w:val="top"/>
          </w:tcPr>
          <w:p>
            <w:pPr>
              <w:pStyle w:val="TableText"/>
              <w:jc w:val="left"/>
            </w:pPr>
            <w:r>
              <w:t xml:space="preserve">Respect</w:t>
            </w:r>
            <w:r>
              <w:t xml:space="preserve"> </w:t>
            </w:r>
            <w:r>
              <w:t xml:space="preserve">“</w:t>
            </w:r>
            <w:r>
              <w:t xml:space="preserve">no</w:t>
            </w:r>
            <w:r>
              <w:t xml:space="preserve">”</w:t>
            </w:r>
          </w:p>
        </w:tc>
        <w:tc>
          <w:tcPr>
            <w:tcW w:w="6760" w:type="dxa"/>
            <w:shd w:val="clear" w:color="auto" w:fill="F4F7FB"/>
            <w:vAlign w:val="top"/>
          </w:tcPr>
          <w:p>
            <w:pPr>
              <w:pStyle w:val="TableText"/>
              <w:jc w:val="left"/>
            </w:pPr>
            <w:r>
              <w:t xml:space="preserve">An opt-out on a call sets do-not-contact and withdraws call consent, and is audited. Customers manage consent in the app</w:t>
            </w:r>
          </w:p>
        </w:tc>
      </w:tr>
      <w:tr>
        <w:trPr>
          <w:cantSplit/>
        </w:trPr>
        <w:tc>
          <w:tcPr>
            <w:tcW w:w="2267" w:type="dxa"/>
            <w:vAlign w:val="top"/>
          </w:tcPr>
          <w:p>
            <w:pPr>
              <w:pStyle w:val="TableText"/>
              <w:jc w:val="left"/>
            </w:pPr>
            <w:r>
              <w:t xml:space="preserve">Honest price talk</w:t>
            </w:r>
          </w:p>
        </w:tc>
        <w:tc>
          <w:tcPr>
            <w:tcW w:w="6760" w:type="dxa"/>
            <w:vAlign w:val="top"/>
          </w:tcPr>
          <w:p>
            <w:pPr>
              <w:pStyle w:val="TableText"/>
              <w:jc w:val="left"/>
            </w:pPr>
            <w:r>
              <w:t xml:space="preserve">“</w:t>
            </w:r>
            <w:r>
              <w:t xml:space="preserve">TNDS premiums are set by regulation and are the same at every insurer</w:t>
            </w:r>
            <w:r>
              <w:t xml:space="preserve">”</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32" w:name="_Toc300000028"/>
      <w:r>
        <w:rPr>
          <w:rStyle w:val="BookTitle"/>
          <w:bCs w:val="0"/>
          <w:i w:val="0"/>
          <w:iCs w:val="0"/>
          <w:spacing w:val="0"/>
        </w:rPr>
        <w:t xml:space="preserve">Data strategy</w:t>
      </w:r>
      <w:bookmarkEnd w:id="32"/>
    </w:p>
    <w:p>
      <w:pPr>
        <w:pStyle w:val="Heading2"/>
      </w:pPr>
      <w:bookmarkStart w:id="33" w:name="_Toc300000029"/>
      <w:r>
        <w:t xml:space="preserve">The data-repair loop</w:t>
      </w:r>
      <w:bookmarkEnd w:id="33"/>
    </w:p>
    <w:p>
      <w:pPr>
        <w:pStyle w:val="FirstParagraph"/>
      </w:pPr>
      <w:r>
        <w:t xml:space="preserve">Every contact either confirms or improves what TASCO knows about a vehicle. The diagram shows how outcomes flow back into the record.</w:t>
      </w:r>
    </w:p>
    <w:p xmlns:a="http://schemas.openxmlformats.org/drawingml/2006/main" xmlns:pic="http://schemas.openxmlformats.org/drawingml/2006/picture">
      <w:pPr>
        <w:pStyle w:val="Figure"/>
      </w:pPr>
      <w:r>
        <w:drawing>
          <wp:inline>
            <wp:extent cx="5727700" cy="5849196"/>
            <wp:effectExtent b="0" l="0" r="0" t="0"/>
            <wp:docPr descr="The data-repair loop, in which every contact outcome flows back into the vehicle record" title="" id="5004" name="Picture"/>
            <a:graphic>
              <a:graphicData uri="http://schemas.openxmlformats.org/drawingml/2006/picture">
                <pic:pic>
                  <pic:nvPicPr>
                    <pic:cNvPr descr="/tmp/claude-0/-home-user-TASCO/19e5534d-12b5-5956-9b60-3e77efde0f49/scratchpad/gen/.cache/mermaid/6282fba314aad826.png" id="54" name="Picture"/>
                    <pic:cNvPicPr>
                      <a:picLocks noChangeArrowheads="1" noChangeAspect="1"/>
                    </pic:cNvPicPr>
                  </pic:nvPicPr>
                  <pic:blipFill>
                    <a:blip r:embed="rIdG4"/>
                    <a:stretch>
                      <a:fillRect/>
                    </a:stretch>
                  </pic:blipFill>
                  <pic:spPr bwMode="auto">
                    <a:xfrm>
                      <a:off x="0" y="0"/>
                      <a:ext cx="5727700" cy="5849196"/>
                    </a:xfrm>
                    <a:prstGeom prst="rect">
                      <a:avLst/>
                    </a:prstGeom>
                    <a:noFill/>
                    <a:ln w="9525">
                      <a:noFill/>
                      <a:headEnd/>
                      <a:tailEnd/>
                    </a:ln>
                  </pic:spPr>
                </pic:pic>
              </a:graphicData>
            </a:graphic>
          </wp:inline>
        </w:drawing>
      </w:r>
    </w:p>
    <w:p>
      <w:pPr>
        <w:pStyle w:val="Caption"/>
      </w:pPr>
      <w:r>
        <w:t xml:space="preserve">Figure 3 – The data-repair loop, in which every contact outcome flows back into the vehicle record</w:t>
      </w:r>
    </w:p>
    <w:p>
      <w:pPr>
        <w:pStyle w:val="Heading2"/>
      </w:pPr>
      <w:bookmarkStart w:id="34" w:name="_Toc300000030"/>
      <w:r>
        <w:t xml:space="preserve">Expiry evidence and confidence</w:t>
      </w:r>
      <w:bookmarkEnd w:id="34"/>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7294"/>
        <w:gridCol w:w="1733"/>
      </w:tblGrid>
      <w:tr>
        <w:trPr>
          <w:cantSplit/>
          <w:tblHeader/>
        </w:trPr>
        <w:tc>
          <w:tcPr>
            <w:tcW w:w="7294" w:type="dxa"/>
            <w:shd w:val="clear" w:color="auto" w:fill="0F4761"/>
            <w:vAlign w:val="center"/>
          </w:tcPr>
          <w:p>
            <w:pPr>
              <w:pStyle w:val="TableHeading"/>
              <w:jc w:val="left"/>
            </w:pPr>
            <w:r>
              <w:rPr>
                <w:color w:val="FFFFFF"/>
              </w:rPr>
              <w:t xml:space="preserve">Evidence</w:t>
            </w:r>
          </w:p>
        </w:tc>
        <w:tc>
          <w:tcPr>
            <w:tcW w:w="1733" w:type="dxa"/>
            <w:shd w:val="clear" w:color="auto" w:fill="0F4761"/>
            <w:vAlign w:val="center"/>
          </w:tcPr>
          <w:p>
            <w:pPr>
              <w:pStyle w:val="TableHeading"/>
              <w:jc w:val="left"/>
            </w:pPr>
            <w:r>
              <w:rPr>
                <w:color w:val="FFFFFF"/>
              </w:rPr>
              <w:t xml:space="preserve">Confidence</w:t>
            </w:r>
          </w:p>
        </w:tc>
      </w:tr>
      <w:tr>
        <w:trPr>
          <w:cantSplit/>
        </w:trPr>
        <w:tc>
          <w:tcPr>
            <w:tcW w:w="7294" w:type="dxa"/>
            <w:vAlign w:val="top"/>
          </w:tcPr>
          <w:p>
            <w:pPr>
              <w:pStyle w:val="TableText"/>
              <w:jc w:val="left"/>
            </w:pPr>
            <w:r>
              <w:t xml:space="preserve">Verified certificate, including a TASCO issuance</w:t>
            </w:r>
          </w:p>
        </w:tc>
        <w:tc>
          <w:tcPr>
            <w:tcW w:w="1733" w:type="dxa"/>
            <w:vAlign w:val="top"/>
          </w:tcPr>
          <w:p>
            <w:pPr>
              <w:pStyle w:val="TableText"/>
              <w:jc w:val="left"/>
            </w:pPr>
            <w:r>
              <w:t xml:space="preserve">1.0</w:t>
            </w:r>
          </w:p>
        </w:tc>
      </w:tr>
      <w:tr>
        <w:trPr>
          <w:cantSplit/>
        </w:trPr>
        <w:tc>
          <w:tcPr>
            <w:tcW w:w="7294" w:type="dxa"/>
            <w:shd w:val="clear" w:color="auto" w:fill="F4F7FB"/>
            <w:vAlign w:val="top"/>
          </w:tcPr>
          <w:p>
            <w:pPr>
              <w:pStyle w:val="TableText"/>
              <w:jc w:val="left"/>
            </w:pPr>
            <w:r>
              <w:t xml:space="preserve">Steward correction with written evidence</w:t>
            </w:r>
          </w:p>
        </w:tc>
        <w:tc>
          <w:tcPr>
            <w:tcW w:w="1733" w:type="dxa"/>
            <w:shd w:val="clear" w:color="auto" w:fill="F4F7FB"/>
            <w:vAlign w:val="top"/>
          </w:tcPr>
          <w:p>
            <w:pPr>
              <w:pStyle w:val="TableText"/>
              <w:jc w:val="left"/>
            </w:pPr>
            <w:r>
              <w:t xml:space="preserve">0.9</w:t>
            </w:r>
          </w:p>
        </w:tc>
      </w:tr>
      <w:tr>
        <w:trPr>
          <w:cantSplit/>
        </w:trPr>
        <w:tc>
          <w:tcPr>
            <w:tcW w:w="7294" w:type="dxa"/>
            <w:vAlign w:val="top"/>
          </w:tcPr>
          <w:p>
            <w:pPr>
              <w:pStyle w:val="TableText"/>
              <w:jc w:val="left"/>
            </w:pPr>
            <w:r>
              <w:t xml:space="preserve">Customer declaration in the app</w:t>
            </w:r>
          </w:p>
        </w:tc>
        <w:tc>
          <w:tcPr>
            <w:tcW w:w="1733" w:type="dxa"/>
            <w:vAlign w:val="top"/>
          </w:tcPr>
          <w:p>
            <w:pPr>
              <w:pStyle w:val="TableText"/>
              <w:jc w:val="left"/>
            </w:pPr>
            <w:r>
              <w:t xml:space="preserve">0.75</w:t>
            </w:r>
          </w:p>
        </w:tc>
      </w:tr>
      <w:tr>
        <w:trPr>
          <w:cantSplit/>
        </w:trPr>
        <w:tc>
          <w:tcPr>
            <w:tcW w:w="7294" w:type="dxa"/>
            <w:shd w:val="clear" w:color="auto" w:fill="F4F7FB"/>
            <w:vAlign w:val="top"/>
          </w:tcPr>
          <w:p>
            <w:pPr>
              <w:pStyle w:val="TableText"/>
              <w:jc w:val="left"/>
            </w:pPr>
            <w:r>
              <w:t xml:space="preserve">Partner policy record</w:t>
            </w:r>
          </w:p>
        </w:tc>
        <w:tc>
          <w:tcPr>
            <w:tcW w:w="1733" w:type="dxa"/>
            <w:shd w:val="clear" w:color="auto" w:fill="F4F7FB"/>
            <w:vAlign w:val="top"/>
          </w:tcPr>
          <w:p>
            <w:pPr>
              <w:pStyle w:val="TableText"/>
              <w:jc w:val="left"/>
            </w:pPr>
            <w:r>
              <w:t xml:space="preserve">Up to 0.7</w:t>
            </w:r>
          </w:p>
        </w:tc>
      </w:tr>
      <w:tr>
        <w:trPr>
          <w:cantSplit/>
        </w:trPr>
        <w:tc>
          <w:tcPr>
            <w:tcW w:w="7294" w:type="dxa"/>
            <w:vAlign w:val="top"/>
          </w:tcPr>
          <w:p>
            <w:pPr>
              <w:pStyle w:val="TableText"/>
              <w:jc w:val="left"/>
            </w:pPr>
            <w:r>
              <w:t xml:space="preserve">Assistant call:</w:t>
            </w:r>
            <w:r>
              <w:t xml:space="preserve"> </w:t>
            </w:r>
            <w:r>
              <w:t xml:space="preserve">“</w:t>
            </w:r>
            <w:r>
              <w:t xml:space="preserve">already renewed elsewhere</w:t>
            </w:r>
            <w:r>
              <w:t xml:space="preserve">”</w:t>
            </w:r>
            <w:r>
              <w:t xml:space="preserve"> </w:t>
            </w:r>
            <w:r>
              <w:t xml:space="preserve">(next date estimated)</w:t>
            </w:r>
          </w:p>
        </w:tc>
        <w:tc>
          <w:tcPr>
            <w:tcW w:w="1733" w:type="dxa"/>
            <w:vAlign w:val="top"/>
          </w:tcPr>
          <w:p>
            <w:pPr>
              <w:pStyle w:val="TableText"/>
              <w:jc w:val="left"/>
            </w:pPr>
            <w:r>
              <w:t xml:space="preserve">0.6</w:t>
            </w:r>
          </w:p>
        </w:tc>
      </w:tr>
      <w:tr>
        <w:trPr>
          <w:cantSplit/>
        </w:trPr>
        <w:tc>
          <w:tcPr>
            <w:tcW w:w="7294" w:type="dxa"/>
            <w:shd w:val="clear" w:color="auto" w:fill="F4F7FB"/>
            <w:vAlign w:val="top"/>
          </w:tcPr>
          <w:p>
            <w:pPr>
              <w:pStyle w:val="TableText"/>
              <w:jc w:val="left"/>
            </w:pPr>
            <w:r>
              <w:t xml:space="preserve">Inspection cycle</w:t>
            </w:r>
          </w:p>
        </w:tc>
        <w:tc>
          <w:tcPr>
            <w:tcW w:w="1733" w:type="dxa"/>
            <w:shd w:val="clear" w:color="auto" w:fill="F4F7FB"/>
            <w:vAlign w:val="top"/>
          </w:tcPr>
          <w:p>
            <w:pPr>
              <w:pStyle w:val="TableText"/>
              <w:jc w:val="left"/>
            </w:pPr>
            <w:r>
              <w:t xml:space="preserve">0.5</w:t>
            </w:r>
          </w:p>
        </w:tc>
      </w:tr>
      <w:tr>
        <w:trPr>
          <w:cantSplit/>
        </w:trPr>
        <w:tc>
          <w:tcPr>
            <w:tcW w:w="7294" w:type="dxa"/>
            <w:vAlign w:val="top"/>
          </w:tcPr>
          <w:p>
            <w:pPr>
              <w:pStyle w:val="TableText"/>
              <w:jc w:val="left"/>
            </w:pPr>
            <w:r>
              <w:t xml:space="preserve">Tag anniversary</w:t>
            </w:r>
          </w:p>
        </w:tc>
        <w:tc>
          <w:tcPr>
            <w:tcW w:w="1733" w:type="dxa"/>
            <w:vAlign w:val="top"/>
          </w:tcPr>
          <w:p>
            <w:pPr>
              <w:pStyle w:val="TableText"/>
              <w:jc w:val="left"/>
            </w:pPr>
            <w:r>
              <w:t xml:space="preserve">0.25</w:t>
            </w:r>
          </w:p>
        </w:tc>
      </w:tr>
    </w:tbl>
    <w:p>
      <w:pPr>
        <w:pStyle w:val="BodyText"/>
        <w:spacing w:before="160"/>
      </w:pPr>
      <w:r>
        <w:t xml:space="preserve">When independent methods agree within 21 days, confidence rises by 0.15 per agreement, up to 0.95. An expiry is usable for selling at a confidence of 0.5 or more. Below that, the next best action is to ask the customer to confirm the date.</w:t>
      </w:r>
    </w:p>
    <w:p>
      <w:pPr>
        <w:pStyle w:val="Heading2"/>
      </w:pPr>
      <w:bookmarkStart w:id="35" w:name="_Toc300000031"/>
      <w:r>
        <w:t xml:space="preserve">Data-quality model</w:t>
      </w:r>
      <w:bookmarkEnd w:id="35"/>
    </w:p>
    <w:p>
      <w:pPr>
        <w:pStyle w:val="FirstParagraph"/>
      </w:pPr>
      <w:r>
        <w:t xml:space="preserve">The platform raises data-quality issues for a missing phone, name, reliable expiry, vehicle category or current insurer, and for conflicting phones, invalid plates, wrong-person calls and plate mismatches. Each record carries a data-quality score: 100 × (0.5 × completeness + 0.35 × expiry confidence + 0.15 × category confidence). Facts captured by the platform (customer declarations, assistant findings, TASCO issuances and consent changes) are not overwritten by weaker data in later source loads.</w:t>
      </w:r>
    </w:p>
    <w:p>
      <w:pPr>
        <w:pStyle w:val="Heading2"/>
      </w:pPr>
      <w:bookmarkStart w:id="36" w:name="_Toc300000032"/>
      <w:r>
        <w:t xml:space="preserve">Data governance principles</w:t>
      </w:r>
      <w:bookmarkEnd w:id="36"/>
    </w:p>
    <w:p>
      <w:pPr>
        <w:pStyle w:val="Compact"/>
        <w:numPr>
          <w:ilvl w:val="0"/>
          <w:numId w:val="1003"/>
        </w:numPr>
      </w:pPr>
      <w:r>
        <w:t xml:space="preserve">Lineage for every field: its source, confidence and the rule that set it.</w:t>
      </w:r>
    </w:p>
    <w:p>
      <w:pPr>
        <w:pStyle w:val="Compact"/>
        <w:numPr>
          <w:ilvl w:val="0"/>
          <w:numId w:val="1003"/>
        </w:numPr>
      </w:pPr>
      <w:r>
        <w:t xml:space="preserve">Minimum necessary data: telesales handoffs carry only what is needed to call; personal data is masked unless the role is allowed to see it.</w:t>
      </w:r>
    </w:p>
    <w:p>
      <w:pPr>
        <w:pStyle w:val="Compact"/>
        <w:numPr>
          <w:ilvl w:val="0"/>
          <w:numId w:val="1003"/>
        </w:numPr>
      </w:pPr>
      <w:r>
        <w:t xml:space="preserve">Encryption of personal data at rest: name, phone, transcripts and claim descriptions; phone search uses a blind index.</w:t>
      </w:r>
    </w:p>
    <w:p>
      <w:pPr>
        <w:pStyle w:val="Compact"/>
        <w:numPr>
          <w:ilvl w:val="0"/>
          <w:numId w:val="1003"/>
        </w:numPr>
      </w:pPr>
      <w:r>
        <w:t xml:space="preserve">Retention by rule: retention periods are set per data type and changed only through approval.</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37" w:name="_Toc300000033"/>
      <w:r>
        <w:rPr>
          <w:rStyle w:val="BookTitle"/>
          <w:bCs w:val="0"/>
          <w:i w:val="0"/>
          <w:iCs w:val="0"/>
          <w:spacing w:val="0"/>
        </w:rPr>
        <w:t xml:space="preserve">Roadmap</w:t>
      </w:r>
      <w:bookmarkEnd w:id="37"/>
    </w:p>
    <w:p>
      <w:pPr>
        <w:pStyle w:val="FirstParagraph"/>
      </w:pPr>
      <w:r>
        <w:t xml:space="preserve">The plan assumes contract signature by 30 October 2026 and a start on 2 November 2026. Week 13 falls just before Tết, when vehicles are inspected and insurance is checked at the roadside. We propose a controlled soft launch in week 13, a change freeze with 24-hour on-call cover over the holiday, and a ramp-up to the full pilot cohort afterwards.</w:t>
      </w:r>
    </w:p>
    <w:p xmlns:a="http://schemas.openxmlformats.org/drawingml/2006/main" xmlns:pic="http://schemas.openxmlformats.org/drawingml/2006/picture">
      <w:pPr>
        <w:pStyle w:val="Figure"/>
      </w:pPr>
      <w:r>
        <w:drawing>
          <wp:inline>
            <wp:extent cx="5727700" cy="3318594"/>
            <wp:effectExtent b="0" l="0" r="0" t="0"/>
            <wp:docPr descr="Indicative roadmap from discovery to the scale phase" title="" id="5005" name="Picture"/>
            <a:graphic>
              <a:graphicData uri="http://schemas.openxmlformats.org/drawingml/2006/picture">
                <pic:pic>
                  <pic:nvPicPr>
                    <pic:cNvPr descr="/tmp/claude-0/-home-user-TASCO/19e5534d-12b5-5956-9b60-3e77efde0f49/scratchpad/gen/.cache/mermaid/a3578f3e7851d46e.png" id="62" name="Picture"/>
                    <pic:cNvPicPr>
                      <a:picLocks noChangeArrowheads="1" noChangeAspect="1"/>
                    </pic:cNvPicPr>
                  </pic:nvPicPr>
                  <pic:blipFill>
                    <a:blip r:embed="rIdG5"/>
                    <a:stretch>
                      <a:fillRect/>
                    </a:stretch>
                  </pic:blipFill>
                  <pic:spPr bwMode="auto">
                    <a:xfrm>
                      <a:off x="0" y="0"/>
                      <a:ext cx="5727700" cy="3318594"/>
                    </a:xfrm>
                    <a:prstGeom prst="rect">
                      <a:avLst/>
                    </a:prstGeom>
                    <a:noFill/>
                    <a:ln w="9525">
                      <a:noFill/>
                      <a:headEnd/>
                      <a:tailEnd/>
                    </a:ln>
                  </pic:spPr>
                </pic:pic>
              </a:graphicData>
            </a:graphic>
          </wp:inline>
        </w:drawing>
      </w:r>
    </w:p>
    <w:p>
      <w:pPr>
        <w:pStyle w:val="Caption"/>
      </w:pPr>
      <w:r>
        <w:t xml:space="preserve">Figure 4 – Indicative roadmap from discovery to the scale phase</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487"/>
        <w:gridCol w:w="1249"/>
        <w:gridCol w:w="3987"/>
        <w:gridCol w:w="2304"/>
      </w:tblGrid>
      <w:tr>
        <w:trPr>
          <w:cantSplit/>
          <w:tblHeader/>
        </w:trPr>
        <w:tc>
          <w:tcPr>
            <w:tcW w:w="1487" w:type="dxa"/>
            <w:shd w:val="clear" w:color="auto" w:fill="0F4761"/>
            <w:vAlign w:val="center"/>
          </w:tcPr>
          <w:p>
            <w:pPr>
              <w:pStyle w:val="TableHeading"/>
              <w:jc w:val="left"/>
            </w:pPr>
            <w:r>
              <w:rPr>
                <w:color w:val="FFFFFF"/>
              </w:rPr>
              <w:t xml:space="preserve">Stage</w:t>
            </w:r>
          </w:p>
        </w:tc>
        <w:tc>
          <w:tcPr>
            <w:tcW w:w="1249" w:type="dxa"/>
            <w:shd w:val="clear" w:color="auto" w:fill="0F4761"/>
            <w:vAlign w:val="center"/>
          </w:tcPr>
          <w:p>
            <w:pPr>
              <w:pStyle w:val="TableHeading"/>
              <w:jc w:val="left"/>
            </w:pPr>
            <w:r>
              <w:rPr>
                <w:color w:val="FFFFFF"/>
              </w:rPr>
              <w:t xml:space="preserve">Duration</w:t>
            </w:r>
          </w:p>
        </w:tc>
        <w:tc>
          <w:tcPr>
            <w:tcW w:w="3987" w:type="dxa"/>
            <w:shd w:val="clear" w:color="auto" w:fill="0F4761"/>
            <w:vAlign w:val="center"/>
          </w:tcPr>
          <w:p>
            <w:pPr>
              <w:pStyle w:val="TableHeading"/>
              <w:jc w:val="left"/>
            </w:pPr>
            <w:r>
              <w:rPr>
                <w:color w:val="FFFFFF"/>
              </w:rPr>
              <w:t xml:space="preserve">Scope</w:t>
            </w:r>
          </w:p>
        </w:tc>
        <w:tc>
          <w:tcPr>
            <w:tcW w:w="2304" w:type="dxa"/>
            <w:shd w:val="clear" w:color="auto" w:fill="0F4761"/>
            <w:vAlign w:val="center"/>
          </w:tcPr>
          <w:p>
            <w:pPr>
              <w:pStyle w:val="TableHeading"/>
              <w:jc w:val="left"/>
            </w:pPr>
            <w:r>
              <w:rPr>
                <w:color w:val="FFFFFF"/>
              </w:rPr>
              <w:t xml:space="preserve">Exit criteria</w:t>
            </w:r>
          </w:p>
        </w:tc>
      </w:tr>
      <w:tr>
        <w:trPr>
          <w:cantSplit/>
        </w:trPr>
        <w:tc>
          <w:tcPr>
            <w:tcW w:w="1487" w:type="dxa"/>
            <w:vAlign w:val="top"/>
          </w:tcPr>
          <w:p>
            <w:pPr>
              <w:pStyle w:val="TableText"/>
              <w:jc w:val="left"/>
            </w:pPr>
            <w:r>
              <w:t xml:space="preserve">Discovery</w:t>
            </w:r>
          </w:p>
        </w:tc>
        <w:tc>
          <w:tcPr>
            <w:tcW w:w="1249" w:type="dxa"/>
            <w:vAlign w:val="top"/>
          </w:tcPr>
          <w:p>
            <w:pPr>
              <w:pStyle w:val="TableText"/>
              <w:jc w:val="left"/>
            </w:pPr>
            <w:r>
              <w:t xml:space="preserve">2 weeks</w:t>
            </w:r>
          </w:p>
        </w:tc>
        <w:tc>
          <w:tcPr>
            <w:tcW w:w="3987" w:type="dxa"/>
            <w:vAlign w:val="top"/>
          </w:tcPr>
          <w:p>
            <w:pPr>
              <w:pStyle w:val="TableText"/>
              <w:jc w:val="left"/>
            </w:pPr>
            <w:r>
              <w:t xml:space="preserve">Reuse inventory of TASCO and VETC assets; core integration path (catalogue, rating, issuance); data extract and mapping; legal confirmations; channel contracts; pilot design with a control group</w:t>
            </w:r>
          </w:p>
        </w:tc>
        <w:tc>
          <w:tcPr>
            <w:tcW w:w="2304" w:type="dxa"/>
            <w:vAlign w:val="top"/>
          </w:tcPr>
          <w:p>
            <w:pPr>
              <w:pStyle w:val="TableText"/>
              <w:jc w:val="left"/>
            </w:pPr>
            <w:r>
              <w:t xml:space="preserve">Signed pilot design; data-sharing agreement; sandbox access</w:t>
            </w:r>
          </w:p>
        </w:tc>
      </w:tr>
      <w:tr>
        <w:trPr>
          <w:cantSplit/>
        </w:trPr>
        <w:tc>
          <w:tcPr>
            <w:tcW w:w="1487" w:type="dxa"/>
            <w:shd w:val="clear" w:color="auto" w:fill="F4F7FB"/>
            <w:vAlign w:val="top"/>
          </w:tcPr>
          <w:p>
            <w:pPr>
              <w:pStyle w:val="TableText"/>
              <w:jc w:val="left"/>
            </w:pPr>
            <w:r>
              <w:t xml:space="preserve">Build and integrate</w:t>
            </w:r>
          </w:p>
        </w:tc>
        <w:tc>
          <w:tcPr>
            <w:tcW w:w="1249" w:type="dxa"/>
            <w:shd w:val="clear" w:color="auto" w:fill="F4F7FB"/>
            <w:vAlign w:val="top"/>
          </w:tcPr>
          <w:p>
            <w:pPr>
              <w:pStyle w:val="TableText"/>
              <w:jc w:val="left"/>
            </w:pPr>
            <w:r>
              <w:t xml:space="preserve">8 weeks</w:t>
            </w:r>
          </w:p>
        </w:tc>
        <w:tc>
          <w:tcPr>
            <w:tcW w:w="3987" w:type="dxa"/>
            <w:shd w:val="clear" w:color="auto" w:fill="F4F7FB"/>
            <w:vAlign w:val="top"/>
          </w:tcPr>
          <w:p>
            <w:pPr>
              <w:pStyle w:val="TableText"/>
              <w:jc w:val="left"/>
            </w:pPr>
            <w:r>
              <w:t xml:space="preserve">Production connectors for TASCO core, VETC wallet, app web view and push, Zalo ZNS from TASCO’s Official Account, SMS and one voice vendor; Tasco360 on the partner API; TASCO branding; hardening</w:t>
            </w:r>
          </w:p>
        </w:tc>
        <w:tc>
          <w:tcPr>
            <w:tcW w:w="2304" w:type="dxa"/>
            <w:shd w:val="clear" w:color="auto" w:fill="F4F7FB"/>
            <w:vAlign w:val="top"/>
          </w:tcPr>
          <w:p>
            <w:pPr>
              <w:pStyle w:val="TableText"/>
              <w:jc w:val="left"/>
            </w:pPr>
            <w:r>
              <w:t xml:space="preserve">End-to-end demonstration on sandboxes</w:t>
            </w:r>
          </w:p>
        </w:tc>
      </w:tr>
      <w:tr>
        <w:trPr>
          <w:cantSplit/>
        </w:trPr>
        <w:tc>
          <w:tcPr>
            <w:tcW w:w="1487" w:type="dxa"/>
            <w:vAlign w:val="top"/>
          </w:tcPr>
          <w:p>
            <w:pPr>
              <w:pStyle w:val="TableText"/>
              <w:jc w:val="left"/>
            </w:pPr>
            <w:r>
              <w:t xml:space="preserve">Test and go-live</w:t>
            </w:r>
          </w:p>
        </w:tc>
        <w:tc>
          <w:tcPr>
            <w:tcW w:w="1249" w:type="dxa"/>
            <w:vAlign w:val="top"/>
          </w:tcPr>
          <w:p>
            <w:pPr>
              <w:pStyle w:val="TableText"/>
              <w:jc w:val="left"/>
            </w:pPr>
            <w:r>
              <w:t xml:space="preserve">3 weeks</w:t>
            </w:r>
          </w:p>
        </w:tc>
        <w:tc>
          <w:tcPr>
            <w:tcW w:w="3987" w:type="dxa"/>
            <w:vAlign w:val="top"/>
          </w:tcPr>
          <w:p>
            <w:pPr>
              <w:pStyle w:val="TableText"/>
              <w:jc w:val="left"/>
            </w:pPr>
            <w:r>
              <w:t xml:space="preserve">System integration, UAT, security testing, rehearsed cut-over</w:t>
            </w:r>
          </w:p>
        </w:tc>
        <w:tc>
          <w:tcPr>
            <w:tcW w:w="2304" w:type="dxa"/>
            <w:vAlign w:val="top"/>
          </w:tcPr>
          <w:p>
            <w:pPr>
              <w:pStyle w:val="TableText"/>
              <w:jc w:val="left"/>
            </w:pPr>
            <w:r>
              <w:t xml:space="preserve">UAT sign-off; no open critical or high security findings</w:t>
            </w:r>
          </w:p>
        </w:tc>
      </w:tr>
      <w:tr>
        <w:trPr>
          <w:cantSplit/>
        </w:trPr>
        <w:tc>
          <w:tcPr>
            <w:tcW w:w="1487" w:type="dxa"/>
            <w:shd w:val="clear" w:color="auto" w:fill="F4F7FB"/>
            <w:vAlign w:val="top"/>
          </w:tcPr>
          <w:p>
            <w:pPr>
              <w:pStyle w:val="TableText"/>
              <w:jc w:val="left"/>
            </w:pPr>
            <w:r>
              <w:t xml:space="preserve">Hypercare</w:t>
            </w:r>
          </w:p>
        </w:tc>
        <w:tc>
          <w:tcPr>
            <w:tcW w:w="1249" w:type="dxa"/>
            <w:shd w:val="clear" w:color="auto" w:fill="F4F7FB"/>
            <w:vAlign w:val="top"/>
          </w:tcPr>
          <w:p>
            <w:pPr>
              <w:pStyle w:val="TableText"/>
              <w:jc w:val="left"/>
            </w:pPr>
            <w:r>
              <w:t xml:space="preserve">4 weeks</w:t>
            </w:r>
          </w:p>
        </w:tc>
        <w:tc>
          <w:tcPr>
            <w:tcW w:w="3987" w:type="dxa"/>
            <w:shd w:val="clear" w:color="auto" w:fill="F4F7FB"/>
            <w:vAlign w:val="top"/>
          </w:tcPr>
          <w:p>
            <w:pPr>
              <w:pStyle w:val="TableText"/>
              <w:jc w:val="left"/>
            </w:pPr>
            <w:r>
              <w:t xml:space="preserve">Delivery team on hand during the first weeks of live operation</w:t>
            </w:r>
          </w:p>
        </w:tc>
        <w:tc>
          <w:tcPr>
            <w:tcW w:w="2304" w:type="dxa"/>
            <w:shd w:val="clear" w:color="auto" w:fill="F4F7FB"/>
            <w:vAlign w:val="top"/>
          </w:tcPr>
          <w:p>
            <w:pPr>
              <w:pStyle w:val="TableText"/>
              <w:jc w:val="left"/>
            </w:pPr>
            <w:r>
              <w:t xml:space="preserve">Four weeks within service levels</w:t>
            </w:r>
          </w:p>
        </w:tc>
      </w:tr>
      <w:tr>
        <w:trPr>
          <w:cantSplit/>
        </w:trPr>
        <w:tc>
          <w:tcPr>
            <w:tcW w:w="1487" w:type="dxa"/>
            <w:vAlign w:val="top"/>
          </w:tcPr>
          <w:p>
            <w:pPr>
              <w:pStyle w:val="TableText"/>
              <w:jc w:val="left"/>
            </w:pPr>
            <w:r>
              <w:t xml:space="preserve">Scale (optional)</w:t>
            </w:r>
          </w:p>
        </w:tc>
        <w:tc>
          <w:tcPr>
            <w:tcW w:w="1249" w:type="dxa"/>
            <w:vAlign w:val="top"/>
          </w:tcPr>
          <w:p>
            <w:pPr>
              <w:pStyle w:val="TableText"/>
              <w:jc w:val="left"/>
            </w:pPr>
            <w:r>
              <w:t xml:space="preserve">About 6 months</w:t>
            </w:r>
          </w:p>
        </w:tc>
        <w:tc>
          <w:tcPr>
            <w:tcW w:w="3987" w:type="dxa"/>
            <w:vAlign w:val="top"/>
          </w:tcPr>
          <w:p>
            <w:pPr>
              <w:pStyle w:val="TableText"/>
              <w:jc w:val="left"/>
            </w:pPr>
            <w:r>
              <w:t xml:space="preserve">Ten modules (TGP-BUS-07): full 6 million base; VETC sign-on and live events; TASCO app and website; Zalo Mini App; claims integration; inspection and fleet; further partners; data warehouse; calibration and A/B testing; full-scale assurance</w:t>
            </w:r>
          </w:p>
        </w:tc>
        <w:tc>
          <w:tcPr>
            <w:tcW w:w="2304" w:type="dxa"/>
            <w:vAlign w:val="top"/>
          </w:tcPr>
          <w:p>
            <w:pPr>
              <w:pStyle w:val="TableText"/>
              <w:jc w:val="left"/>
            </w:pPr>
            <w:r>
              <w:t xml:space="preserve">Base-case KPIs on track; cost per policy at or below target (K-10)</w:t>
            </w:r>
          </w:p>
        </w:tc>
      </w:tr>
      <w:tr>
        <w:trPr>
          <w:cantSplit/>
        </w:trPr>
        <w:tc>
          <w:tcPr>
            <w:tcW w:w="1487" w:type="dxa"/>
            <w:shd w:val="clear" w:color="auto" w:fill="F4F7FB"/>
            <w:vAlign w:val="top"/>
          </w:tcPr>
          <w:p>
            <w:pPr>
              <w:pStyle w:val="TableText"/>
              <w:jc w:val="left"/>
            </w:pPr>
            <w:r>
              <w:t xml:space="preserve">Run</w:t>
            </w:r>
          </w:p>
        </w:tc>
        <w:tc>
          <w:tcPr>
            <w:tcW w:w="1249" w:type="dxa"/>
            <w:shd w:val="clear" w:color="auto" w:fill="F4F7FB"/>
            <w:vAlign w:val="top"/>
          </w:tcPr>
          <w:p>
            <w:pPr>
              <w:pStyle w:val="TableText"/>
              <w:jc w:val="left"/>
            </w:pPr>
            <w:r>
              <w:t xml:space="preserve">Ongoing</w:t>
            </w:r>
          </w:p>
        </w:tc>
        <w:tc>
          <w:tcPr>
            <w:tcW w:w="3987" w:type="dxa"/>
            <w:shd w:val="clear" w:color="auto" w:fill="F4F7FB"/>
            <w:vAlign w:val="top"/>
          </w:tcPr>
          <w:p>
            <w:pPr>
              <w:pStyle w:val="TableText"/>
              <w:jc w:val="left"/>
            </w:pPr>
            <w:r>
              <w:t xml:space="preserve">Managed service; rule tuning by the business through maker-checker; new products by configuration</w:t>
            </w:r>
          </w:p>
        </w:tc>
        <w:tc>
          <w:tcPr>
            <w:tcW w:w="2304" w:type="dxa"/>
            <w:shd w:val="clear" w:color="auto" w:fill="F4F7FB"/>
            <w:vAlign w:val="top"/>
          </w:tcPr>
          <w:p>
            <w:pPr>
              <w:pStyle w:val="TableText"/>
              <w:jc w:val="left"/>
            </w:pPr>
            <w:r>
              <w:t xml:space="preserve">Service levels met (TGP-BUS-03)</w:t>
            </w:r>
          </w:p>
        </w:tc>
      </w:tr>
    </w:tbl>
    <w:p>
      <w:pPr>
        <w:pStyle w:val="BodyText"/>
        <w:spacing w:before="160"/>
      </w:pPr>
      <w:r>
        <w:t xml:space="preserve">Thirteen weeks to go-live is credible because the business logic already exists and is driven by rules: scoring, journeys, next best actions, benefits, contact policy and wording are configuration. Every external system sits behind an interface with a sandbox connector. The staff console, customer app, more than 250 automated tests, delivery pipeline, container image and deployment manifests already exist, and a UAT environment is live. MVP effort therefore goes to integration, data onboarding, testing and the pilot.</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38" w:name="_Toc300000034"/>
      <w:r>
        <w:rPr>
          <w:rStyle w:val="BookTitle"/>
          <w:bCs w:val="0"/>
          <w:i w:val="0"/>
          <w:iCs w:val="0"/>
          <w:spacing w:val="0"/>
        </w:rPr>
        <w:t xml:space="preserve">KPIs</w:t>
      </w:r>
      <w:bookmarkEnd w:id="38"/>
    </w:p>
    <w:p>
      <w:pPr>
        <w:pStyle w:val="Heading2"/>
      </w:pPr>
      <w:bookmarkStart w:id="39" w:name="_Toc300000035"/>
      <w:r>
        <w:t xml:space="preserve">KPI structure</w:t>
      </w:r>
      <w:bookmarkEnd w:id="39"/>
    </w:p>
    <w:p>
      <w:pPr>
        <w:pStyle w:val="FirstParagraph"/>
      </w:pPr>
      <w:r>
        <w:t xml:space="preserve">The north-star measure is the number of TASCO motor policies issued through VETC-owned channels and the partner API. Five groups of measures explain it.</w:t>
      </w:r>
    </w:p>
    <w:p xmlns:a="http://schemas.openxmlformats.org/drawingml/2006/main" xmlns:pic="http://schemas.openxmlformats.org/drawingml/2006/picture">
      <w:pPr>
        <w:pStyle w:val="Figure"/>
      </w:pPr>
      <w:r>
        <w:drawing>
          <wp:inline>
            <wp:extent cx="5727700" cy="3634485"/>
            <wp:effectExtent b="0" l="0" r="0" t="0"/>
            <wp:docPr descr="The north-star measure and the five groups of KPIs that explain it" title="" id="5006" name="Picture"/>
            <a:graphic>
              <a:graphicData uri="http://schemas.openxmlformats.org/drawingml/2006/picture">
                <pic:pic>
                  <pic:nvPicPr>
                    <pic:cNvPr descr="/tmp/claude-0/-home-user-TASCO/19e5534d-12b5-5956-9b60-3e77efde0f49/scratchpad/gen/.cache/mermaid/7a18720d708f53a3.png" id="66" name="Picture"/>
                    <pic:cNvPicPr>
                      <a:picLocks noChangeArrowheads="1" noChangeAspect="1"/>
                    </pic:cNvPicPr>
                  </pic:nvPicPr>
                  <pic:blipFill>
                    <a:blip r:embed="rIdG6"/>
                    <a:stretch>
                      <a:fillRect/>
                    </a:stretch>
                  </pic:blipFill>
                  <pic:spPr bwMode="auto">
                    <a:xfrm>
                      <a:off x="0" y="0"/>
                      <a:ext cx="5727700" cy="3634485"/>
                    </a:xfrm>
                    <a:prstGeom prst="rect">
                      <a:avLst/>
                    </a:prstGeom>
                    <a:noFill/>
                    <a:ln w="9525">
                      <a:noFill/>
                      <a:headEnd/>
                      <a:tailEnd/>
                    </a:ln>
                  </pic:spPr>
                </pic:pic>
              </a:graphicData>
            </a:graphic>
          </wp:inline>
        </w:drawing>
      </w:r>
    </w:p>
    <w:p>
      <w:pPr>
        <w:pStyle w:val="Caption"/>
      </w:pPr>
      <w:r>
        <w:t xml:space="preserve">Figure 5 – The north-star measure and the five groups of KPIs that explain it</w:t>
      </w:r>
    </w:p>
    <w:p>
      <w:pPr>
        <w:pStyle w:val="Heading2"/>
      </w:pPr>
      <w:bookmarkStart w:id="40" w:name="_Toc300000036"/>
      <w:r>
        <w:t xml:space="preserve">Definitions and targets</w:t>
      </w:r>
      <w:bookmarkEnd w:id="40"/>
    </w:p>
    <w:p>
      <w:pPr>
        <w:pStyle w:val="FirstParagraph"/>
      </w:pPr>
      <w:r>
        <w:t xml:space="preserve">Targets are proposed for the pilot and the first year at scale, and are re-baselined after discovery.</w:t>
      </w:r>
      <w:r>
        <w:t xml:space="preserve"> </w:t>
      </w:r>
      <w:r>
        <w:t xml:space="preserve">“</w:t>
      </w:r>
      <w:r>
        <w:t xml:space="preserve">TBM</w:t>
      </w:r>
      <w:r>
        <w:t xml:space="preserve">”</w:t>
      </w:r>
      <w:r>
        <w:t xml:space="preserve"> </w:t>
      </w:r>
      <w:r>
        <w:t xml:space="preserve">means to be measured in discovery.</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714"/>
        <w:gridCol w:w="3537"/>
        <w:gridCol w:w="1797"/>
        <w:gridCol w:w="1461"/>
        <w:gridCol w:w="1518"/>
      </w:tblGrid>
      <w:tr>
        <w:trPr>
          <w:cantSplit/>
          <w:tblHeader/>
        </w:trPr>
        <w:tc>
          <w:tcPr>
            <w:tcW w:w="714" w:type="dxa"/>
            <w:shd w:val="clear" w:color="auto" w:fill="0F4761"/>
            <w:vAlign w:val="center"/>
          </w:tcPr>
          <w:p>
            <w:pPr>
              <w:pStyle w:val="TableHeading"/>
              <w:jc w:val="left"/>
            </w:pPr>
            <w:r>
              <w:rPr>
                <w:color w:val="FFFFFF"/>
              </w:rPr>
              <w:t xml:space="preserve">KPI</w:t>
            </w:r>
          </w:p>
        </w:tc>
        <w:tc>
          <w:tcPr>
            <w:tcW w:w="3537" w:type="dxa"/>
            <w:shd w:val="clear" w:color="auto" w:fill="0F4761"/>
            <w:vAlign w:val="center"/>
          </w:tcPr>
          <w:p>
            <w:pPr>
              <w:pStyle w:val="TableHeading"/>
              <w:jc w:val="left"/>
            </w:pPr>
            <w:r>
              <w:rPr>
                <w:color w:val="FFFFFF"/>
              </w:rPr>
              <w:t xml:space="preserve">Definition</w:t>
            </w:r>
          </w:p>
        </w:tc>
        <w:tc>
          <w:tcPr>
            <w:tcW w:w="1797" w:type="dxa"/>
            <w:shd w:val="clear" w:color="auto" w:fill="0F4761"/>
            <w:vAlign w:val="center"/>
          </w:tcPr>
          <w:p>
            <w:pPr>
              <w:pStyle w:val="TableHeading"/>
              <w:jc w:val="left"/>
            </w:pPr>
            <w:r>
              <w:rPr>
                <w:color w:val="FFFFFF"/>
              </w:rPr>
              <w:t xml:space="preserve">Baseline</w:t>
            </w:r>
          </w:p>
        </w:tc>
        <w:tc>
          <w:tcPr>
            <w:tcW w:w="1461" w:type="dxa"/>
            <w:shd w:val="clear" w:color="auto" w:fill="0F4761"/>
            <w:vAlign w:val="center"/>
          </w:tcPr>
          <w:p>
            <w:pPr>
              <w:pStyle w:val="TableHeading"/>
              <w:jc w:val="left"/>
            </w:pPr>
            <w:r>
              <w:rPr>
                <w:color w:val="FFFFFF"/>
              </w:rPr>
              <w:t xml:space="preserve">Pilot target</w:t>
            </w:r>
          </w:p>
        </w:tc>
        <w:tc>
          <w:tcPr>
            <w:tcW w:w="1518" w:type="dxa"/>
            <w:shd w:val="clear" w:color="auto" w:fill="0F4761"/>
            <w:vAlign w:val="center"/>
          </w:tcPr>
          <w:p>
            <w:pPr>
              <w:pStyle w:val="TableHeading"/>
              <w:jc w:val="left"/>
            </w:pPr>
            <w:r>
              <w:rPr>
                <w:color w:val="FFFFFF"/>
              </w:rPr>
              <w:t xml:space="preserve">Scale target, year 1</w:t>
            </w:r>
          </w:p>
        </w:tc>
      </w:tr>
      <w:tr>
        <w:trPr>
          <w:cantSplit/>
        </w:trPr>
        <w:tc>
          <w:tcPr>
            <w:tcW w:w="714" w:type="dxa"/>
            <w:noWrap/>
            <w:vAlign w:val="top"/>
          </w:tcPr>
          <w:p>
            <w:pPr>
              <w:pStyle w:val="TableText"/>
              <w:jc w:val="left"/>
            </w:pPr>
            <w:r>
              <w:t xml:space="preserve">K-00</w:t>
            </w:r>
          </w:p>
        </w:tc>
        <w:tc>
          <w:tcPr>
            <w:tcW w:w="3537" w:type="dxa"/>
            <w:vAlign w:val="top"/>
          </w:tcPr>
          <w:p>
            <w:pPr>
              <w:pStyle w:val="TableText"/>
              <w:jc w:val="left"/>
            </w:pPr>
            <w:r>
              <w:t xml:space="preserve">Policies issued through own channels and partner API</w:t>
            </w:r>
          </w:p>
        </w:tc>
        <w:tc>
          <w:tcPr>
            <w:tcW w:w="1797" w:type="dxa"/>
            <w:vAlign w:val="top"/>
          </w:tcPr>
          <w:p>
            <w:pPr>
              <w:pStyle w:val="TableText"/>
              <w:jc w:val="left"/>
            </w:pPr>
            <w:r>
              <w:t xml:space="preserve">0 own-channel renewals this year</w:t>
            </w:r>
          </w:p>
        </w:tc>
        <w:tc>
          <w:tcPr>
            <w:tcW w:w="1461" w:type="dxa"/>
            <w:vAlign w:val="top"/>
          </w:tcPr>
          <w:p>
            <w:pPr>
              <w:pStyle w:val="TableText"/>
              <w:jc w:val="left"/>
            </w:pPr>
            <w:r>
              <w:t xml:space="preserve">At least 2,000 in the cohort</w:t>
            </w:r>
          </w:p>
        </w:tc>
        <w:tc>
          <w:tcPr>
            <w:tcW w:w="1518" w:type="dxa"/>
            <w:vAlign w:val="top"/>
          </w:tcPr>
          <w:p>
            <w:pPr>
              <w:pStyle w:val="TableText"/>
              <w:jc w:val="left"/>
            </w:pPr>
            <w:r>
              <w:t xml:space="preserve">About 140,000</w:t>
            </w:r>
          </w:p>
        </w:tc>
      </w:tr>
      <w:tr>
        <w:trPr>
          <w:cantSplit/>
        </w:trPr>
        <w:tc>
          <w:tcPr>
            <w:tcW w:w="714" w:type="dxa"/>
            <w:shd w:val="clear" w:color="auto" w:fill="F4F7FB"/>
            <w:noWrap/>
            <w:vAlign w:val="top"/>
          </w:tcPr>
          <w:p>
            <w:pPr>
              <w:pStyle w:val="TableText"/>
              <w:jc w:val="left"/>
            </w:pPr>
            <w:r>
              <w:t xml:space="preserve">K-01</w:t>
            </w:r>
          </w:p>
        </w:tc>
        <w:tc>
          <w:tcPr>
            <w:tcW w:w="3537" w:type="dxa"/>
            <w:shd w:val="clear" w:color="auto" w:fill="F4F7FB"/>
            <w:vAlign w:val="top"/>
          </w:tcPr>
          <w:p>
            <w:pPr>
              <w:pStyle w:val="TableText"/>
              <w:jc w:val="left"/>
            </w:pPr>
            <w:r>
              <w:t xml:space="preserve">Share of profiles with expiry confidence of 0.5 or more</w:t>
            </w:r>
          </w:p>
        </w:tc>
        <w:tc>
          <w:tcPr>
            <w:tcW w:w="1797" w:type="dxa"/>
            <w:shd w:val="clear" w:color="auto" w:fill="F4F7FB"/>
            <w:vAlign w:val="top"/>
          </w:tcPr>
          <w:p>
            <w:pPr>
              <w:pStyle w:val="TableText"/>
              <w:jc w:val="left"/>
            </w:pPr>
            <w:r>
              <w:t xml:space="preserve">About 10%</w:t>
            </w:r>
          </w:p>
        </w:tc>
        <w:tc>
          <w:tcPr>
            <w:tcW w:w="1461" w:type="dxa"/>
            <w:shd w:val="clear" w:color="auto" w:fill="F4F7FB"/>
            <w:vAlign w:val="top"/>
          </w:tcPr>
          <w:p>
            <w:pPr>
              <w:pStyle w:val="TableText"/>
              <w:jc w:val="left"/>
            </w:pPr>
            <w:r>
              <w:t xml:space="preserve">35%</w:t>
            </w:r>
          </w:p>
        </w:tc>
        <w:tc>
          <w:tcPr>
            <w:tcW w:w="1518" w:type="dxa"/>
            <w:shd w:val="clear" w:color="auto" w:fill="F4F7FB"/>
            <w:vAlign w:val="top"/>
          </w:tcPr>
          <w:p>
            <w:pPr>
              <w:pStyle w:val="TableText"/>
              <w:jc w:val="left"/>
            </w:pPr>
            <w:r>
              <w:t xml:space="preserve">50%</w:t>
            </w:r>
          </w:p>
        </w:tc>
      </w:tr>
      <w:tr>
        <w:trPr>
          <w:cantSplit/>
        </w:trPr>
        <w:tc>
          <w:tcPr>
            <w:tcW w:w="714" w:type="dxa"/>
            <w:noWrap/>
            <w:vAlign w:val="top"/>
          </w:tcPr>
          <w:p>
            <w:pPr>
              <w:pStyle w:val="TableText"/>
              <w:jc w:val="left"/>
            </w:pPr>
            <w:r>
              <w:t xml:space="preserve">K-02</w:t>
            </w:r>
          </w:p>
        </w:tc>
        <w:tc>
          <w:tcPr>
            <w:tcW w:w="3537" w:type="dxa"/>
            <w:vAlign w:val="top"/>
          </w:tcPr>
          <w:p>
            <w:pPr>
              <w:pStyle w:val="TableText"/>
              <w:jc w:val="left"/>
            </w:pPr>
            <w:r>
              <w:t xml:space="preserve">Share of profiles reachable by push or Zalo</w:t>
            </w:r>
          </w:p>
        </w:tc>
        <w:tc>
          <w:tcPr>
            <w:tcW w:w="1797" w:type="dxa"/>
            <w:vAlign w:val="top"/>
          </w:tcPr>
          <w:p>
            <w:pPr>
              <w:pStyle w:val="TableText"/>
              <w:jc w:val="left"/>
            </w:pPr>
            <w:r>
              <w:t xml:space="preserve">TBM (70 to 80% app users)</w:t>
            </w:r>
          </w:p>
        </w:tc>
        <w:tc>
          <w:tcPr>
            <w:tcW w:w="1461" w:type="dxa"/>
            <w:vAlign w:val="top"/>
          </w:tcPr>
          <w:p>
            <w:pPr>
              <w:pStyle w:val="TableText"/>
              <w:jc w:val="left"/>
            </w:pPr>
            <w:r>
              <w:t xml:space="preserve">60%</w:t>
            </w:r>
          </w:p>
        </w:tc>
        <w:tc>
          <w:tcPr>
            <w:tcW w:w="1518" w:type="dxa"/>
            <w:vAlign w:val="top"/>
          </w:tcPr>
          <w:p>
            <w:pPr>
              <w:pStyle w:val="TableText"/>
              <w:jc w:val="left"/>
            </w:pPr>
            <w:r>
              <w:t xml:space="preserve">65%</w:t>
            </w:r>
          </w:p>
        </w:tc>
      </w:tr>
      <w:tr>
        <w:trPr>
          <w:cantSplit/>
        </w:trPr>
        <w:tc>
          <w:tcPr>
            <w:tcW w:w="714" w:type="dxa"/>
            <w:shd w:val="clear" w:color="auto" w:fill="F4F7FB"/>
            <w:noWrap/>
            <w:vAlign w:val="top"/>
          </w:tcPr>
          <w:p>
            <w:pPr>
              <w:pStyle w:val="TableText"/>
              <w:jc w:val="left"/>
            </w:pPr>
            <w:r>
              <w:t xml:space="preserve">K-03</w:t>
            </w:r>
          </w:p>
        </w:tc>
        <w:tc>
          <w:tcPr>
            <w:tcW w:w="3537" w:type="dxa"/>
            <w:shd w:val="clear" w:color="auto" w:fill="F4F7FB"/>
            <w:vAlign w:val="top"/>
          </w:tcPr>
          <w:p>
            <w:pPr>
              <w:pStyle w:val="TableText"/>
              <w:jc w:val="left"/>
            </w:pPr>
            <w:r>
              <w:t xml:space="preserve">Expiry confirmations per 1,000 profiles per month</w:t>
            </w:r>
          </w:p>
        </w:tc>
        <w:tc>
          <w:tcPr>
            <w:tcW w:w="1797" w:type="dxa"/>
            <w:shd w:val="clear" w:color="auto" w:fill="F4F7FB"/>
            <w:vAlign w:val="top"/>
          </w:tcPr>
          <w:p>
            <w:pPr>
              <w:pStyle w:val="TableText"/>
              <w:jc w:val="left"/>
            </w:pPr>
            <w:r>
              <w:t xml:space="preserve">0</w:t>
            </w:r>
          </w:p>
        </w:tc>
        <w:tc>
          <w:tcPr>
            <w:tcW w:w="1461" w:type="dxa"/>
            <w:shd w:val="clear" w:color="auto" w:fill="F4F7FB"/>
            <w:vAlign w:val="top"/>
          </w:tcPr>
          <w:p>
            <w:pPr>
              <w:pStyle w:val="TableText"/>
              <w:jc w:val="left"/>
            </w:pPr>
            <w:r>
              <w:t xml:space="preserve">30</w:t>
            </w:r>
          </w:p>
        </w:tc>
        <w:tc>
          <w:tcPr>
            <w:tcW w:w="1518" w:type="dxa"/>
            <w:shd w:val="clear" w:color="auto" w:fill="F4F7FB"/>
            <w:vAlign w:val="top"/>
          </w:tcPr>
          <w:p>
            <w:pPr>
              <w:pStyle w:val="TableText"/>
              <w:jc w:val="left"/>
            </w:pPr>
            <w:r>
              <w:t xml:space="preserve">50</w:t>
            </w:r>
          </w:p>
        </w:tc>
      </w:tr>
      <w:tr>
        <w:trPr>
          <w:cantSplit/>
        </w:trPr>
        <w:tc>
          <w:tcPr>
            <w:tcW w:w="714" w:type="dxa"/>
            <w:noWrap/>
            <w:vAlign w:val="top"/>
          </w:tcPr>
          <w:p>
            <w:pPr>
              <w:pStyle w:val="TableText"/>
              <w:jc w:val="left"/>
            </w:pPr>
            <w:r>
              <w:t xml:space="preserve">K-04</w:t>
            </w:r>
          </w:p>
        </w:tc>
        <w:tc>
          <w:tcPr>
            <w:tcW w:w="3537" w:type="dxa"/>
            <w:vAlign w:val="top"/>
          </w:tcPr>
          <w:p>
            <w:pPr>
              <w:pStyle w:val="TableText"/>
              <w:jc w:val="left"/>
            </w:pPr>
            <w:r>
              <w:t xml:space="preserve">TASCO renewal rate (SEG-3)</w:t>
            </w:r>
          </w:p>
        </w:tc>
        <w:tc>
          <w:tcPr>
            <w:tcW w:w="1797" w:type="dxa"/>
            <w:vAlign w:val="top"/>
          </w:tcPr>
          <w:p>
            <w:pPr>
              <w:pStyle w:val="TableText"/>
              <w:jc w:val="left"/>
            </w:pPr>
            <w:r>
              <w:t xml:space="preserve">TBM</w:t>
            </w:r>
          </w:p>
        </w:tc>
        <w:tc>
          <w:tcPr>
            <w:tcW w:w="1461" w:type="dxa"/>
            <w:vAlign w:val="top"/>
          </w:tcPr>
          <w:p>
            <w:pPr>
              <w:pStyle w:val="TableText"/>
              <w:jc w:val="left"/>
            </w:pPr>
            <w:r>
              <w:t xml:space="preserve">15%</w:t>
            </w:r>
          </w:p>
        </w:tc>
        <w:tc>
          <w:tcPr>
            <w:tcW w:w="1518" w:type="dxa"/>
            <w:vAlign w:val="top"/>
          </w:tcPr>
          <w:p>
            <w:pPr>
              <w:pStyle w:val="TableText"/>
              <w:jc w:val="left"/>
            </w:pPr>
            <w:r>
              <w:t xml:space="preserve">25%</w:t>
            </w:r>
          </w:p>
        </w:tc>
      </w:tr>
      <w:tr>
        <w:trPr>
          <w:cantSplit/>
        </w:trPr>
        <w:tc>
          <w:tcPr>
            <w:tcW w:w="714" w:type="dxa"/>
            <w:shd w:val="clear" w:color="auto" w:fill="F4F7FB"/>
            <w:noWrap/>
            <w:vAlign w:val="top"/>
          </w:tcPr>
          <w:p>
            <w:pPr>
              <w:pStyle w:val="TableText"/>
              <w:jc w:val="left"/>
            </w:pPr>
            <w:r>
              <w:t xml:space="preserve">K-05</w:t>
            </w:r>
          </w:p>
        </w:tc>
        <w:tc>
          <w:tcPr>
            <w:tcW w:w="3537" w:type="dxa"/>
            <w:shd w:val="clear" w:color="auto" w:fill="F4F7FB"/>
            <w:vAlign w:val="top"/>
          </w:tcPr>
          <w:p>
            <w:pPr>
              <w:pStyle w:val="TableText"/>
              <w:jc w:val="left"/>
            </w:pPr>
            <w:r>
              <w:t xml:space="preserve">Conquest conversion (SEG-4)</w:t>
            </w:r>
          </w:p>
        </w:tc>
        <w:tc>
          <w:tcPr>
            <w:tcW w:w="1797" w:type="dxa"/>
            <w:shd w:val="clear" w:color="auto" w:fill="F4F7FB"/>
            <w:vAlign w:val="top"/>
          </w:tcPr>
          <w:p>
            <w:pPr>
              <w:pStyle w:val="TableText"/>
              <w:jc w:val="left"/>
            </w:pPr>
            <w:r>
              <w:t xml:space="preserve">TBM</w:t>
            </w:r>
          </w:p>
        </w:tc>
        <w:tc>
          <w:tcPr>
            <w:tcW w:w="1461" w:type="dxa"/>
            <w:shd w:val="clear" w:color="auto" w:fill="F4F7FB"/>
            <w:vAlign w:val="top"/>
          </w:tcPr>
          <w:p>
            <w:pPr>
              <w:pStyle w:val="TableText"/>
              <w:jc w:val="left"/>
            </w:pPr>
            <w:r>
              <w:t xml:space="preserve">1%</w:t>
            </w:r>
          </w:p>
        </w:tc>
        <w:tc>
          <w:tcPr>
            <w:tcW w:w="1518" w:type="dxa"/>
            <w:shd w:val="clear" w:color="auto" w:fill="F4F7FB"/>
            <w:vAlign w:val="top"/>
          </w:tcPr>
          <w:p>
            <w:pPr>
              <w:pStyle w:val="TableText"/>
              <w:jc w:val="left"/>
            </w:pPr>
            <w:r>
              <w:t xml:space="preserve">2%</w:t>
            </w:r>
          </w:p>
        </w:tc>
      </w:tr>
      <w:tr>
        <w:trPr>
          <w:cantSplit/>
        </w:trPr>
        <w:tc>
          <w:tcPr>
            <w:tcW w:w="714" w:type="dxa"/>
            <w:noWrap/>
            <w:vAlign w:val="top"/>
          </w:tcPr>
          <w:p>
            <w:pPr>
              <w:pStyle w:val="TableText"/>
              <w:jc w:val="left"/>
            </w:pPr>
            <w:r>
              <w:t xml:space="preserve">K-06</w:t>
            </w:r>
          </w:p>
        </w:tc>
        <w:tc>
          <w:tcPr>
            <w:tcW w:w="3537" w:type="dxa"/>
            <w:vAlign w:val="top"/>
          </w:tcPr>
          <w:p>
            <w:pPr>
              <w:pStyle w:val="TableText"/>
              <w:jc w:val="left"/>
            </w:pPr>
            <w:r>
              <w:t xml:space="preserve">Lapsed recovery (SEG-1)</w:t>
            </w:r>
          </w:p>
        </w:tc>
        <w:tc>
          <w:tcPr>
            <w:tcW w:w="1797" w:type="dxa"/>
            <w:vAlign w:val="top"/>
          </w:tcPr>
          <w:p>
            <w:pPr>
              <w:pStyle w:val="TableText"/>
              <w:jc w:val="left"/>
            </w:pPr>
            <w:r>
              <w:t xml:space="preserve">TBM</w:t>
            </w:r>
          </w:p>
        </w:tc>
        <w:tc>
          <w:tcPr>
            <w:tcW w:w="1461" w:type="dxa"/>
            <w:vAlign w:val="top"/>
          </w:tcPr>
          <w:p>
            <w:pPr>
              <w:pStyle w:val="TableText"/>
              <w:jc w:val="left"/>
            </w:pPr>
            <w:r>
              <w:t xml:space="preserve">3%</w:t>
            </w:r>
          </w:p>
        </w:tc>
        <w:tc>
          <w:tcPr>
            <w:tcW w:w="1518" w:type="dxa"/>
            <w:vAlign w:val="top"/>
          </w:tcPr>
          <w:p>
            <w:pPr>
              <w:pStyle w:val="TableText"/>
              <w:jc w:val="left"/>
            </w:pPr>
            <w:r>
              <w:t xml:space="preserve">6%</w:t>
            </w:r>
          </w:p>
        </w:tc>
      </w:tr>
      <w:tr>
        <w:trPr>
          <w:cantSplit/>
        </w:trPr>
        <w:tc>
          <w:tcPr>
            <w:tcW w:w="714" w:type="dxa"/>
            <w:shd w:val="clear" w:color="auto" w:fill="F4F7FB"/>
            <w:noWrap/>
            <w:vAlign w:val="top"/>
          </w:tcPr>
          <w:p>
            <w:pPr>
              <w:pStyle w:val="TableText"/>
              <w:jc w:val="left"/>
            </w:pPr>
            <w:r>
              <w:t xml:space="preserve">K-07</w:t>
            </w:r>
          </w:p>
        </w:tc>
        <w:tc>
          <w:tcPr>
            <w:tcW w:w="3537" w:type="dxa"/>
            <w:shd w:val="clear" w:color="auto" w:fill="F4F7FB"/>
            <w:vAlign w:val="top"/>
          </w:tcPr>
          <w:p>
            <w:pPr>
              <w:pStyle w:val="TableText"/>
              <w:jc w:val="left"/>
            </w:pPr>
            <w:r>
              <w:t xml:space="preserve">New-vehicle conversion (SEG-2)</w:t>
            </w:r>
          </w:p>
        </w:tc>
        <w:tc>
          <w:tcPr>
            <w:tcW w:w="1797" w:type="dxa"/>
            <w:shd w:val="clear" w:color="auto" w:fill="F4F7FB"/>
            <w:vAlign w:val="top"/>
          </w:tcPr>
          <w:p>
            <w:pPr>
              <w:pStyle w:val="TableText"/>
              <w:jc w:val="left"/>
            </w:pPr>
            <w:r>
              <w:t xml:space="preserve">TBM</w:t>
            </w:r>
          </w:p>
        </w:tc>
        <w:tc>
          <w:tcPr>
            <w:tcW w:w="1461" w:type="dxa"/>
            <w:shd w:val="clear" w:color="auto" w:fill="F4F7FB"/>
            <w:vAlign w:val="top"/>
          </w:tcPr>
          <w:p>
            <w:pPr>
              <w:pStyle w:val="TableText"/>
              <w:jc w:val="left"/>
            </w:pPr>
            <w:r>
              <w:t xml:space="preserve">2%</w:t>
            </w:r>
          </w:p>
        </w:tc>
        <w:tc>
          <w:tcPr>
            <w:tcW w:w="1518" w:type="dxa"/>
            <w:shd w:val="clear" w:color="auto" w:fill="F4F7FB"/>
            <w:vAlign w:val="top"/>
          </w:tcPr>
          <w:p>
            <w:pPr>
              <w:pStyle w:val="TableText"/>
              <w:jc w:val="left"/>
            </w:pPr>
            <w:r>
              <w:t xml:space="preserve">4%</w:t>
            </w:r>
          </w:p>
        </w:tc>
      </w:tr>
      <w:tr>
        <w:trPr>
          <w:cantSplit/>
        </w:trPr>
        <w:tc>
          <w:tcPr>
            <w:tcW w:w="714" w:type="dxa"/>
            <w:noWrap/>
            <w:vAlign w:val="top"/>
          </w:tcPr>
          <w:p>
            <w:pPr>
              <w:pStyle w:val="TableText"/>
              <w:jc w:val="left"/>
            </w:pPr>
            <w:r>
              <w:t xml:space="preserve">K-08</w:t>
            </w:r>
          </w:p>
        </w:tc>
        <w:tc>
          <w:tcPr>
            <w:tcW w:w="3537" w:type="dxa"/>
            <w:vAlign w:val="top"/>
          </w:tcPr>
          <w:p>
            <w:pPr>
              <w:pStyle w:val="TableText"/>
              <w:jc w:val="left"/>
            </w:pPr>
            <w:r>
              <w:t xml:space="preserve">Assistant hot-handoff rate; handoff win rate</w:t>
            </w:r>
          </w:p>
        </w:tc>
        <w:tc>
          <w:tcPr>
            <w:tcW w:w="1797" w:type="dxa"/>
            <w:vAlign w:val="top"/>
          </w:tcPr>
          <w:p>
            <w:pPr>
              <w:pStyle w:val="TableText"/>
              <w:jc w:val="left"/>
            </w:pPr>
            <w:r>
              <w:t xml:space="preserve">Telesales conversion poor</w:t>
            </w:r>
          </w:p>
        </w:tc>
        <w:tc>
          <w:tcPr>
            <w:tcW w:w="1461" w:type="dxa"/>
            <w:vAlign w:val="top"/>
          </w:tcPr>
          <w:p>
            <w:pPr>
              <w:pStyle w:val="TableText"/>
              <w:jc w:val="left"/>
            </w:pPr>
            <w:r>
              <w:t xml:space="preserve">8% / 20%</w:t>
            </w:r>
          </w:p>
        </w:tc>
        <w:tc>
          <w:tcPr>
            <w:tcW w:w="1518" w:type="dxa"/>
            <w:vAlign w:val="top"/>
          </w:tcPr>
          <w:p>
            <w:pPr>
              <w:pStyle w:val="TableText"/>
              <w:jc w:val="left"/>
            </w:pPr>
            <w:r>
              <w:t xml:space="preserve">10% / 25%</w:t>
            </w:r>
          </w:p>
        </w:tc>
      </w:tr>
      <w:tr>
        <w:trPr>
          <w:cantSplit/>
        </w:trPr>
        <w:tc>
          <w:tcPr>
            <w:tcW w:w="714" w:type="dxa"/>
            <w:shd w:val="clear" w:color="auto" w:fill="F4F7FB"/>
            <w:noWrap/>
            <w:vAlign w:val="top"/>
          </w:tcPr>
          <w:p>
            <w:pPr>
              <w:pStyle w:val="TableText"/>
              <w:jc w:val="left"/>
            </w:pPr>
            <w:r>
              <w:t xml:space="preserve">K-09</w:t>
            </w:r>
          </w:p>
        </w:tc>
        <w:tc>
          <w:tcPr>
            <w:tcW w:w="3537" w:type="dxa"/>
            <w:shd w:val="clear" w:color="auto" w:fill="F4F7FB"/>
            <w:vAlign w:val="top"/>
          </w:tcPr>
          <w:p>
            <w:pPr>
              <w:pStyle w:val="TableText"/>
              <w:jc w:val="left"/>
            </w:pPr>
            <w:r>
              <w:t xml:space="preserve">Attach rate of personal accident / physical damage cover</w:t>
            </w:r>
          </w:p>
        </w:tc>
        <w:tc>
          <w:tcPr>
            <w:tcW w:w="1797" w:type="dxa"/>
            <w:shd w:val="clear" w:color="auto" w:fill="F4F7FB"/>
            <w:vAlign w:val="top"/>
          </w:tcPr>
          <w:p>
            <w:pPr>
              <w:pStyle w:val="TableText"/>
              <w:jc w:val="left"/>
            </w:pPr>
            <w:r>
              <w:t xml:space="preserve">TBM</w:t>
            </w:r>
          </w:p>
        </w:tc>
        <w:tc>
          <w:tcPr>
            <w:tcW w:w="1461" w:type="dxa"/>
            <w:shd w:val="clear" w:color="auto" w:fill="F4F7FB"/>
            <w:vAlign w:val="top"/>
          </w:tcPr>
          <w:p>
            <w:pPr>
              <w:pStyle w:val="TableText"/>
              <w:jc w:val="left"/>
            </w:pPr>
            <w:r>
              <w:t xml:space="preserve">4% / 0.25%</w:t>
            </w:r>
          </w:p>
        </w:tc>
        <w:tc>
          <w:tcPr>
            <w:tcW w:w="1518" w:type="dxa"/>
            <w:shd w:val="clear" w:color="auto" w:fill="F4F7FB"/>
            <w:vAlign w:val="top"/>
          </w:tcPr>
          <w:p>
            <w:pPr>
              <w:pStyle w:val="TableText"/>
              <w:jc w:val="left"/>
            </w:pPr>
            <w:r>
              <w:t xml:space="preserve">8% / 0.5%</w:t>
            </w:r>
          </w:p>
        </w:tc>
      </w:tr>
      <w:tr>
        <w:trPr>
          <w:cantSplit/>
        </w:trPr>
        <w:tc>
          <w:tcPr>
            <w:tcW w:w="714" w:type="dxa"/>
            <w:noWrap/>
            <w:vAlign w:val="top"/>
          </w:tcPr>
          <w:p>
            <w:pPr>
              <w:pStyle w:val="TableText"/>
              <w:jc w:val="left"/>
            </w:pPr>
            <w:r>
              <w:t xml:space="preserve">K-10</w:t>
            </w:r>
          </w:p>
        </w:tc>
        <w:tc>
          <w:tcPr>
            <w:tcW w:w="3537" w:type="dxa"/>
            <w:vAlign w:val="top"/>
          </w:tcPr>
          <w:p>
            <w:pPr>
              <w:pStyle w:val="TableText"/>
              <w:jc w:val="left"/>
            </w:pPr>
            <w:r>
              <w:t xml:space="preserve">Variable acquisition cost per policy</w:t>
            </w:r>
          </w:p>
        </w:tc>
        <w:tc>
          <w:tcPr>
            <w:tcW w:w="1797" w:type="dxa"/>
            <w:vAlign w:val="top"/>
          </w:tcPr>
          <w:p>
            <w:pPr>
              <w:pStyle w:val="TableText"/>
              <w:jc w:val="left"/>
            </w:pPr>
            <w:r>
              <w:t xml:space="preserve">TBM</w:t>
            </w:r>
          </w:p>
        </w:tc>
        <w:tc>
          <w:tcPr>
            <w:tcW w:w="1461" w:type="dxa"/>
            <w:vAlign w:val="top"/>
          </w:tcPr>
          <w:p>
            <w:pPr>
              <w:pStyle w:val="TableText"/>
              <w:jc w:val="left"/>
            </w:pPr>
            <w:r>
              <w:t xml:space="preserve">VND 55,000 or less</w:t>
            </w:r>
          </w:p>
        </w:tc>
        <w:tc>
          <w:tcPr>
            <w:tcW w:w="1518" w:type="dxa"/>
            <w:vAlign w:val="top"/>
          </w:tcPr>
          <w:p>
            <w:pPr>
              <w:pStyle w:val="TableText"/>
              <w:jc w:val="left"/>
            </w:pPr>
            <w:r>
              <w:t xml:space="preserve">VND 40,000 or less</w:t>
            </w:r>
          </w:p>
        </w:tc>
      </w:tr>
      <w:tr>
        <w:trPr>
          <w:cantSplit/>
        </w:trPr>
        <w:tc>
          <w:tcPr>
            <w:tcW w:w="714" w:type="dxa"/>
            <w:shd w:val="clear" w:color="auto" w:fill="F4F7FB"/>
            <w:noWrap/>
            <w:vAlign w:val="top"/>
          </w:tcPr>
          <w:p>
            <w:pPr>
              <w:pStyle w:val="TableText"/>
              <w:jc w:val="left"/>
            </w:pPr>
            <w:r>
              <w:t xml:space="preserve">K-11</w:t>
            </w:r>
          </w:p>
        </w:tc>
        <w:tc>
          <w:tcPr>
            <w:tcW w:w="3537" w:type="dxa"/>
            <w:shd w:val="clear" w:color="auto" w:fill="F4F7FB"/>
            <w:vAlign w:val="top"/>
          </w:tcPr>
          <w:p>
            <w:pPr>
              <w:pStyle w:val="TableText"/>
              <w:jc w:val="left"/>
            </w:pPr>
            <w:r>
              <w:t xml:space="preserve">Assistant cost as a share of the telesales-equivalent cost</w:t>
            </w:r>
          </w:p>
        </w:tc>
        <w:tc>
          <w:tcPr>
            <w:tcW w:w="1797" w:type="dxa"/>
            <w:shd w:val="clear" w:color="auto" w:fill="F4F7FB"/>
            <w:vAlign w:val="top"/>
          </w:tcPr>
          <w:p>
            <w:pPr>
              <w:pStyle w:val="TableText"/>
              <w:jc w:val="left"/>
            </w:pPr>
            <w:r>
              <w:t xml:space="preserve">Not applicable</w:t>
            </w:r>
          </w:p>
        </w:tc>
        <w:tc>
          <w:tcPr>
            <w:tcW w:w="1461" w:type="dxa"/>
            <w:shd w:val="clear" w:color="auto" w:fill="F4F7FB"/>
            <w:vAlign w:val="top"/>
          </w:tcPr>
          <w:p>
            <w:pPr>
              <w:pStyle w:val="TableText"/>
              <w:jc w:val="left"/>
            </w:pPr>
            <w:r>
              <w:t xml:space="preserve">10% or less</w:t>
            </w:r>
          </w:p>
        </w:tc>
        <w:tc>
          <w:tcPr>
            <w:tcW w:w="1518" w:type="dxa"/>
            <w:shd w:val="clear" w:color="auto" w:fill="F4F7FB"/>
            <w:vAlign w:val="top"/>
          </w:tcPr>
          <w:p>
            <w:pPr>
              <w:pStyle w:val="TableText"/>
              <w:jc w:val="left"/>
            </w:pPr>
            <w:r>
              <w:t xml:space="preserve">10% or less (8.9% at current unit costs)</w:t>
            </w:r>
          </w:p>
        </w:tc>
      </w:tr>
      <w:tr>
        <w:trPr>
          <w:cantSplit/>
        </w:trPr>
        <w:tc>
          <w:tcPr>
            <w:tcW w:w="714" w:type="dxa"/>
            <w:noWrap/>
            <w:vAlign w:val="top"/>
          </w:tcPr>
          <w:p>
            <w:pPr>
              <w:pStyle w:val="TableText"/>
              <w:jc w:val="left"/>
            </w:pPr>
            <w:r>
              <w:t xml:space="preserve">K-12</w:t>
            </w:r>
          </w:p>
        </w:tc>
        <w:tc>
          <w:tcPr>
            <w:tcW w:w="3537" w:type="dxa"/>
            <w:vAlign w:val="top"/>
          </w:tcPr>
          <w:p>
            <w:pPr>
              <w:pStyle w:val="TableText"/>
              <w:jc w:val="left"/>
            </w:pPr>
            <w:r>
              <w:t xml:space="preserve">Assistant opt-out rate; plate-verification failure rate</w:t>
            </w:r>
          </w:p>
        </w:tc>
        <w:tc>
          <w:tcPr>
            <w:tcW w:w="1797" w:type="dxa"/>
            <w:vAlign w:val="top"/>
          </w:tcPr>
          <w:p>
            <w:pPr>
              <w:pStyle w:val="TableText"/>
              <w:jc w:val="left"/>
            </w:pPr>
            <w:r>
              <w:t xml:space="preserve">Not applicable</w:t>
            </w:r>
          </w:p>
        </w:tc>
        <w:tc>
          <w:tcPr>
            <w:tcW w:w="1461" w:type="dxa"/>
            <w:vAlign w:val="top"/>
          </w:tcPr>
          <w:p>
            <w:pPr>
              <w:pStyle w:val="TableText"/>
              <w:jc w:val="left"/>
            </w:pPr>
            <w:r>
              <w:t xml:space="preserve">5% or less; 10% or less</w:t>
            </w:r>
          </w:p>
        </w:tc>
        <w:tc>
          <w:tcPr>
            <w:tcW w:w="1518" w:type="dxa"/>
            <w:vAlign w:val="top"/>
          </w:tcPr>
          <w:p>
            <w:pPr>
              <w:pStyle w:val="TableText"/>
              <w:jc w:val="left"/>
            </w:pPr>
            <w:r>
              <w:t xml:space="preserve">4% or less; 8% or less</w:t>
            </w:r>
          </w:p>
        </w:tc>
      </w:tr>
      <w:tr>
        <w:trPr>
          <w:cantSplit/>
        </w:trPr>
        <w:tc>
          <w:tcPr>
            <w:tcW w:w="714" w:type="dxa"/>
            <w:shd w:val="clear" w:color="auto" w:fill="F4F7FB"/>
            <w:noWrap/>
            <w:vAlign w:val="top"/>
          </w:tcPr>
          <w:p>
            <w:pPr>
              <w:pStyle w:val="TableText"/>
              <w:jc w:val="left"/>
            </w:pPr>
            <w:r>
              <w:t xml:space="preserve">K-13</w:t>
            </w:r>
          </w:p>
        </w:tc>
        <w:tc>
          <w:tcPr>
            <w:tcW w:w="3537" w:type="dxa"/>
            <w:shd w:val="clear" w:color="auto" w:fill="F4F7FB"/>
            <w:vAlign w:val="top"/>
          </w:tcPr>
          <w:p>
            <w:pPr>
              <w:pStyle w:val="TableText"/>
              <w:jc w:val="left"/>
            </w:pPr>
            <w:r>
              <w:t xml:space="preserve">Copy-guard blocks in production; complaints per 10,000 contacts</w:t>
            </w:r>
          </w:p>
        </w:tc>
        <w:tc>
          <w:tcPr>
            <w:tcW w:w="1797" w:type="dxa"/>
            <w:shd w:val="clear" w:color="auto" w:fill="F4F7FB"/>
            <w:vAlign w:val="top"/>
          </w:tcPr>
          <w:p>
            <w:pPr>
              <w:pStyle w:val="TableText"/>
              <w:jc w:val="left"/>
            </w:pPr>
            <w:r>
              <w:t xml:space="preserve">Not applicable</w:t>
            </w:r>
          </w:p>
        </w:tc>
        <w:tc>
          <w:tcPr>
            <w:tcW w:w="1461" w:type="dxa"/>
            <w:shd w:val="clear" w:color="auto" w:fill="F4F7FB"/>
            <w:vAlign w:val="top"/>
          </w:tcPr>
          <w:p>
            <w:pPr>
              <w:pStyle w:val="TableText"/>
              <w:jc w:val="left"/>
            </w:pPr>
            <w:r>
              <w:t xml:space="preserve">0 blocks after go-live; TBM</w:t>
            </w:r>
          </w:p>
        </w:tc>
        <w:tc>
          <w:tcPr>
            <w:tcW w:w="1518" w:type="dxa"/>
            <w:shd w:val="clear" w:color="auto" w:fill="F4F7FB"/>
            <w:vAlign w:val="top"/>
          </w:tcPr>
          <w:p>
            <w:pPr>
              <w:pStyle w:val="TableText"/>
              <w:jc w:val="left"/>
            </w:pPr>
            <w:r>
              <w:t xml:space="preserve">0; TBM</w:t>
            </w:r>
          </w:p>
        </w:tc>
      </w:tr>
      <w:tr>
        <w:trPr>
          <w:cantSplit/>
        </w:trPr>
        <w:tc>
          <w:tcPr>
            <w:tcW w:w="714" w:type="dxa"/>
            <w:noWrap/>
            <w:vAlign w:val="top"/>
          </w:tcPr>
          <w:p>
            <w:pPr>
              <w:pStyle w:val="TableText"/>
              <w:jc w:val="left"/>
            </w:pPr>
            <w:r>
              <w:t xml:space="preserve">K-14</w:t>
            </w:r>
          </w:p>
        </w:tc>
        <w:tc>
          <w:tcPr>
            <w:tcW w:w="3537" w:type="dxa"/>
            <w:vAlign w:val="top"/>
          </w:tcPr>
          <w:p>
            <w:pPr>
              <w:pStyle w:val="TableText"/>
              <w:jc w:val="left"/>
            </w:pPr>
            <w:r>
              <w:t xml:space="preserve">Audit trail verifies</w:t>
            </w:r>
          </w:p>
        </w:tc>
        <w:tc>
          <w:tcPr>
            <w:tcW w:w="1797" w:type="dxa"/>
            <w:vAlign w:val="top"/>
          </w:tcPr>
          <w:p>
            <w:pPr>
              <w:pStyle w:val="TableText"/>
              <w:jc w:val="left"/>
            </w:pPr>
            <w:r>
              <w:t xml:space="preserve">Not applicable</w:t>
            </w:r>
          </w:p>
        </w:tc>
        <w:tc>
          <w:tcPr>
            <w:tcW w:w="1461" w:type="dxa"/>
            <w:vAlign w:val="top"/>
          </w:tcPr>
          <w:p>
            <w:pPr>
              <w:pStyle w:val="TableText"/>
              <w:jc w:val="left"/>
            </w:pPr>
            <w:r>
              <w:t xml:space="preserve">100% daily</w:t>
            </w:r>
          </w:p>
        </w:tc>
        <w:tc>
          <w:tcPr>
            <w:tcW w:w="1518" w:type="dxa"/>
            <w:vAlign w:val="top"/>
          </w:tcPr>
          <w:p>
            <w:pPr>
              <w:pStyle w:val="TableText"/>
              <w:jc w:val="left"/>
            </w:pPr>
            <w:r>
              <w:t xml:space="preserve">100% daily</w:t>
            </w:r>
          </w:p>
        </w:tc>
      </w:tr>
    </w:tbl>
    <w:p>
      <w:pPr>
        <w:pStyle w:val="BodyText"/>
        <w:spacing w:before="160"/>
      </w:pPr>
      <w:r>
        <w:t xml:space="preserve">The pilot should hold out a randomly selected control group of about 10% of the cohort that receives business as usual. Only then can policies the platform genuinely adds be separated from policies partners would have sold anyway.</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41" w:name="_Toc300000037"/>
      <w:r>
        <w:rPr>
          <w:rStyle w:val="BookTitle"/>
          <w:bCs w:val="0"/>
          <w:i w:val="0"/>
          <w:iCs w:val="0"/>
          <w:spacing w:val="0"/>
        </w:rPr>
        <w:t xml:space="preserve">Business case</w:t>
      </w:r>
      <w:bookmarkEnd w:id="41"/>
    </w:p>
    <w:p>
      <w:pPr>
        <w:pStyle w:val="FirstParagraph"/>
      </w:pPr>
      <w:r>
        <w:t xml:space="preserve">All figures in this section are illustrative. Unit costs are the contracted channel costs held in the platform, TNDS premiums are the regulated tariff, and personal accident and physical damage rates are illustrative rates to be replaced by TASCO’s filed rates. Every other input is an assumption. The exchange rate is USD 1 = VND 26,000 (A-01).</w:t>
      </w:r>
    </w:p>
    <w:p>
      <w:pPr>
        <w:pStyle w:val="Heading2"/>
      </w:pPr>
      <w:bookmarkStart w:id="42" w:name="_Toc300000038"/>
      <w:r>
        <w:t xml:space="preserve">Model</w:t>
      </w:r>
      <w:bookmarkEnd w:id="42"/>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251"/>
        <w:gridCol w:w="6776"/>
      </w:tblGrid>
      <w:tr>
        <w:trPr>
          <w:cantSplit/>
          <w:tblHeader/>
        </w:trPr>
        <w:tc>
          <w:tcPr>
            <w:tcW w:w="2251" w:type="dxa"/>
            <w:shd w:val="clear" w:color="auto" w:fill="0F4761"/>
            <w:vAlign w:val="center"/>
          </w:tcPr>
          <w:p>
            <w:pPr>
              <w:pStyle w:val="TableHeading"/>
              <w:jc w:val="left"/>
            </w:pPr>
            <w:r>
              <w:rPr>
                <w:color w:val="FFFFFF"/>
              </w:rPr>
              <w:t xml:space="preserve">Element</w:t>
            </w:r>
          </w:p>
        </w:tc>
        <w:tc>
          <w:tcPr>
            <w:tcW w:w="6776" w:type="dxa"/>
            <w:shd w:val="clear" w:color="auto" w:fill="0F4761"/>
            <w:vAlign w:val="center"/>
          </w:tcPr>
          <w:p>
            <w:pPr>
              <w:pStyle w:val="TableHeading"/>
              <w:jc w:val="left"/>
            </w:pPr>
            <w:r>
              <w:rPr>
                <w:color w:val="FFFFFF"/>
              </w:rPr>
              <w:t xml:space="preserve">Calculation</w:t>
            </w:r>
          </w:p>
        </w:tc>
      </w:tr>
      <w:tr>
        <w:trPr>
          <w:cantSplit/>
        </w:trPr>
        <w:tc>
          <w:tcPr>
            <w:tcW w:w="2251" w:type="dxa"/>
            <w:vAlign w:val="top"/>
          </w:tcPr>
          <w:p>
            <w:pPr>
              <w:pStyle w:val="TableText"/>
              <w:jc w:val="left"/>
            </w:pPr>
            <w:r>
              <w:t xml:space="preserve">Actionable vehicles (A)</w:t>
            </w:r>
          </w:p>
        </w:tc>
        <w:tc>
          <w:tcPr>
            <w:tcW w:w="6776" w:type="dxa"/>
            <w:vAlign w:val="top"/>
          </w:tcPr>
          <w:p>
            <w:pPr>
              <w:pStyle w:val="TableText"/>
              <w:jc w:val="left"/>
            </w:pPr>
            <w:r>
              <w:t xml:space="preserve">VETC car base (about 6,000,000) × share with an expiry event in the year (A-02) × usable-expiry rate after data repair (A-03)</w:t>
            </w:r>
          </w:p>
        </w:tc>
      </w:tr>
      <w:tr>
        <w:trPr>
          <w:cantSplit/>
        </w:trPr>
        <w:tc>
          <w:tcPr>
            <w:tcW w:w="2251" w:type="dxa"/>
            <w:shd w:val="clear" w:color="auto" w:fill="F4F7FB"/>
            <w:vAlign w:val="top"/>
          </w:tcPr>
          <w:p>
            <w:pPr>
              <w:pStyle w:val="TableText"/>
              <w:jc w:val="left"/>
            </w:pPr>
            <w:r>
              <w:t xml:space="preserve">Segment volumes</w:t>
            </w:r>
          </w:p>
        </w:tc>
        <w:tc>
          <w:tcPr>
            <w:tcW w:w="6776" w:type="dxa"/>
            <w:shd w:val="clear" w:color="auto" w:fill="F4F7FB"/>
            <w:vAlign w:val="top"/>
          </w:tcPr>
          <w:p>
            <w:pPr>
              <w:pStyle w:val="TableText"/>
              <w:jc w:val="left"/>
            </w:pPr>
            <w:r>
              <w:t xml:space="preserve">A × segment share for TASCO book, elsewhere or unknown, and lapsed (A-04)</w:t>
            </w:r>
          </w:p>
        </w:tc>
      </w:tr>
      <w:tr>
        <w:trPr>
          <w:cantSplit/>
        </w:trPr>
        <w:tc>
          <w:tcPr>
            <w:tcW w:w="2251" w:type="dxa"/>
            <w:vAlign w:val="top"/>
          </w:tcPr>
          <w:p>
            <w:pPr>
              <w:pStyle w:val="TableText"/>
              <w:jc w:val="left"/>
            </w:pPr>
            <w:r>
              <w:t xml:space="preserve">Own-channel TNDS policies</w:t>
            </w:r>
          </w:p>
        </w:tc>
        <w:tc>
          <w:tcPr>
            <w:tcW w:w="6776" w:type="dxa"/>
            <w:vAlign w:val="top"/>
          </w:tcPr>
          <w:p>
            <w:pPr>
              <w:pStyle w:val="TableText"/>
              <w:jc w:val="left"/>
            </w:pPr>
            <w:r>
              <w:t xml:space="preserve">Sum of each segment volume × its conversion rate, plus new vehicles per year (A-05) × new-vehicle conversion (A-06)</w:t>
            </w:r>
          </w:p>
        </w:tc>
      </w:tr>
      <w:tr>
        <w:trPr>
          <w:cantSplit/>
        </w:trPr>
        <w:tc>
          <w:tcPr>
            <w:tcW w:w="2251" w:type="dxa"/>
            <w:shd w:val="clear" w:color="auto" w:fill="F4F7FB"/>
            <w:vAlign w:val="top"/>
          </w:tcPr>
          <w:p>
            <w:pPr>
              <w:pStyle w:val="TableText"/>
              <w:jc w:val="left"/>
            </w:pPr>
            <w:r>
              <w:t xml:space="preserve">Partner-API policies</w:t>
            </w:r>
          </w:p>
        </w:tc>
        <w:tc>
          <w:tcPr>
            <w:tcW w:w="6776" w:type="dxa"/>
            <w:shd w:val="clear" w:color="auto" w:fill="F4F7FB"/>
            <w:vAlign w:val="top"/>
          </w:tcPr>
          <w:p>
            <w:pPr>
              <w:pStyle w:val="TableText"/>
              <w:jc w:val="left"/>
            </w:pPr>
            <w:r>
              <w:t xml:space="preserve">Assumption A-07</w:t>
            </w:r>
          </w:p>
        </w:tc>
      </w:tr>
      <w:tr>
        <w:trPr>
          <w:cantSplit/>
        </w:trPr>
        <w:tc>
          <w:tcPr>
            <w:tcW w:w="2251" w:type="dxa"/>
            <w:vAlign w:val="top"/>
          </w:tcPr>
          <w:p>
            <w:pPr>
              <w:pStyle w:val="TableText"/>
              <w:jc w:val="left"/>
            </w:pPr>
            <w:r>
              <w:t xml:space="preserve">TNDS net premium</w:t>
            </w:r>
          </w:p>
        </w:tc>
        <w:tc>
          <w:tcPr>
            <w:tcW w:w="6776" w:type="dxa"/>
            <w:vAlign w:val="top"/>
          </w:tcPr>
          <w:p>
            <w:pPr>
              <w:pStyle w:val="TableText"/>
              <w:jc w:val="left"/>
            </w:pPr>
            <w:r>
              <w:t xml:space="preserve">(Own-channel + partner policies) × average net premium (A-08)</w:t>
            </w:r>
          </w:p>
        </w:tc>
      </w:tr>
      <w:tr>
        <w:trPr>
          <w:cantSplit/>
        </w:trPr>
        <w:tc>
          <w:tcPr>
            <w:tcW w:w="2251" w:type="dxa"/>
            <w:shd w:val="clear" w:color="auto" w:fill="F4F7FB"/>
            <w:vAlign w:val="top"/>
          </w:tcPr>
          <w:p>
            <w:pPr>
              <w:pStyle w:val="TableText"/>
              <w:jc w:val="left"/>
            </w:pPr>
            <w:r>
              <w:t xml:space="preserve">Cross-sell premium</w:t>
            </w:r>
          </w:p>
        </w:tc>
        <w:tc>
          <w:tcPr>
            <w:tcW w:w="6776" w:type="dxa"/>
            <w:shd w:val="clear" w:color="auto" w:fill="F4F7FB"/>
            <w:vAlign w:val="top"/>
          </w:tcPr>
          <w:p>
            <w:pPr>
              <w:pStyle w:val="TableText"/>
              <w:jc w:val="left"/>
            </w:pPr>
            <w:r>
              <w:t xml:space="preserve">Own-channel policies × (personal accident attach × premium + physical damage attach × premium) (A-09)</w:t>
            </w:r>
          </w:p>
        </w:tc>
      </w:tr>
      <w:tr>
        <w:trPr>
          <w:cantSplit/>
        </w:trPr>
        <w:tc>
          <w:tcPr>
            <w:tcW w:w="2251" w:type="dxa"/>
            <w:vAlign w:val="top"/>
          </w:tcPr>
          <w:p>
            <w:pPr>
              <w:pStyle w:val="TableText"/>
              <w:jc w:val="left"/>
            </w:pPr>
            <w:r>
              <w:t xml:space="preserve">Messaging cost</w:t>
            </w:r>
          </w:p>
        </w:tc>
        <w:tc>
          <w:tcPr>
            <w:tcW w:w="6776" w:type="dxa"/>
            <w:vAlign w:val="top"/>
          </w:tcPr>
          <w:p>
            <w:pPr>
              <w:pStyle w:val="TableText"/>
              <w:jc w:val="left"/>
            </w:pPr>
            <w:r>
              <w:t xml:space="preserve">(A + new vehicles) × sends per profile × channel mix of 60% push, 30% Zalo, 10% SMS (A-10)</w:t>
            </w:r>
          </w:p>
        </w:tc>
      </w:tr>
      <w:tr>
        <w:trPr>
          <w:cantSplit/>
        </w:trPr>
        <w:tc>
          <w:tcPr>
            <w:tcW w:w="2251" w:type="dxa"/>
            <w:shd w:val="clear" w:color="auto" w:fill="F4F7FB"/>
            <w:vAlign w:val="top"/>
          </w:tcPr>
          <w:p>
            <w:pPr>
              <w:pStyle w:val="TableText"/>
              <w:jc w:val="left"/>
            </w:pPr>
            <w:r>
              <w:t xml:space="preserve">Assistant cost</w:t>
            </w:r>
          </w:p>
        </w:tc>
        <w:tc>
          <w:tcPr>
            <w:tcW w:w="6776" w:type="dxa"/>
            <w:shd w:val="clear" w:color="auto" w:fill="F4F7FB"/>
            <w:vAlign w:val="top"/>
          </w:tcPr>
          <w:p>
            <w:pPr>
              <w:pStyle w:val="TableText"/>
              <w:jc w:val="left"/>
            </w:pPr>
            <w:r>
              <w:t xml:space="preserve">A × share called (A-11) × 1.3 attempts × VND 1,500 × 1.6 minutes</w:t>
            </w:r>
          </w:p>
        </w:tc>
      </w:tr>
      <w:tr>
        <w:trPr>
          <w:cantSplit/>
        </w:trPr>
        <w:tc>
          <w:tcPr>
            <w:tcW w:w="2251" w:type="dxa"/>
            <w:vAlign w:val="top"/>
          </w:tcPr>
          <w:p>
            <w:pPr>
              <w:pStyle w:val="TableText"/>
              <w:jc w:val="left"/>
            </w:pPr>
            <w:r>
              <w:t xml:space="preserve">Telesales cost</w:t>
            </w:r>
          </w:p>
        </w:tc>
        <w:tc>
          <w:tcPr>
            <w:tcW w:w="6776" w:type="dxa"/>
            <w:vAlign w:val="top"/>
          </w:tcPr>
          <w:p>
            <w:pPr>
              <w:pStyle w:val="TableText"/>
              <w:jc w:val="left"/>
            </w:pPr>
            <w:r>
              <w:t xml:space="preserve">Telesales calls (A-12) × VND 6,000 × 4.5 minutes</w:t>
            </w:r>
          </w:p>
        </w:tc>
      </w:tr>
      <w:tr>
        <w:trPr>
          <w:cantSplit/>
        </w:trPr>
        <w:tc>
          <w:tcPr>
            <w:tcW w:w="2251" w:type="dxa"/>
            <w:shd w:val="clear" w:color="auto" w:fill="F4F7FB"/>
            <w:vAlign w:val="top"/>
          </w:tcPr>
          <w:p>
            <w:pPr>
              <w:pStyle w:val="TableText"/>
              <w:jc w:val="left"/>
            </w:pPr>
            <w:r>
              <w:t xml:space="preserve">Partner commission</w:t>
            </w:r>
          </w:p>
        </w:tc>
        <w:tc>
          <w:tcPr>
            <w:tcW w:w="6776" w:type="dxa"/>
            <w:shd w:val="clear" w:color="auto" w:fill="F4F7FB"/>
            <w:vAlign w:val="top"/>
          </w:tcPr>
          <w:p>
            <w:pPr>
              <w:pStyle w:val="TableText"/>
              <w:jc w:val="left"/>
            </w:pPr>
            <w:r>
              <w:t xml:space="preserve">Partner policies × average net premium × 5%</w:t>
            </w:r>
          </w:p>
        </w:tc>
      </w:tr>
      <w:tr>
        <w:trPr>
          <w:cantSplit/>
        </w:trPr>
        <w:tc>
          <w:tcPr>
            <w:tcW w:w="2251" w:type="dxa"/>
            <w:vAlign w:val="top"/>
          </w:tcPr>
          <w:p>
            <w:pPr>
              <w:pStyle w:val="TableText"/>
              <w:jc w:val="left"/>
            </w:pPr>
            <w:r>
              <w:t xml:space="preserve">Acquisition cost per policy</w:t>
            </w:r>
          </w:p>
        </w:tc>
        <w:tc>
          <w:tcPr>
            <w:tcW w:w="6776" w:type="dxa"/>
            <w:vAlign w:val="top"/>
          </w:tcPr>
          <w:p>
            <w:pPr>
              <w:pStyle w:val="TableText"/>
              <w:jc w:val="left"/>
            </w:pPr>
            <w:r>
              <w:t xml:space="preserve">(Messaging + assistant + telesales + commission) ÷ total policies</w:t>
            </w:r>
          </w:p>
        </w:tc>
      </w:tr>
    </w:tbl>
    <w:p>
      <w:pPr>
        <w:pStyle w:val="BodyText"/>
        <w:spacing w:before="160"/>
      </w:pPr>
      <w:r>
        <w:t xml:space="preserve">Average premiums used:</w:t>
      </w:r>
    </w:p>
    <w:p>
      <w:pPr>
        <w:pStyle w:val="Compact"/>
        <w:numPr>
          <w:ilvl w:val="0"/>
          <w:numId w:val="1004"/>
        </w:numPr>
      </w:pPr>
      <w:r>
        <w:t xml:space="preserve">TNDS: 70% cars under 6 seats at VND 437,000, 25% cars of 6 to 11 seats at VND 794,000 and 5% at VND 1,270,000, giving VND 567,900 net (VND 624,690 including VAT).</w:t>
      </w:r>
    </w:p>
    <w:p>
      <w:pPr>
        <w:pStyle w:val="Compact"/>
        <w:numPr>
          <w:ilvl w:val="0"/>
          <w:numId w:val="1004"/>
        </w:numPr>
      </w:pPr>
      <w:r>
        <w:t xml:space="preserve">Personal accident cover per seat: 5 seats × VND 20,000,000 × 0.1% = VND 100,000, exempt from VAT.</w:t>
      </w:r>
    </w:p>
    <w:p>
      <w:pPr>
        <w:pStyle w:val="Compact"/>
        <w:numPr>
          <w:ilvl w:val="0"/>
          <w:numId w:val="1004"/>
        </w:numPr>
      </w:pPr>
      <w:r>
        <w:t xml:space="preserve">Physical damage cover: VND 700,000,000 sum insured × 1.5% (vehicle 0 to 3 years) × (1 − 10% deductible relief) = VND 9,450,000 net.</w:t>
      </w:r>
    </w:p>
    <w:p>
      <w:pPr>
        <w:pStyle w:val="Heading2"/>
      </w:pPr>
      <w:bookmarkStart w:id="43" w:name="_Toc300000039"/>
      <w:r>
        <w:t xml:space="preserve">Scenario inputs</w:t>
      </w:r>
      <w:bookmarkEnd w:id="43"/>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4554"/>
        <w:gridCol w:w="1704"/>
        <w:gridCol w:w="1362"/>
        <w:gridCol w:w="1407"/>
      </w:tblGrid>
      <w:tr>
        <w:trPr>
          <w:cantSplit/>
          <w:tblHeader/>
        </w:trPr>
        <w:tc>
          <w:tcPr>
            <w:tcW w:w="4554" w:type="dxa"/>
            <w:shd w:val="clear" w:color="auto" w:fill="0F4761"/>
            <w:vAlign w:val="center"/>
          </w:tcPr>
          <w:p>
            <w:pPr>
              <w:pStyle w:val="TableHeading"/>
              <w:jc w:val="left"/>
            </w:pPr>
            <w:r>
              <w:rPr>
                <w:color w:val="FFFFFF"/>
              </w:rPr>
              <w:t xml:space="preserve">Input</w:t>
            </w:r>
          </w:p>
        </w:tc>
        <w:tc>
          <w:tcPr>
            <w:tcW w:w="1704" w:type="dxa"/>
            <w:shd w:val="clear" w:color="auto" w:fill="0F4761"/>
            <w:vAlign w:val="center"/>
          </w:tcPr>
          <w:p>
            <w:pPr>
              <w:pStyle w:val="TableHeading"/>
              <w:jc w:val="left"/>
            </w:pPr>
            <w:r>
              <w:rPr>
                <w:color w:val="FFFFFF"/>
              </w:rPr>
              <w:t xml:space="preserve">Conservative</w:t>
            </w:r>
          </w:p>
        </w:tc>
        <w:tc>
          <w:tcPr>
            <w:tcW w:w="1362" w:type="dxa"/>
            <w:shd w:val="clear" w:color="auto" w:fill="0F4761"/>
            <w:vAlign w:val="center"/>
          </w:tcPr>
          <w:p>
            <w:pPr>
              <w:pStyle w:val="TableHeading"/>
              <w:jc w:val="left"/>
            </w:pPr>
            <w:r>
              <w:rPr>
                <w:color w:val="FFFFFF"/>
              </w:rPr>
              <w:t xml:space="preserve">Base</w:t>
            </w:r>
          </w:p>
        </w:tc>
        <w:tc>
          <w:tcPr>
            <w:tcW w:w="1407" w:type="dxa"/>
            <w:shd w:val="clear" w:color="auto" w:fill="0F4761"/>
            <w:vAlign w:val="center"/>
          </w:tcPr>
          <w:p>
            <w:pPr>
              <w:pStyle w:val="TableHeading"/>
              <w:jc w:val="left"/>
            </w:pPr>
            <w:r>
              <w:rPr>
                <w:color w:val="FFFFFF"/>
              </w:rPr>
              <w:t xml:space="preserve">Stretch</w:t>
            </w:r>
          </w:p>
        </w:tc>
      </w:tr>
      <w:tr>
        <w:trPr>
          <w:cantSplit/>
        </w:trPr>
        <w:tc>
          <w:tcPr>
            <w:tcW w:w="4554" w:type="dxa"/>
            <w:vAlign w:val="top"/>
          </w:tcPr>
          <w:p>
            <w:pPr>
              <w:pStyle w:val="TableText"/>
              <w:jc w:val="left"/>
            </w:pPr>
            <w:r>
              <w:t xml:space="preserve">Share with an expiry event (A-02)</w:t>
            </w:r>
          </w:p>
        </w:tc>
        <w:tc>
          <w:tcPr>
            <w:tcW w:w="1704" w:type="dxa"/>
            <w:vAlign w:val="top"/>
          </w:tcPr>
          <w:p>
            <w:pPr>
              <w:pStyle w:val="TableText"/>
              <w:jc w:val="left"/>
            </w:pPr>
            <w:r>
              <w:t xml:space="preserve">85%</w:t>
            </w:r>
          </w:p>
        </w:tc>
        <w:tc>
          <w:tcPr>
            <w:tcW w:w="1362" w:type="dxa"/>
            <w:vAlign w:val="top"/>
          </w:tcPr>
          <w:p>
            <w:pPr>
              <w:pStyle w:val="TableText"/>
              <w:jc w:val="left"/>
            </w:pPr>
            <w:r>
              <w:t xml:space="preserve">85%</w:t>
            </w:r>
          </w:p>
        </w:tc>
        <w:tc>
          <w:tcPr>
            <w:tcW w:w="1407" w:type="dxa"/>
            <w:vAlign w:val="top"/>
          </w:tcPr>
          <w:p>
            <w:pPr>
              <w:pStyle w:val="TableText"/>
              <w:jc w:val="left"/>
            </w:pPr>
            <w:r>
              <w:t xml:space="preserve">85%</w:t>
            </w:r>
          </w:p>
        </w:tc>
      </w:tr>
      <w:tr>
        <w:trPr>
          <w:cantSplit/>
        </w:trPr>
        <w:tc>
          <w:tcPr>
            <w:tcW w:w="4554" w:type="dxa"/>
            <w:shd w:val="clear" w:color="auto" w:fill="F4F7FB"/>
            <w:vAlign w:val="top"/>
          </w:tcPr>
          <w:p>
            <w:pPr>
              <w:pStyle w:val="TableText"/>
              <w:jc w:val="left"/>
            </w:pPr>
            <w:r>
              <w:t xml:space="preserve">Usable-expiry rate (A-03)</w:t>
            </w:r>
          </w:p>
        </w:tc>
        <w:tc>
          <w:tcPr>
            <w:tcW w:w="1704" w:type="dxa"/>
            <w:shd w:val="clear" w:color="auto" w:fill="F4F7FB"/>
            <w:vAlign w:val="top"/>
          </w:tcPr>
          <w:p>
            <w:pPr>
              <w:pStyle w:val="TableText"/>
              <w:jc w:val="left"/>
            </w:pPr>
            <w:r>
              <w:t xml:space="preserve">35%</w:t>
            </w:r>
          </w:p>
        </w:tc>
        <w:tc>
          <w:tcPr>
            <w:tcW w:w="1362" w:type="dxa"/>
            <w:shd w:val="clear" w:color="auto" w:fill="F4F7FB"/>
            <w:vAlign w:val="top"/>
          </w:tcPr>
          <w:p>
            <w:pPr>
              <w:pStyle w:val="TableText"/>
              <w:jc w:val="left"/>
            </w:pPr>
            <w:r>
              <w:t xml:space="preserve">50%</w:t>
            </w:r>
          </w:p>
        </w:tc>
        <w:tc>
          <w:tcPr>
            <w:tcW w:w="1407" w:type="dxa"/>
            <w:shd w:val="clear" w:color="auto" w:fill="F4F7FB"/>
            <w:vAlign w:val="top"/>
          </w:tcPr>
          <w:p>
            <w:pPr>
              <w:pStyle w:val="TableText"/>
              <w:jc w:val="left"/>
            </w:pPr>
            <w:r>
              <w:t xml:space="preserve">65%</w:t>
            </w:r>
          </w:p>
        </w:tc>
      </w:tr>
      <w:tr>
        <w:trPr>
          <w:cantSplit/>
        </w:trPr>
        <w:tc>
          <w:tcPr>
            <w:tcW w:w="4554" w:type="dxa"/>
            <w:vAlign w:val="top"/>
          </w:tcPr>
          <w:p>
            <w:pPr>
              <w:pStyle w:val="TableText"/>
              <w:jc w:val="left"/>
            </w:pPr>
            <w:r>
              <w:t xml:space="preserve">TASCO book / elsewhere / lapsed (A-04)</w:t>
            </w:r>
          </w:p>
        </w:tc>
        <w:tc>
          <w:tcPr>
            <w:tcW w:w="1704" w:type="dxa"/>
            <w:vAlign w:val="top"/>
          </w:tcPr>
          <w:p>
            <w:pPr>
              <w:pStyle w:val="TableText"/>
              <w:jc w:val="left"/>
            </w:pPr>
            <w:r>
              <w:t xml:space="preserve">10 / 85 / 5%</w:t>
            </w:r>
          </w:p>
        </w:tc>
        <w:tc>
          <w:tcPr>
            <w:tcW w:w="1362" w:type="dxa"/>
            <w:vAlign w:val="top"/>
          </w:tcPr>
          <w:p>
            <w:pPr>
              <w:pStyle w:val="TableText"/>
              <w:jc w:val="left"/>
            </w:pPr>
            <w:r>
              <w:t xml:space="preserve">10 / 85 / 5%</w:t>
            </w:r>
          </w:p>
        </w:tc>
        <w:tc>
          <w:tcPr>
            <w:tcW w:w="1407" w:type="dxa"/>
            <w:vAlign w:val="top"/>
          </w:tcPr>
          <w:p>
            <w:pPr>
              <w:pStyle w:val="TableText"/>
              <w:jc w:val="left"/>
            </w:pPr>
            <w:r>
              <w:t xml:space="preserve">10 / 85 / 5%</w:t>
            </w:r>
          </w:p>
        </w:tc>
      </w:tr>
      <w:tr>
        <w:trPr>
          <w:cantSplit/>
        </w:trPr>
        <w:tc>
          <w:tcPr>
            <w:tcW w:w="4554" w:type="dxa"/>
            <w:shd w:val="clear" w:color="auto" w:fill="F4F7FB"/>
            <w:vAlign w:val="top"/>
          </w:tcPr>
          <w:p>
            <w:pPr>
              <w:pStyle w:val="TableText"/>
              <w:jc w:val="left"/>
            </w:pPr>
            <w:r>
              <w:t xml:space="preserve">New tags per year (A-05)</w:t>
            </w:r>
          </w:p>
        </w:tc>
        <w:tc>
          <w:tcPr>
            <w:tcW w:w="1704" w:type="dxa"/>
            <w:shd w:val="clear" w:color="auto" w:fill="F4F7FB"/>
            <w:vAlign w:val="top"/>
          </w:tcPr>
          <w:p>
            <w:pPr>
              <w:pStyle w:val="TableText"/>
              <w:jc w:val="left"/>
            </w:pPr>
            <w:r>
              <w:t xml:space="preserve">250,000</w:t>
            </w:r>
          </w:p>
        </w:tc>
        <w:tc>
          <w:tcPr>
            <w:tcW w:w="1362" w:type="dxa"/>
            <w:shd w:val="clear" w:color="auto" w:fill="F4F7FB"/>
            <w:vAlign w:val="top"/>
          </w:tcPr>
          <w:p>
            <w:pPr>
              <w:pStyle w:val="TableText"/>
              <w:jc w:val="left"/>
            </w:pPr>
            <w:r>
              <w:t xml:space="preserve">250,000</w:t>
            </w:r>
          </w:p>
        </w:tc>
        <w:tc>
          <w:tcPr>
            <w:tcW w:w="1407" w:type="dxa"/>
            <w:shd w:val="clear" w:color="auto" w:fill="F4F7FB"/>
            <w:vAlign w:val="top"/>
          </w:tcPr>
          <w:p>
            <w:pPr>
              <w:pStyle w:val="TableText"/>
              <w:jc w:val="left"/>
            </w:pPr>
            <w:r>
              <w:t xml:space="preserve">250,000</w:t>
            </w:r>
          </w:p>
        </w:tc>
      </w:tr>
      <w:tr>
        <w:trPr>
          <w:cantSplit/>
        </w:trPr>
        <w:tc>
          <w:tcPr>
            <w:tcW w:w="4554" w:type="dxa"/>
            <w:vAlign w:val="top"/>
          </w:tcPr>
          <w:p>
            <w:pPr>
              <w:pStyle w:val="TableText"/>
              <w:jc w:val="left"/>
            </w:pPr>
            <w:r>
              <w:t xml:space="preserve">Renewal / conquest / lapsed / new conversion (A-06)</w:t>
            </w:r>
          </w:p>
        </w:tc>
        <w:tc>
          <w:tcPr>
            <w:tcW w:w="1704" w:type="dxa"/>
            <w:vAlign w:val="top"/>
          </w:tcPr>
          <w:p>
            <w:pPr>
              <w:pStyle w:val="TableText"/>
              <w:jc w:val="left"/>
            </w:pPr>
            <w:r>
              <w:t xml:space="preserve">15 / 1 / 3 / 2%</w:t>
            </w:r>
          </w:p>
        </w:tc>
        <w:tc>
          <w:tcPr>
            <w:tcW w:w="1362" w:type="dxa"/>
            <w:vAlign w:val="top"/>
          </w:tcPr>
          <w:p>
            <w:pPr>
              <w:pStyle w:val="TableText"/>
              <w:jc w:val="left"/>
            </w:pPr>
            <w:r>
              <w:t xml:space="preserve">25 / 2 / 6 / 4%</w:t>
            </w:r>
          </w:p>
        </w:tc>
        <w:tc>
          <w:tcPr>
            <w:tcW w:w="1407" w:type="dxa"/>
            <w:vAlign w:val="top"/>
          </w:tcPr>
          <w:p>
            <w:pPr>
              <w:pStyle w:val="TableText"/>
              <w:jc w:val="left"/>
            </w:pPr>
            <w:r>
              <w:t xml:space="preserve">35 / 3 / 10 / 6%</w:t>
            </w:r>
          </w:p>
        </w:tc>
      </w:tr>
      <w:tr>
        <w:trPr>
          <w:cantSplit/>
        </w:trPr>
        <w:tc>
          <w:tcPr>
            <w:tcW w:w="4554" w:type="dxa"/>
            <w:shd w:val="clear" w:color="auto" w:fill="F4F7FB"/>
            <w:vAlign w:val="top"/>
          </w:tcPr>
          <w:p>
            <w:pPr>
              <w:pStyle w:val="TableText"/>
              <w:jc w:val="left"/>
            </w:pPr>
            <w:r>
              <w:t xml:space="preserve">Partner-API policies (A-07)</w:t>
            </w:r>
          </w:p>
        </w:tc>
        <w:tc>
          <w:tcPr>
            <w:tcW w:w="1704" w:type="dxa"/>
            <w:shd w:val="clear" w:color="auto" w:fill="F4F7FB"/>
            <w:vAlign w:val="top"/>
          </w:tcPr>
          <w:p>
            <w:pPr>
              <w:pStyle w:val="TableText"/>
              <w:jc w:val="left"/>
            </w:pPr>
            <w:r>
              <w:t xml:space="preserve">5,000</w:t>
            </w:r>
          </w:p>
        </w:tc>
        <w:tc>
          <w:tcPr>
            <w:tcW w:w="1362" w:type="dxa"/>
            <w:shd w:val="clear" w:color="auto" w:fill="F4F7FB"/>
            <w:vAlign w:val="top"/>
          </w:tcPr>
          <w:p>
            <w:pPr>
              <w:pStyle w:val="TableText"/>
              <w:jc w:val="left"/>
            </w:pPr>
            <w:r>
              <w:t xml:space="preserve">15,000</w:t>
            </w:r>
          </w:p>
        </w:tc>
        <w:tc>
          <w:tcPr>
            <w:tcW w:w="1407" w:type="dxa"/>
            <w:shd w:val="clear" w:color="auto" w:fill="F4F7FB"/>
            <w:vAlign w:val="top"/>
          </w:tcPr>
          <w:p>
            <w:pPr>
              <w:pStyle w:val="TableText"/>
              <w:jc w:val="left"/>
            </w:pPr>
            <w:r>
              <w:t xml:space="preserve">30,000</w:t>
            </w:r>
          </w:p>
        </w:tc>
      </w:tr>
      <w:tr>
        <w:trPr>
          <w:cantSplit/>
        </w:trPr>
        <w:tc>
          <w:tcPr>
            <w:tcW w:w="4554" w:type="dxa"/>
            <w:vAlign w:val="top"/>
          </w:tcPr>
          <w:p>
            <w:pPr>
              <w:pStyle w:val="TableText"/>
              <w:jc w:val="left"/>
            </w:pPr>
            <w:r>
              <w:t xml:space="preserve">Personal accident / physical damage attach (A-09)</w:t>
            </w:r>
          </w:p>
        </w:tc>
        <w:tc>
          <w:tcPr>
            <w:tcW w:w="1704" w:type="dxa"/>
            <w:vAlign w:val="top"/>
          </w:tcPr>
          <w:p>
            <w:pPr>
              <w:pStyle w:val="TableText"/>
              <w:jc w:val="left"/>
            </w:pPr>
            <w:r>
              <w:t xml:space="preserve">4% / 0.25%</w:t>
            </w:r>
          </w:p>
        </w:tc>
        <w:tc>
          <w:tcPr>
            <w:tcW w:w="1362" w:type="dxa"/>
            <w:vAlign w:val="top"/>
          </w:tcPr>
          <w:p>
            <w:pPr>
              <w:pStyle w:val="TableText"/>
              <w:jc w:val="left"/>
            </w:pPr>
            <w:r>
              <w:t xml:space="preserve">8% / 0.5%</w:t>
            </w:r>
          </w:p>
        </w:tc>
        <w:tc>
          <w:tcPr>
            <w:tcW w:w="1407" w:type="dxa"/>
            <w:vAlign w:val="top"/>
          </w:tcPr>
          <w:p>
            <w:pPr>
              <w:pStyle w:val="TableText"/>
              <w:jc w:val="left"/>
            </w:pPr>
            <w:r>
              <w:t xml:space="preserve">12% / 1%</w:t>
            </w:r>
          </w:p>
        </w:tc>
      </w:tr>
      <w:tr>
        <w:trPr>
          <w:cantSplit/>
        </w:trPr>
        <w:tc>
          <w:tcPr>
            <w:tcW w:w="4554" w:type="dxa"/>
            <w:shd w:val="clear" w:color="auto" w:fill="F4F7FB"/>
            <w:vAlign w:val="top"/>
          </w:tcPr>
          <w:p>
            <w:pPr>
              <w:pStyle w:val="TableText"/>
              <w:jc w:val="left"/>
            </w:pPr>
            <w:r>
              <w:t xml:space="preserve">Sends per profile per year (A-10)</w:t>
            </w:r>
          </w:p>
        </w:tc>
        <w:tc>
          <w:tcPr>
            <w:tcW w:w="1704" w:type="dxa"/>
            <w:shd w:val="clear" w:color="auto" w:fill="F4F7FB"/>
            <w:vAlign w:val="top"/>
          </w:tcPr>
          <w:p>
            <w:pPr>
              <w:pStyle w:val="TableText"/>
              <w:jc w:val="left"/>
            </w:pPr>
            <w:r>
              <w:t xml:space="preserve">5</w:t>
            </w:r>
          </w:p>
        </w:tc>
        <w:tc>
          <w:tcPr>
            <w:tcW w:w="1362" w:type="dxa"/>
            <w:shd w:val="clear" w:color="auto" w:fill="F4F7FB"/>
            <w:vAlign w:val="top"/>
          </w:tcPr>
          <w:p>
            <w:pPr>
              <w:pStyle w:val="TableText"/>
              <w:jc w:val="left"/>
            </w:pPr>
            <w:r>
              <w:t xml:space="preserve">5</w:t>
            </w:r>
          </w:p>
        </w:tc>
        <w:tc>
          <w:tcPr>
            <w:tcW w:w="1407" w:type="dxa"/>
            <w:shd w:val="clear" w:color="auto" w:fill="F4F7FB"/>
            <w:vAlign w:val="top"/>
          </w:tcPr>
          <w:p>
            <w:pPr>
              <w:pStyle w:val="TableText"/>
              <w:jc w:val="left"/>
            </w:pPr>
            <w:r>
              <w:t xml:space="preserve">5</w:t>
            </w:r>
          </w:p>
        </w:tc>
      </w:tr>
      <w:tr>
        <w:trPr>
          <w:cantSplit/>
        </w:trPr>
        <w:tc>
          <w:tcPr>
            <w:tcW w:w="4554" w:type="dxa"/>
            <w:vAlign w:val="top"/>
          </w:tcPr>
          <w:p>
            <w:pPr>
              <w:pStyle w:val="TableText"/>
              <w:jc w:val="left"/>
            </w:pPr>
            <w:r>
              <w:t xml:space="preserve">Share of A called by the assistant (A-11)</w:t>
            </w:r>
          </w:p>
        </w:tc>
        <w:tc>
          <w:tcPr>
            <w:tcW w:w="1704" w:type="dxa"/>
            <w:vAlign w:val="top"/>
          </w:tcPr>
          <w:p>
            <w:pPr>
              <w:pStyle w:val="TableText"/>
              <w:jc w:val="left"/>
            </w:pPr>
            <w:r>
              <w:t xml:space="preserve">10%</w:t>
            </w:r>
          </w:p>
        </w:tc>
        <w:tc>
          <w:tcPr>
            <w:tcW w:w="1362" w:type="dxa"/>
            <w:vAlign w:val="top"/>
          </w:tcPr>
          <w:p>
            <w:pPr>
              <w:pStyle w:val="TableText"/>
              <w:jc w:val="left"/>
            </w:pPr>
            <w:r>
              <w:t xml:space="preserve">15%</w:t>
            </w:r>
          </w:p>
        </w:tc>
        <w:tc>
          <w:tcPr>
            <w:tcW w:w="1407" w:type="dxa"/>
            <w:vAlign w:val="top"/>
          </w:tcPr>
          <w:p>
            <w:pPr>
              <w:pStyle w:val="TableText"/>
              <w:jc w:val="left"/>
            </w:pPr>
            <w:r>
              <w:t xml:space="preserve">20%</w:t>
            </w:r>
          </w:p>
        </w:tc>
      </w:tr>
      <w:tr>
        <w:trPr>
          <w:cantSplit/>
        </w:trPr>
        <w:tc>
          <w:tcPr>
            <w:tcW w:w="4554" w:type="dxa"/>
            <w:shd w:val="clear" w:color="auto" w:fill="F4F7FB"/>
            <w:vAlign w:val="top"/>
          </w:tcPr>
          <w:p>
            <w:pPr>
              <w:pStyle w:val="TableText"/>
              <w:jc w:val="left"/>
            </w:pPr>
            <w:r>
              <w:t xml:space="preserve">Telesales calls per year (A-12)</w:t>
            </w:r>
          </w:p>
        </w:tc>
        <w:tc>
          <w:tcPr>
            <w:tcW w:w="1704" w:type="dxa"/>
            <w:shd w:val="clear" w:color="auto" w:fill="F4F7FB"/>
            <w:vAlign w:val="top"/>
          </w:tcPr>
          <w:p>
            <w:pPr>
              <w:pStyle w:val="TableText"/>
              <w:jc w:val="left"/>
            </w:pPr>
            <w:r>
              <w:t xml:space="preserve">25,000</w:t>
            </w:r>
          </w:p>
        </w:tc>
        <w:tc>
          <w:tcPr>
            <w:tcW w:w="1362" w:type="dxa"/>
            <w:shd w:val="clear" w:color="auto" w:fill="F4F7FB"/>
            <w:vAlign w:val="top"/>
          </w:tcPr>
          <w:p>
            <w:pPr>
              <w:pStyle w:val="TableText"/>
              <w:jc w:val="left"/>
            </w:pPr>
            <w:r>
              <w:t xml:space="preserve">50,000</w:t>
            </w:r>
          </w:p>
        </w:tc>
        <w:tc>
          <w:tcPr>
            <w:tcW w:w="1407" w:type="dxa"/>
            <w:shd w:val="clear" w:color="auto" w:fill="F4F7FB"/>
            <w:vAlign w:val="top"/>
          </w:tcPr>
          <w:p>
            <w:pPr>
              <w:pStyle w:val="TableText"/>
              <w:jc w:val="left"/>
            </w:pPr>
            <w:r>
              <w:t xml:space="preserve">80,000</w:t>
            </w:r>
          </w:p>
        </w:tc>
      </w:tr>
    </w:tbl>
    <w:p>
      <w:pPr>
        <w:pStyle w:val="Heading2"/>
      </w:pPr>
      <w:bookmarkStart w:id="44" w:name="_Toc300000040"/>
      <w:r>
        <w:t xml:space="preserve">Outputs, year 1 at full scale</w:t>
      </w:r>
      <w:bookmarkEnd w:id="44"/>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4011"/>
        <w:gridCol w:w="1704"/>
        <w:gridCol w:w="1641"/>
        <w:gridCol w:w="1671"/>
      </w:tblGrid>
      <w:tr>
        <w:trPr>
          <w:cantSplit/>
          <w:tblHeader/>
        </w:trPr>
        <w:tc>
          <w:tcPr>
            <w:tcW w:w="4011" w:type="dxa"/>
            <w:shd w:val="clear" w:color="auto" w:fill="0F4761"/>
            <w:vAlign w:val="center"/>
          </w:tcPr>
          <w:p>
            <w:pPr>
              <w:pStyle w:val="TableHeading"/>
              <w:jc w:val="left"/>
            </w:pPr>
            <w:r>
              <w:rPr>
                <w:color w:val="FFFFFF"/>
              </w:rPr>
              <w:t xml:space="preserve">Output</w:t>
            </w:r>
          </w:p>
        </w:tc>
        <w:tc>
          <w:tcPr>
            <w:tcW w:w="1704" w:type="dxa"/>
            <w:shd w:val="clear" w:color="auto" w:fill="0F4761"/>
            <w:vAlign w:val="center"/>
          </w:tcPr>
          <w:p>
            <w:pPr>
              <w:pStyle w:val="TableHeading"/>
              <w:jc w:val="right"/>
            </w:pPr>
            <w:r>
              <w:rPr>
                <w:color w:val="FFFFFF"/>
              </w:rPr>
              <w:t xml:space="preserve">Conservative</w:t>
            </w:r>
          </w:p>
        </w:tc>
        <w:tc>
          <w:tcPr>
            <w:tcW w:w="1641" w:type="dxa"/>
            <w:shd w:val="clear" w:color="auto" w:fill="0F4761"/>
            <w:vAlign w:val="center"/>
          </w:tcPr>
          <w:p>
            <w:pPr>
              <w:pStyle w:val="TableHeading"/>
              <w:jc w:val="right"/>
            </w:pPr>
            <w:r>
              <w:rPr>
                <w:color w:val="FFFFFF"/>
              </w:rPr>
              <w:t xml:space="preserve">Base</w:t>
            </w:r>
          </w:p>
        </w:tc>
        <w:tc>
          <w:tcPr>
            <w:tcW w:w="1671" w:type="dxa"/>
            <w:shd w:val="clear" w:color="auto" w:fill="0F4761"/>
            <w:vAlign w:val="center"/>
          </w:tcPr>
          <w:p>
            <w:pPr>
              <w:pStyle w:val="TableHeading"/>
              <w:jc w:val="right"/>
            </w:pPr>
            <w:r>
              <w:rPr>
                <w:color w:val="FFFFFF"/>
              </w:rPr>
              <w:t xml:space="preserve">Stretch</w:t>
            </w:r>
          </w:p>
        </w:tc>
      </w:tr>
      <w:tr>
        <w:trPr>
          <w:cantSplit/>
        </w:trPr>
        <w:tc>
          <w:tcPr>
            <w:tcW w:w="4011" w:type="dxa"/>
            <w:vAlign w:val="top"/>
          </w:tcPr>
          <w:p>
            <w:pPr>
              <w:pStyle w:val="TableText"/>
              <w:jc w:val="left"/>
            </w:pPr>
            <w:r>
              <w:t xml:space="preserve">Actionable vehicles</w:t>
            </w:r>
          </w:p>
        </w:tc>
        <w:tc>
          <w:tcPr>
            <w:tcW w:w="1704" w:type="dxa"/>
            <w:vAlign w:val="top"/>
          </w:tcPr>
          <w:p>
            <w:pPr>
              <w:pStyle w:val="TableText"/>
              <w:jc w:val="right"/>
            </w:pPr>
            <w:r>
              <w:t xml:space="preserve">1,785,000</w:t>
            </w:r>
          </w:p>
        </w:tc>
        <w:tc>
          <w:tcPr>
            <w:tcW w:w="1641" w:type="dxa"/>
            <w:vAlign w:val="top"/>
          </w:tcPr>
          <w:p>
            <w:pPr>
              <w:pStyle w:val="TableText"/>
              <w:jc w:val="right"/>
            </w:pPr>
            <w:r>
              <w:t xml:space="preserve">2,550,000</w:t>
            </w:r>
          </w:p>
        </w:tc>
        <w:tc>
          <w:tcPr>
            <w:tcW w:w="1671" w:type="dxa"/>
            <w:vAlign w:val="top"/>
          </w:tcPr>
          <w:p>
            <w:pPr>
              <w:pStyle w:val="TableText"/>
              <w:jc w:val="right"/>
            </w:pPr>
            <w:r>
              <w:t xml:space="preserve">3,315,000</w:t>
            </w:r>
          </w:p>
        </w:tc>
      </w:tr>
      <w:tr>
        <w:trPr>
          <w:cantSplit/>
        </w:trPr>
        <w:tc>
          <w:tcPr>
            <w:tcW w:w="4011" w:type="dxa"/>
            <w:shd w:val="clear" w:color="auto" w:fill="F4F7FB"/>
            <w:vAlign w:val="top"/>
          </w:tcPr>
          <w:p>
            <w:pPr>
              <w:pStyle w:val="TableText"/>
              <w:jc w:val="left"/>
            </w:pPr>
            <w:r>
              <w:t xml:space="preserve">SEG-3 renewals</w:t>
            </w:r>
          </w:p>
        </w:tc>
        <w:tc>
          <w:tcPr>
            <w:tcW w:w="1704" w:type="dxa"/>
            <w:shd w:val="clear" w:color="auto" w:fill="F4F7FB"/>
            <w:vAlign w:val="top"/>
          </w:tcPr>
          <w:p>
            <w:pPr>
              <w:pStyle w:val="TableText"/>
              <w:jc w:val="right"/>
            </w:pPr>
            <w:r>
              <w:t xml:space="preserve">26,775</w:t>
            </w:r>
          </w:p>
        </w:tc>
        <w:tc>
          <w:tcPr>
            <w:tcW w:w="1641" w:type="dxa"/>
            <w:shd w:val="clear" w:color="auto" w:fill="F4F7FB"/>
            <w:vAlign w:val="top"/>
          </w:tcPr>
          <w:p>
            <w:pPr>
              <w:pStyle w:val="TableText"/>
              <w:jc w:val="right"/>
            </w:pPr>
            <w:r>
              <w:t xml:space="preserve">63,750</w:t>
            </w:r>
          </w:p>
        </w:tc>
        <w:tc>
          <w:tcPr>
            <w:tcW w:w="1671" w:type="dxa"/>
            <w:shd w:val="clear" w:color="auto" w:fill="F4F7FB"/>
            <w:vAlign w:val="top"/>
          </w:tcPr>
          <w:p>
            <w:pPr>
              <w:pStyle w:val="TableText"/>
              <w:jc w:val="right"/>
            </w:pPr>
            <w:r>
              <w:t xml:space="preserve">116,025</w:t>
            </w:r>
          </w:p>
        </w:tc>
      </w:tr>
      <w:tr>
        <w:trPr>
          <w:cantSplit/>
        </w:trPr>
        <w:tc>
          <w:tcPr>
            <w:tcW w:w="4011" w:type="dxa"/>
            <w:vAlign w:val="top"/>
          </w:tcPr>
          <w:p>
            <w:pPr>
              <w:pStyle w:val="TableText"/>
              <w:jc w:val="left"/>
            </w:pPr>
            <w:r>
              <w:t xml:space="preserve">SEG-4 conquest</w:t>
            </w:r>
          </w:p>
        </w:tc>
        <w:tc>
          <w:tcPr>
            <w:tcW w:w="1704" w:type="dxa"/>
            <w:vAlign w:val="top"/>
          </w:tcPr>
          <w:p>
            <w:pPr>
              <w:pStyle w:val="TableText"/>
              <w:jc w:val="right"/>
            </w:pPr>
            <w:r>
              <w:t xml:space="preserve">15,172</w:t>
            </w:r>
          </w:p>
        </w:tc>
        <w:tc>
          <w:tcPr>
            <w:tcW w:w="1641" w:type="dxa"/>
            <w:vAlign w:val="top"/>
          </w:tcPr>
          <w:p>
            <w:pPr>
              <w:pStyle w:val="TableText"/>
              <w:jc w:val="right"/>
            </w:pPr>
            <w:r>
              <w:t xml:space="preserve">43,350</w:t>
            </w:r>
          </w:p>
        </w:tc>
        <w:tc>
          <w:tcPr>
            <w:tcW w:w="1671" w:type="dxa"/>
            <w:vAlign w:val="top"/>
          </w:tcPr>
          <w:p>
            <w:pPr>
              <w:pStyle w:val="TableText"/>
              <w:jc w:val="right"/>
            </w:pPr>
            <w:r>
              <w:t xml:space="preserve">84,532</w:t>
            </w:r>
          </w:p>
        </w:tc>
      </w:tr>
      <w:tr>
        <w:trPr>
          <w:cantSplit/>
        </w:trPr>
        <w:tc>
          <w:tcPr>
            <w:tcW w:w="4011" w:type="dxa"/>
            <w:shd w:val="clear" w:color="auto" w:fill="F4F7FB"/>
            <w:vAlign w:val="top"/>
          </w:tcPr>
          <w:p>
            <w:pPr>
              <w:pStyle w:val="TableText"/>
              <w:jc w:val="left"/>
            </w:pPr>
            <w:r>
              <w:t xml:space="preserve">SEG-1 lapsed recovered</w:t>
            </w:r>
          </w:p>
        </w:tc>
        <w:tc>
          <w:tcPr>
            <w:tcW w:w="1704" w:type="dxa"/>
            <w:shd w:val="clear" w:color="auto" w:fill="F4F7FB"/>
            <w:vAlign w:val="top"/>
          </w:tcPr>
          <w:p>
            <w:pPr>
              <w:pStyle w:val="TableText"/>
              <w:jc w:val="right"/>
            </w:pPr>
            <w:r>
              <w:t xml:space="preserve">2,678</w:t>
            </w:r>
          </w:p>
        </w:tc>
        <w:tc>
          <w:tcPr>
            <w:tcW w:w="1641" w:type="dxa"/>
            <w:shd w:val="clear" w:color="auto" w:fill="F4F7FB"/>
            <w:vAlign w:val="top"/>
          </w:tcPr>
          <w:p>
            <w:pPr>
              <w:pStyle w:val="TableText"/>
              <w:jc w:val="right"/>
            </w:pPr>
            <w:r>
              <w:t xml:space="preserve">7,650</w:t>
            </w:r>
          </w:p>
        </w:tc>
        <w:tc>
          <w:tcPr>
            <w:tcW w:w="1671" w:type="dxa"/>
            <w:shd w:val="clear" w:color="auto" w:fill="F4F7FB"/>
            <w:vAlign w:val="top"/>
          </w:tcPr>
          <w:p>
            <w:pPr>
              <w:pStyle w:val="TableText"/>
              <w:jc w:val="right"/>
            </w:pPr>
            <w:r>
              <w:t xml:space="preserve">16,575</w:t>
            </w:r>
          </w:p>
        </w:tc>
      </w:tr>
      <w:tr>
        <w:trPr>
          <w:cantSplit/>
        </w:trPr>
        <w:tc>
          <w:tcPr>
            <w:tcW w:w="4011" w:type="dxa"/>
            <w:vAlign w:val="top"/>
          </w:tcPr>
          <w:p>
            <w:pPr>
              <w:pStyle w:val="TableText"/>
              <w:jc w:val="left"/>
            </w:pPr>
            <w:r>
              <w:t xml:space="preserve">SEG-2 new vehicles</w:t>
            </w:r>
          </w:p>
        </w:tc>
        <w:tc>
          <w:tcPr>
            <w:tcW w:w="1704" w:type="dxa"/>
            <w:vAlign w:val="top"/>
          </w:tcPr>
          <w:p>
            <w:pPr>
              <w:pStyle w:val="TableText"/>
              <w:jc w:val="right"/>
            </w:pPr>
            <w:r>
              <w:t xml:space="preserve">5,000</w:t>
            </w:r>
          </w:p>
        </w:tc>
        <w:tc>
          <w:tcPr>
            <w:tcW w:w="1641" w:type="dxa"/>
            <w:vAlign w:val="top"/>
          </w:tcPr>
          <w:p>
            <w:pPr>
              <w:pStyle w:val="TableText"/>
              <w:jc w:val="right"/>
            </w:pPr>
            <w:r>
              <w:t xml:space="preserve">10,000</w:t>
            </w:r>
          </w:p>
        </w:tc>
        <w:tc>
          <w:tcPr>
            <w:tcW w:w="1671" w:type="dxa"/>
            <w:vAlign w:val="top"/>
          </w:tcPr>
          <w:p>
            <w:pPr>
              <w:pStyle w:val="TableText"/>
              <w:jc w:val="right"/>
            </w:pPr>
            <w:r>
              <w:t xml:space="preserve">15,000</w:t>
            </w:r>
          </w:p>
        </w:tc>
      </w:tr>
      <w:tr>
        <w:trPr>
          <w:cantSplit/>
        </w:trPr>
        <w:tc>
          <w:tcPr>
            <w:tcW w:w="4011" w:type="dxa"/>
            <w:shd w:val="clear" w:color="auto" w:fill="F4F7FB"/>
            <w:vAlign w:val="top"/>
          </w:tcPr>
          <w:p>
            <w:pPr>
              <w:pStyle w:val="TableText"/>
              <w:jc w:val="left"/>
            </w:pPr>
            <w:r>
              <w:t xml:space="preserve">SEG-7 partner API</w:t>
            </w:r>
          </w:p>
        </w:tc>
        <w:tc>
          <w:tcPr>
            <w:tcW w:w="1704" w:type="dxa"/>
            <w:shd w:val="clear" w:color="auto" w:fill="F4F7FB"/>
            <w:vAlign w:val="top"/>
          </w:tcPr>
          <w:p>
            <w:pPr>
              <w:pStyle w:val="TableText"/>
              <w:jc w:val="right"/>
            </w:pPr>
            <w:r>
              <w:t xml:space="preserve">5,000</w:t>
            </w:r>
          </w:p>
        </w:tc>
        <w:tc>
          <w:tcPr>
            <w:tcW w:w="1641" w:type="dxa"/>
            <w:shd w:val="clear" w:color="auto" w:fill="F4F7FB"/>
            <w:vAlign w:val="top"/>
          </w:tcPr>
          <w:p>
            <w:pPr>
              <w:pStyle w:val="TableText"/>
              <w:jc w:val="right"/>
            </w:pPr>
            <w:r>
              <w:t xml:space="preserve">15,000</w:t>
            </w:r>
          </w:p>
        </w:tc>
        <w:tc>
          <w:tcPr>
            <w:tcW w:w="1671" w:type="dxa"/>
            <w:shd w:val="clear" w:color="auto" w:fill="F4F7FB"/>
            <w:vAlign w:val="top"/>
          </w:tcPr>
          <w:p>
            <w:pPr>
              <w:pStyle w:val="TableText"/>
              <w:jc w:val="right"/>
            </w:pPr>
            <w:r>
              <w:t xml:space="preserve">30,000</w:t>
            </w:r>
          </w:p>
        </w:tc>
      </w:tr>
      <w:tr>
        <w:trPr>
          <w:cantSplit/>
        </w:trPr>
        <w:tc>
          <w:tcPr>
            <w:tcW w:w="4011" w:type="dxa"/>
            <w:vAlign w:val="top"/>
          </w:tcPr>
          <w:p>
            <w:pPr>
              <w:pStyle w:val="TableText"/>
              <w:jc w:val="left"/>
            </w:pPr>
            <w:r>
              <w:t xml:space="preserve">Total TNDS policies</w:t>
            </w:r>
          </w:p>
        </w:tc>
        <w:tc>
          <w:tcPr>
            <w:tcW w:w="1704" w:type="dxa"/>
            <w:vAlign w:val="top"/>
          </w:tcPr>
          <w:p>
            <w:pPr>
              <w:pStyle w:val="TableText"/>
              <w:jc w:val="right"/>
            </w:pPr>
            <w:r>
              <w:t xml:space="preserve">54,625</w:t>
            </w:r>
          </w:p>
        </w:tc>
        <w:tc>
          <w:tcPr>
            <w:tcW w:w="1641" w:type="dxa"/>
            <w:vAlign w:val="top"/>
          </w:tcPr>
          <w:p>
            <w:pPr>
              <w:pStyle w:val="TableText"/>
              <w:jc w:val="right"/>
            </w:pPr>
            <w:r>
              <w:t xml:space="preserve">139,750</w:t>
            </w:r>
          </w:p>
        </w:tc>
        <w:tc>
          <w:tcPr>
            <w:tcW w:w="1671" w:type="dxa"/>
            <w:vAlign w:val="top"/>
          </w:tcPr>
          <w:p>
            <w:pPr>
              <w:pStyle w:val="TableText"/>
              <w:jc w:val="right"/>
            </w:pPr>
            <w:r>
              <w:t xml:space="preserve">262,132</w:t>
            </w:r>
          </w:p>
        </w:tc>
      </w:tr>
      <w:tr>
        <w:trPr>
          <w:cantSplit/>
        </w:trPr>
        <w:tc>
          <w:tcPr>
            <w:tcW w:w="4011" w:type="dxa"/>
            <w:shd w:val="clear" w:color="auto" w:fill="F4F7FB"/>
            <w:vAlign w:val="top"/>
          </w:tcPr>
          <w:p>
            <w:pPr>
              <w:pStyle w:val="TableText"/>
              <w:jc w:val="left"/>
            </w:pPr>
            <w:r>
              <w:t xml:space="preserve">TNDS net premium (VND)</w:t>
            </w:r>
          </w:p>
        </w:tc>
        <w:tc>
          <w:tcPr>
            <w:tcW w:w="1704" w:type="dxa"/>
            <w:shd w:val="clear" w:color="auto" w:fill="F4F7FB"/>
            <w:vAlign w:val="top"/>
          </w:tcPr>
          <w:p>
            <w:pPr>
              <w:pStyle w:val="TableText"/>
              <w:jc w:val="right"/>
            </w:pPr>
            <w:r>
              <w:t xml:space="preserve">31.0 bn</w:t>
            </w:r>
          </w:p>
        </w:tc>
        <w:tc>
          <w:tcPr>
            <w:tcW w:w="1641" w:type="dxa"/>
            <w:shd w:val="clear" w:color="auto" w:fill="F4F7FB"/>
            <w:vAlign w:val="top"/>
          </w:tcPr>
          <w:p>
            <w:pPr>
              <w:pStyle w:val="TableText"/>
              <w:jc w:val="right"/>
            </w:pPr>
            <w:r>
              <w:t xml:space="preserve">79.4 bn</w:t>
            </w:r>
          </w:p>
        </w:tc>
        <w:tc>
          <w:tcPr>
            <w:tcW w:w="1671" w:type="dxa"/>
            <w:shd w:val="clear" w:color="auto" w:fill="F4F7FB"/>
            <w:vAlign w:val="top"/>
          </w:tcPr>
          <w:p>
            <w:pPr>
              <w:pStyle w:val="TableText"/>
              <w:jc w:val="right"/>
            </w:pPr>
            <w:r>
              <w:t xml:space="preserve">148.9 bn</w:t>
            </w:r>
          </w:p>
        </w:tc>
      </w:tr>
      <w:tr>
        <w:trPr>
          <w:cantSplit/>
        </w:trPr>
        <w:tc>
          <w:tcPr>
            <w:tcW w:w="4011" w:type="dxa"/>
            <w:vAlign w:val="top"/>
          </w:tcPr>
          <w:p>
            <w:pPr>
              <w:pStyle w:val="TableText"/>
              <w:jc w:val="left"/>
            </w:pPr>
            <w:r>
              <w:t xml:space="preserve">TNDS net premium (USD)</w:t>
            </w:r>
          </w:p>
        </w:tc>
        <w:tc>
          <w:tcPr>
            <w:tcW w:w="1704" w:type="dxa"/>
            <w:vAlign w:val="top"/>
          </w:tcPr>
          <w:p>
            <w:pPr>
              <w:pStyle w:val="TableText"/>
              <w:jc w:val="right"/>
            </w:pPr>
            <w:r>
              <w:t xml:space="preserve">1.19 M</w:t>
            </w:r>
          </w:p>
        </w:tc>
        <w:tc>
          <w:tcPr>
            <w:tcW w:w="1641" w:type="dxa"/>
            <w:vAlign w:val="top"/>
          </w:tcPr>
          <w:p>
            <w:pPr>
              <w:pStyle w:val="TableText"/>
              <w:jc w:val="right"/>
            </w:pPr>
            <w:r>
              <w:t xml:space="preserve">3.05 M</w:t>
            </w:r>
          </w:p>
        </w:tc>
        <w:tc>
          <w:tcPr>
            <w:tcW w:w="1671" w:type="dxa"/>
            <w:vAlign w:val="top"/>
          </w:tcPr>
          <w:p>
            <w:pPr>
              <w:pStyle w:val="TableText"/>
              <w:jc w:val="right"/>
            </w:pPr>
            <w:r>
              <w:t xml:space="preserve">5.73 M</w:t>
            </w:r>
          </w:p>
        </w:tc>
      </w:tr>
    </w:tbl>
    <w:p>
      <w:pPr>
        <w:spacing w:before="160"/>
      </w:pP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4011"/>
        <w:gridCol w:w="1704"/>
        <w:gridCol w:w="1641"/>
        <w:gridCol w:w="1671"/>
      </w:tblGrid>
      <w:tr>
        <w:trPr>
          <w:cantSplit/>
          <w:tblHeader/>
        </w:trPr>
        <w:tc>
          <w:tcPr>
            <w:tcW w:w="4011" w:type="dxa"/>
            <w:shd w:val="clear" w:color="auto" w:fill="0F4761"/>
            <w:vAlign w:val="center"/>
          </w:tcPr>
          <w:p>
            <w:pPr>
              <w:pStyle w:val="TableHeading"/>
              <w:jc w:val="left"/>
            </w:pPr>
            <w:r>
              <w:rPr>
                <w:color w:val="FFFFFF"/>
              </w:rPr>
              <w:t xml:space="preserve">Output</w:t>
            </w:r>
          </w:p>
        </w:tc>
        <w:tc>
          <w:tcPr>
            <w:tcW w:w="1704" w:type="dxa"/>
            <w:shd w:val="clear" w:color="auto" w:fill="0F4761"/>
            <w:vAlign w:val="center"/>
          </w:tcPr>
          <w:p>
            <w:pPr>
              <w:pStyle w:val="TableHeading"/>
              <w:jc w:val="right"/>
            </w:pPr>
            <w:r>
              <w:rPr>
                <w:color w:val="FFFFFF"/>
              </w:rPr>
              <w:t xml:space="preserve">Conservative</w:t>
            </w:r>
          </w:p>
        </w:tc>
        <w:tc>
          <w:tcPr>
            <w:tcW w:w="1641" w:type="dxa"/>
            <w:shd w:val="clear" w:color="auto" w:fill="0F4761"/>
            <w:vAlign w:val="center"/>
          </w:tcPr>
          <w:p>
            <w:pPr>
              <w:pStyle w:val="TableHeading"/>
              <w:jc w:val="right"/>
            </w:pPr>
            <w:r>
              <w:rPr>
                <w:color w:val="FFFFFF"/>
              </w:rPr>
              <w:t xml:space="preserve">Base</w:t>
            </w:r>
          </w:p>
        </w:tc>
        <w:tc>
          <w:tcPr>
            <w:tcW w:w="1671" w:type="dxa"/>
            <w:shd w:val="clear" w:color="auto" w:fill="0F4761"/>
            <w:vAlign w:val="center"/>
          </w:tcPr>
          <w:p>
            <w:pPr>
              <w:pStyle w:val="TableHeading"/>
              <w:jc w:val="right"/>
            </w:pPr>
            <w:r>
              <w:rPr>
                <w:color w:val="FFFFFF"/>
              </w:rPr>
              <w:t xml:space="preserve">Stretch</w:t>
            </w:r>
          </w:p>
        </w:tc>
      </w:tr>
      <w:tr>
        <w:trPr>
          <w:cantSplit/>
        </w:trPr>
        <w:tc>
          <w:tcPr>
            <w:tcW w:w="4011" w:type="dxa"/>
            <w:vAlign w:val="top"/>
          </w:tcPr>
          <w:p>
            <w:pPr>
              <w:pStyle w:val="TableText"/>
              <w:jc w:val="left"/>
            </w:pPr>
            <w:r>
              <w:t xml:space="preserve">Personal accident policies / premium (VND)</w:t>
            </w:r>
          </w:p>
        </w:tc>
        <w:tc>
          <w:tcPr>
            <w:tcW w:w="1704" w:type="dxa"/>
            <w:vAlign w:val="top"/>
          </w:tcPr>
          <w:p>
            <w:pPr>
              <w:pStyle w:val="TableText"/>
              <w:jc w:val="right"/>
            </w:pPr>
            <w:r>
              <w:t xml:space="preserve">1,985 / 0.20 bn</w:t>
            </w:r>
          </w:p>
        </w:tc>
        <w:tc>
          <w:tcPr>
            <w:tcW w:w="1641" w:type="dxa"/>
            <w:vAlign w:val="top"/>
          </w:tcPr>
          <w:p>
            <w:pPr>
              <w:pStyle w:val="TableText"/>
              <w:jc w:val="right"/>
            </w:pPr>
            <w:r>
              <w:t xml:space="preserve">9,980 / 1.00 bn</w:t>
            </w:r>
          </w:p>
        </w:tc>
        <w:tc>
          <w:tcPr>
            <w:tcW w:w="1671" w:type="dxa"/>
            <w:vAlign w:val="top"/>
          </w:tcPr>
          <w:p>
            <w:pPr>
              <w:pStyle w:val="TableText"/>
              <w:jc w:val="right"/>
            </w:pPr>
            <w:r>
              <w:t xml:space="preserve">27,856 / 2.79 bn</w:t>
            </w:r>
          </w:p>
        </w:tc>
      </w:tr>
      <w:tr>
        <w:trPr>
          <w:cantSplit/>
        </w:trPr>
        <w:tc>
          <w:tcPr>
            <w:tcW w:w="4011" w:type="dxa"/>
            <w:shd w:val="clear" w:color="auto" w:fill="F4F7FB"/>
            <w:vAlign w:val="top"/>
          </w:tcPr>
          <w:p>
            <w:pPr>
              <w:pStyle w:val="TableText"/>
              <w:jc w:val="left"/>
            </w:pPr>
            <w:r>
              <w:t xml:space="preserve">Physical damage policies / premium (VND)</w:t>
            </w:r>
          </w:p>
        </w:tc>
        <w:tc>
          <w:tcPr>
            <w:tcW w:w="1704" w:type="dxa"/>
            <w:shd w:val="clear" w:color="auto" w:fill="F4F7FB"/>
            <w:vAlign w:val="top"/>
          </w:tcPr>
          <w:p>
            <w:pPr>
              <w:pStyle w:val="TableText"/>
              <w:jc w:val="right"/>
            </w:pPr>
            <w:r>
              <w:t xml:space="preserve">124 / 1.17 bn</w:t>
            </w:r>
          </w:p>
        </w:tc>
        <w:tc>
          <w:tcPr>
            <w:tcW w:w="1641" w:type="dxa"/>
            <w:shd w:val="clear" w:color="auto" w:fill="F4F7FB"/>
            <w:vAlign w:val="top"/>
          </w:tcPr>
          <w:p>
            <w:pPr>
              <w:pStyle w:val="TableText"/>
              <w:jc w:val="right"/>
            </w:pPr>
            <w:r>
              <w:t xml:space="preserve">624 / 5.89 bn</w:t>
            </w:r>
          </w:p>
        </w:tc>
        <w:tc>
          <w:tcPr>
            <w:tcW w:w="1671" w:type="dxa"/>
            <w:shd w:val="clear" w:color="auto" w:fill="F4F7FB"/>
            <w:vAlign w:val="top"/>
          </w:tcPr>
          <w:p>
            <w:pPr>
              <w:pStyle w:val="TableText"/>
              <w:jc w:val="right"/>
            </w:pPr>
            <w:r>
              <w:t xml:space="preserve">2,321 / 21.94 bn</w:t>
            </w:r>
          </w:p>
        </w:tc>
      </w:tr>
      <w:tr>
        <w:trPr>
          <w:cantSplit/>
        </w:trPr>
        <w:tc>
          <w:tcPr>
            <w:tcW w:w="4011" w:type="dxa"/>
            <w:vAlign w:val="top"/>
          </w:tcPr>
          <w:p>
            <w:pPr>
              <w:pStyle w:val="TableText"/>
              <w:jc w:val="left"/>
            </w:pPr>
            <w:r>
              <w:t xml:space="preserve">Total premium including cross-sell (VND)</w:t>
            </w:r>
          </w:p>
        </w:tc>
        <w:tc>
          <w:tcPr>
            <w:tcW w:w="1704" w:type="dxa"/>
            <w:vAlign w:val="top"/>
          </w:tcPr>
          <w:p>
            <w:pPr>
              <w:pStyle w:val="TableText"/>
              <w:jc w:val="right"/>
            </w:pPr>
            <w:r>
              <w:t xml:space="preserve">32.4 bn</w:t>
            </w:r>
          </w:p>
        </w:tc>
        <w:tc>
          <w:tcPr>
            <w:tcW w:w="1641" w:type="dxa"/>
            <w:vAlign w:val="top"/>
          </w:tcPr>
          <w:p>
            <w:pPr>
              <w:pStyle w:val="TableText"/>
              <w:jc w:val="right"/>
            </w:pPr>
            <w:r>
              <w:t xml:space="preserve">86.3 bn</w:t>
            </w:r>
          </w:p>
        </w:tc>
        <w:tc>
          <w:tcPr>
            <w:tcW w:w="1671" w:type="dxa"/>
            <w:vAlign w:val="top"/>
          </w:tcPr>
          <w:p>
            <w:pPr>
              <w:pStyle w:val="TableText"/>
              <w:jc w:val="right"/>
            </w:pPr>
            <w:r>
              <w:t xml:space="preserve">173.6 bn</w:t>
            </w:r>
          </w:p>
        </w:tc>
      </w:tr>
      <w:tr>
        <w:trPr>
          <w:cantSplit/>
        </w:trPr>
        <w:tc>
          <w:tcPr>
            <w:tcW w:w="4011" w:type="dxa"/>
            <w:shd w:val="clear" w:color="auto" w:fill="F4F7FB"/>
            <w:vAlign w:val="top"/>
          </w:tcPr>
          <w:p>
            <w:pPr>
              <w:pStyle w:val="TableText"/>
              <w:jc w:val="left"/>
            </w:pPr>
            <w:r>
              <w:t xml:space="preserve">Messaging cost (VND)</w:t>
            </w:r>
          </w:p>
        </w:tc>
        <w:tc>
          <w:tcPr>
            <w:tcW w:w="1704" w:type="dxa"/>
            <w:shd w:val="clear" w:color="auto" w:fill="F4F7FB"/>
            <w:vAlign w:val="top"/>
          </w:tcPr>
          <w:p>
            <w:pPr>
              <w:pStyle w:val="TableText"/>
              <w:jc w:val="right"/>
            </w:pPr>
            <w:r>
              <w:t xml:space="preserve">1.63 bn</w:t>
            </w:r>
          </w:p>
        </w:tc>
        <w:tc>
          <w:tcPr>
            <w:tcW w:w="1641" w:type="dxa"/>
            <w:shd w:val="clear" w:color="auto" w:fill="F4F7FB"/>
            <w:vAlign w:val="top"/>
          </w:tcPr>
          <w:p>
            <w:pPr>
              <w:pStyle w:val="TableText"/>
              <w:jc w:val="right"/>
            </w:pPr>
            <w:r>
              <w:t xml:space="preserve">2.24 bn</w:t>
            </w:r>
          </w:p>
        </w:tc>
        <w:tc>
          <w:tcPr>
            <w:tcW w:w="1671" w:type="dxa"/>
            <w:shd w:val="clear" w:color="auto" w:fill="F4F7FB"/>
            <w:vAlign w:val="top"/>
          </w:tcPr>
          <w:p>
            <w:pPr>
              <w:pStyle w:val="TableText"/>
              <w:jc w:val="right"/>
            </w:pPr>
            <w:r>
              <w:t xml:space="preserve">2.85 bn</w:t>
            </w:r>
          </w:p>
        </w:tc>
      </w:tr>
      <w:tr>
        <w:trPr>
          <w:cantSplit/>
        </w:trPr>
        <w:tc>
          <w:tcPr>
            <w:tcW w:w="4011" w:type="dxa"/>
            <w:vAlign w:val="top"/>
          </w:tcPr>
          <w:p>
            <w:pPr>
              <w:pStyle w:val="TableText"/>
              <w:jc w:val="left"/>
            </w:pPr>
            <w:r>
              <w:t xml:space="preserve">Assistant calls / cost (VND)</w:t>
            </w:r>
          </w:p>
        </w:tc>
        <w:tc>
          <w:tcPr>
            <w:tcW w:w="1704" w:type="dxa"/>
            <w:vAlign w:val="top"/>
          </w:tcPr>
          <w:p>
            <w:pPr>
              <w:pStyle w:val="TableText"/>
              <w:jc w:val="right"/>
            </w:pPr>
            <w:r>
              <w:t xml:space="preserve">232,050 / 0.56 bn</w:t>
            </w:r>
          </w:p>
        </w:tc>
        <w:tc>
          <w:tcPr>
            <w:tcW w:w="1641" w:type="dxa"/>
            <w:vAlign w:val="top"/>
          </w:tcPr>
          <w:p>
            <w:pPr>
              <w:pStyle w:val="TableText"/>
              <w:jc w:val="right"/>
            </w:pPr>
            <w:r>
              <w:t xml:space="preserve">497,250 / 1.19 bn</w:t>
            </w:r>
          </w:p>
        </w:tc>
        <w:tc>
          <w:tcPr>
            <w:tcW w:w="1671" w:type="dxa"/>
            <w:vAlign w:val="top"/>
          </w:tcPr>
          <w:p>
            <w:pPr>
              <w:pStyle w:val="TableText"/>
              <w:jc w:val="right"/>
            </w:pPr>
            <w:r>
              <w:t xml:space="preserve">861,900 / 2.07 bn</w:t>
            </w:r>
          </w:p>
        </w:tc>
      </w:tr>
      <w:tr>
        <w:trPr>
          <w:cantSplit/>
        </w:trPr>
        <w:tc>
          <w:tcPr>
            <w:tcW w:w="4011" w:type="dxa"/>
            <w:shd w:val="clear" w:color="auto" w:fill="F4F7FB"/>
            <w:vAlign w:val="top"/>
          </w:tcPr>
          <w:p>
            <w:pPr>
              <w:pStyle w:val="TableText"/>
              <w:jc w:val="left"/>
            </w:pPr>
            <w:r>
              <w:t xml:space="preserve">Same calls by telesales (VND)</w:t>
            </w:r>
          </w:p>
        </w:tc>
        <w:tc>
          <w:tcPr>
            <w:tcW w:w="1704" w:type="dxa"/>
            <w:shd w:val="clear" w:color="auto" w:fill="F4F7FB"/>
            <w:vAlign w:val="top"/>
          </w:tcPr>
          <w:p>
            <w:pPr>
              <w:pStyle w:val="TableText"/>
              <w:jc w:val="right"/>
            </w:pPr>
            <w:r>
              <w:t xml:space="preserve">6.27 bn</w:t>
            </w:r>
          </w:p>
        </w:tc>
        <w:tc>
          <w:tcPr>
            <w:tcW w:w="1641" w:type="dxa"/>
            <w:shd w:val="clear" w:color="auto" w:fill="F4F7FB"/>
            <w:vAlign w:val="top"/>
          </w:tcPr>
          <w:p>
            <w:pPr>
              <w:pStyle w:val="TableText"/>
              <w:jc w:val="right"/>
            </w:pPr>
            <w:r>
              <w:t xml:space="preserve">13.43 bn</w:t>
            </w:r>
          </w:p>
        </w:tc>
        <w:tc>
          <w:tcPr>
            <w:tcW w:w="1671" w:type="dxa"/>
            <w:shd w:val="clear" w:color="auto" w:fill="F4F7FB"/>
            <w:vAlign w:val="top"/>
          </w:tcPr>
          <w:p>
            <w:pPr>
              <w:pStyle w:val="TableText"/>
              <w:jc w:val="right"/>
            </w:pPr>
            <w:r>
              <w:t xml:space="preserve">23.27 bn</w:t>
            </w:r>
          </w:p>
        </w:tc>
      </w:tr>
      <w:tr>
        <w:trPr>
          <w:cantSplit/>
        </w:trPr>
        <w:tc>
          <w:tcPr>
            <w:tcW w:w="4011" w:type="dxa"/>
            <w:vAlign w:val="top"/>
          </w:tcPr>
          <w:p>
            <w:pPr>
              <w:pStyle w:val="TableText"/>
              <w:jc w:val="left"/>
            </w:pPr>
            <w:r>
              <w:t xml:space="preserve">Telesales cost (VND)</w:t>
            </w:r>
          </w:p>
        </w:tc>
        <w:tc>
          <w:tcPr>
            <w:tcW w:w="1704" w:type="dxa"/>
            <w:vAlign w:val="top"/>
          </w:tcPr>
          <w:p>
            <w:pPr>
              <w:pStyle w:val="TableText"/>
              <w:jc w:val="right"/>
            </w:pPr>
            <w:r>
              <w:t xml:space="preserve">0.68 bn</w:t>
            </w:r>
          </w:p>
        </w:tc>
        <w:tc>
          <w:tcPr>
            <w:tcW w:w="1641" w:type="dxa"/>
            <w:vAlign w:val="top"/>
          </w:tcPr>
          <w:p>
            <w:pPr>
              <w:pStyle w:val="TableText"/>
              <w:jc w:val="right"/>
            </w:pPr>
            <w:r>
              <w:t xml:space="preserve">1.35 bn</w:t>
            </w:r>
          </w:p>
        </w:tc>
        <w:tc>
          <w:tcPr>
            <w:tcW w:w="1671" w:type="dxa"/>
            <w:vAlign w:val="top"/>
          </w:tcPr>
          <w:p>
            <w:pPr>
              <w:pStyle w:val="TableText"/>
              <w:jc w:val="right"/>
            </w:pPr>
            <w:r>
              <w:t xml:space="preserve">2.16 bn</w:t>
            </w:r>
          </w:p>
        </w:tc>
      </w:tr>
      <w:tr>
        <w:trPr>
          <w:cantSplit/>
        </w:trPr>
        <w:tc>
          <w:tcPr>
            <w:tcW w:w="4011" w:type="dxa"/>
            <w:shd w:val="clear" w:color="auto" w:fill="F4F7FB"/>
            <w:vAlign w:val="top"/>
          </w:tcPr>
          <w:p>
            <w:pPr>
              <w:pStyle w:val="TableText"/>
              <w:jc w:val="left"/>
            </w:pPr>
            <w:r>
              <w:t xml:space="preserve">Partner commission (VND)</w:t>
            </w:r>
          </w:p>
        </w:tc>
        <w:tc>
          <w:tcPr>
            <w:tcW w:w="1704" w:type="dxa"/>
            <w:shd w:val="clear" w:color="auto" w:fill="F4F7FB"/>
            <w:vAlign w:val="top"/>
          </w:tcPr>
          <w:p>
            <w:pPr>
              <w:pStyle w:val="TableText"/>
              <w:jc w:val="right"/>
            </w:pPr>
            <w:r>
              <w:t xml:space="preserve">0.14 bn</w:t>
            </w:r>
          </w:p>
        </w:tc>
        <w:tc>
          <w:tcPr>
            <w:tcW w:w="1641" w:type="dxa"/>
            <w:shd w:val="clear" w:color="auto" w:fill="F4F7FB"/>
            <w:vAlign w:val="top"/>
          </w:tcPr>
          <w:p>
            <w:pPr>
              <w:pStyle w:val="TableText"/>
              <w:jc w:val="right"/>
            </w:pPr>
            <w:r>
              <w:t xml:space="preserve">0.43 bn</w:t>
            </w:r>
          </w:p>
        </w:tc>
        <w:tc>
          <w:tcPr>
            <w:tcW w:w="1671" w:type="dxa"/>
            <w:shd w:val="clear" w:color="auto" w:fill="F4F7FB"/>
            <w:vAlign w:val="top"/>
          </w:tcPr>
          <w:p>
            <w:pPr>
              <w:pStyle w:val="TableText"/>
              <w:jc w:val="right"/>
            </w:pPr>
            <w:r>
              <w:t xml:space="preserve">0.85 bn</w:t>
            </w:r>
          </w:p>
        </w:tc>
      </w:tr>
      <w:tr>
        <w:trPr>
          <w:cantSplit/>
        </w:trPr>
        <w:tc>
          <w:tcPr>
            <w:tcW w:w="4011" w:type="dxa"/>
            <w:vAlign w:val="top"/>
          </w:tcPr>
          <w:p>
            <w:pPr>
              <w:pStyle w:val="TableText"/>
              <w:jc w:val="left"/>
            </w:pPr>
            <w:r>
              <w:t xml:space="preserve">Variable acquisition cost (VND)</w:t>
            </w:r>
          </w:p>
        </w:tc>
        <w:tc>
          <w:tcPr>
            <w:tcW w:w="1704" w:type="dxa"/>
            <w:vAlign w:val="top"/>
          </w:tcPr>
          <w:p>
            <w:pPr>
              <w:pStyle w:val="TableText"/>
              <w:jc w:val="right"/>
            </w:pPr>
            <w:r>
              <w:t xml:space="preserve">3.00 bn</w:t>
            </w:r>
          </w:p>
        </w:tc>
        <w:tc>
          <w:tcPr>
            <w:tcW w:w="1641" w:type="dxa"/>
            <w:vAlign w:val="top"/>
          </w:tcPr>
          <w:p>
            <w:pPr>
              <w:pStyle w:val="TableText"/>
              <w:jc w:val="right"/>
            </w:pPr>
            <w:r>
              <w:t xml:space="preserve">5.21 bn</w:t>
            </w:r>
          </w:p>
        </w:tc>
        <w:tc>
          <w:tcPr>
            <w:tcW w:w="1671" w:type="dxa"/>
            <w:vAlign w:val="top"/>
          </w:tcPr>
          <w:p>
            <w:pPr>
              <w:pStyle w:val="TableText"/>
              <w:jc w:val="right"/>
            </w:pPr>
            <w:r>
              <w:t xml:space="preserve">7.93 bn</w:t>
            </w:r>
          </w:p>
        </w:tc>
      </w:tr>
      <w:tr>
        <w:trPr>
          <w:cantSplit/>
        </w:trPr>
        <w:tc>
          <w:tcPr>
            <w:tcW w:w="4011" w:type="dxa"/>
            <w:shd w:val="clear" w:color="auto" w:fill="F4F7FB"/>
            <w:vAlign w:val="top"/>
          </w:tcPr>
          <w:p>
            <w:pPr>
              <w:pStyle w:val="TableText"/>
              <w:jc w:val="left"/>
            </w:pPr>
            <w:r>
              <w:t xml:space="preserve">Per policy (VND)</w:t>
            </w:r>
          </w:p>
        </w:tc>
        <w:tc>
          <w:tcPr>
            <w:tcW w:w="1704" w:type="dxa"/>
            <w:shd w:val="clear" w:color="auto" w:fill="F4F7FB"/>
            <w:vAlign w:val="top"/>
          </w:tcPr>
          <w:p>
            <w:pPr>
              <w:pStyle w:val="TableText"/>
              <w:jc w:val="right"/>
            </w:pPr>
            <w:r>
              <w:t xml:space="preserve">54,955</w:t>
            </w:r>
          </w:p>
        </w:tc>
        <w:tc>
          <w:tcPr>
            <w:tcW w:w="1641" w:type="dxa"/>
            <w:shd w:val="clear" w:color="auto" w:fill="F4F7FB"/>
            <w:vAlign w:val="top"/>
          </w:tcPr>
          <w:p>
            <w:pPr>
              <w:pStyle w:val="TableText"/>
              <w:jc w:val="right"/>
            </w:pPr>
            <w:r>
              <w:t xml:space="preserve">37,276</w:t>
            </w:r>
          </w:p>
        </w:tc>
        <w:tc>
          <w:tcPr>
            <w:tcW w:w="1671" w:type="dxa"/>
            <w:shd w:val="clear" w:color="auto" w:fill="F4F7FB"/>
            <w:vAlign w:val="top"/>
          </w:tcPr>
          <w:p>
            <w:pPr>
              <w:pStyle w:val="TableText"/>
              <w:jc w:val="right"/>
            </w:pPr>
            <w:r>
              <w:t xml:space="preserve">30,261</w:t>
            </w:r>
          </w:p>
        </w:tc>
      </w:tr>
      <w:tr>
        <w:trPr>
          <w:cantSplit/>
        </w:trPr>
        <w:tc>
          <w:tcPr>
            <w:tcW w:w="4011" w:type="dxa"/>
            <w:vAlign w:val="top"/>
          </w:tcPr>
          <w:p>
            <w:pPr>
              <w:pStyle w:val="TableText"/>
              <w:jc w:val="left"/>
            </w:pPr>
            <w:r>
              <w:t xml:space="preserve">As a share of TNDS net premium</w:t>
            </w:r>
          </w:p>
        </w:tc>
        <w:tc>
          <w:tcPr>
            <w:tcW w:w="1704" w:type="dxa"/>
            <w:vAlign w:val="top"/>
          </w:tcPr>
          <w:p>
            <w:pPr>
              <w:pStyle w:val="TableText"/>
              <w:jc w:val="right"/>
            </w:pPr>
            <w:r>
              <w:t xml:space="preserve">9.7%</w:t>
            </w:r>
          </w:p>
        </w:tc>
        <w:tc>
          <w:tcPr>
            <w:tcW w:w="1641" w:type="dxa"/>
            <w:vAlign w:val="top"/>
          </w:tcPr>
          <w:p>
            <w:pPr>
              <w:pStyle w:val="TableText"/>
              <w:jc w:val="right"/>
            </w:pPr>
            <w:r>
              <w:t xml:space="preserve">6.6%</w:t>
            </w:r>
          </w:p>
        </w:tc>
        <w:tc>
          <w:tcPr>
            <w:tcW w:w="1671" w:type="dxa"/>
            <w:vAlign w:val="top"/>
          </w:tcPr>
          <w:p>
            <w:pPr>
              <w:pStyle w:val="TableText"/>
              <w:jc w:val="right"/>
            </w:pPr>
            <w:r>
              <w:t xml:space="preserve">5.3%</w:t>
            </w:r>
          </w:p>
        </w:tc>
      </w:tr>
    </w:tbl>
    <w:p>
      <w:pPr>
        <w:pStyle w:val="Heading2"/>
      </w:pPr>
      <w:bookmarkStart w:id="45" w:name="_Toc300000041"/>
      <w:r>
        <w:t xml:space="preserve">Reading the numbers</w:t>
      </w:r>
      <w:bookmarkEnd w:id="45"/>
    </w:p>
    <w:p>
      <w:pPr>
        <w:pStyle w:val="FirstParagraph"/>
      </w:pPr>
      <w:r>
        <w:t xml:space="preserve">The voice assistant gives the clearest saving. At current unit costs an assistant call costs 8.9% of a telesales call (VND 2,400 against VND 27,000). In the base case that is about VND 12.2 billion a year of qualifying work not done by people.</w:t>
      </w:r>
    </w:p>
    <w:p>
      <w:pPr>
        <w:pStyle w:val="BodyText"/>
      </w:pPr>
      <w:r>
        <w:t xml:space="preserve">Own-channel acquisition cost per policy, 6.6% of premium in the base case, is above the 5% TNDS commission benchmark. Own channels do not win on cost per TNDS policy in the first year. They win on volume that partners do not reach (lapsed vehicles, in-app moments), on data ownership (next year’s renewals need less verification and more free push), on cross-sell premium (physical damage alone adds about 7% to base-case premium) and on retention of the TASCO book, which today renews nothing through own channels. K-10 tracks the path towards parity.</w:t>
      </w:r>
    </w:p>
    <w:p>
      <w:pPr>
        <w:pStyle w:val="BodyText"/>
      </w:pPr>
      <w:r>
        <w:t xml:space="preserve">Some own-channel policies would have been sold by partners anyway, and the pilot control group measures how many. The platform cost (TGP-BUS-07: about USD 0.32 million in year 1 including the scale phase, then about USD 0.17 million a year) must be covered by the technical margin on genuinely new premium. TASCO finance should test its own margin against: break-even margin = (platform cost + acquisition cost) ÷ incremental premium. In base-case year 2, with all premium incremental, this is (VND 4.5 billion + VND 5.2 billion) ÷ VND 86.3 billion, about 11%. At 70% incrementality (A-13) it rises to about 16%. This is why the pilot must prove incrementality before scale.</w:t>
      </w:r>
    </w:p>
    <w:p>
      <w:pPr>
        <w:pStyle w:val="Heading2"/>
      </w:pPr>
      <w:bookmarkStart w:id="46" w:name="_Toc300000042"/>
      <w:r>
        <w:t xml:space="preserve">Sensitivity</w:t>
      </w:r>
      <w:bookmarkEnd w:id="46"/>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4869"/>
        <w:gridCol w:w="4158"/>
      </w:tblGrid>
      <w:tr>
        <w:trPr>
          <w:cantSplit/>
          <w:tblHeader/>
        </w:trPr>
        <w:tc>
          <w:tcPr>
            <w:tcW w:w="4869" w:type="dxa"/>
            <w:shd w:val="clear" w:color="auto" w:fill="0F4761"/>
            <w:vAlign w:val="center"/>
          </w:tcPr>
          <w:p>
            <w:pPr>
              <w:pStyle w:val="TableHeading"/>
              <w:jc w:val="left"/>
            </w:pPr>
            <w:r>
              <w:rPr>
                <w:color w:val="FFFFFF"/>
              </w:rPr>
              <w:t xml:space="preserve">Driver changed</w:t>
            </w:r>
          </w:p>
        </w:tc>
        <w:tc>
          <w:tcPr>
            <w:tcW w:w="4158" w:type="dxa"/>
            <w:shd w:val="clear" w:color="auto" w:fill="0F4761"/>
            <w:vAlign w:val="center"/>
          </w:tcPr>
          <w:p>
            <w:pPr>
              <w:pStyle w:val="TableHeading"/>
              <w:jc w:val="left"/>
            </w:pPr>
            <w:r>
              <w:rPr>
                <w:color w:val="FFFFFF"/>
              </w:rPr>
              <w:t xml:space="preserve">Effect on TNDS net premium, base case</w:t>
            </w:r>
          </w:p>
        </w:tc>
      </w:tr>
      <w:tr>
        <w:trPr>
          <w:cantSplit/>
        </w:trPr>
        <w:tc>
          <w:tcPr>
            <w:tcW w:w="4869" w:type="dxa"/>
            <w:vAlign w:val="top"/>
          </w:tcPr>
          <w:p>
            <w:pPr>
              <w:pStyle w:val="TableText"/>
              <w:jc w:val="left"/>
            </w:pPr>
            <w:r>
              <w:t xml:space="preserve">Usable-expiry rate ± 10 points</w:t>
            </w:r>
          </w:p>
        </w:tc>
        <w:tc>
          <w:tcPr>
            <w:tcW w:w="4158" w:type="dxa"/>
            <w:vAlign w:val="top"/>
          </w:tcPr>
          <w:p>
            <w:pPr>
              <w:pStyle w:val="TableText"/>
              <w:jc w:val="left"/>
            </w:pPr>
            <w:r>
              <w:t xml:space="preserve">± VND 13.0 billion</w:t>
            </w:r>
          </w:p>
        </w:tc>
      </w:tr>
      <w:tr>
        <w:trPr>
          <w:cantSplit/>
        </w:trPr>
        <w:tc>
          <w:tcPr>
            <w:tcW w:w="4869" w:type="dxa"/>
            <w:shd w:val="clear" w:color="auto" w:fill="F4F7FB"/>
            <w:vAlign w:val="top"/>
          </w:tcPr>
          <w:p>
            <w:pPr>
              <w:pStyle w:val="TableText"/>
              <w:jc w:val="left"/>
            </w:pPr>
            <w:r>
              <w:t xml:space="preserve">Renewal conversion ± 5 points</w:t>
            </w:r>
          </w:p>
        </w:tc>
        <w:tc>
          <w:tcPr>
            <w:tcW w:w="4158" w:type="dxa"/>
            <w:shd w:val="clear" w:color="auto" w:fill="F4F7FB"/>
            <w:vAlign w:val="top"/>
          </w:tcPr>
          <w:p>
            <w:pPr>
              <w:pStyle w:val="TableText"/>
              <w:jc w:val="left"/>
            </w:pPr>
            <w:r>
              <w:t xml:space="preserve">± VND 7.2 billion</w:t>
            </w:r>
          </w:p>
        </w:tc>
      </w:tr>
      <w:tr>
        <w:trPr>
          <w:cantSplit/>
        </w:trPr>
        <w:tc>
          <w:tcPr>
            <w:tcW w:w="4869" w:type="dxa"/>
            <w:vAlign w:val="top"/>
          </w:tcPr>
          <w:p>
            <w:pPr>
              <w:pStyle w:val="TableText"/>
              <w:jc w:val="left"/>
            </w:pPr>
            <w:r>
              <w:t xml:space="preserve">Conquest conversion ± 1 point</w:t>
            </w:r>
          </w:p>
        </w:tc>
        <w:tc>
          <w:tcPr>
            <w:tcW w:w="4158" w:type="dxa"/>
            <w:vAlign w:val="top"/>
          </w:tcPr>
          <w:p>
            <w:pPr>
              <w:pStyle w:val="TableText"/>
              <w:jc w:val="left"/>
            </w:pPr>
            <w:r>
              <w:t xml:space="preserve">± VND 12.3 billion</w:t>
            </w:r>
          </w:p>
        </w:tc>
      </w:tr>
      <w:tr>
        <w:trPr>
          <w:cantSplit/>
        </w:trPr>
        <w:tc>
          <w:tcPr>
            <w:tcW w:w="4869" w:type="dxa"/>
            <w:shd w:val="clear" w:color="auto" w:fill="F4F7FB"/>
            <w:vAlign w:val="top"/>
          </w:tcPr>
          <w:p>
            <w:pPr>
              <w:pStyle w:val="TableText"/>
              <w:jc w:val="left"/>
            </w:pPr>
            <w:r>
              <w:t xml:space="preserve">Partner-API policies ± 10,000</w:t>
            </w:r>
          </w:p>
        </w:tc>
        <w:tc>
          <w:tcPr>
            <w:tcW w:w="4158" w:type="dxa"/>
            <w:shd w:val="clear" w:color="auto" w:fill="F4F7FB"/>
            <w:vAlign w:val="top"/>
          </w:tcPr>
          <w:p>
            <w:pPr>
              <w:pStyle w:val="TableText"/>
              <w:jc w:val="left"/>
            </w:pPr>
            <w:r>
              <w:t xml:space="preserve">± VND 5.7 billion</w:t>
            </w:r>
          </w:p>
        </w:tc>
      </w:tr>
    </w:tbl>
    <w:p>
      <w:pPr>
        <w:pStyle w:val="BodyText"/>
        <w:spacing w:before="160"/>
      </w:pPr>
      <w:r>
        <w:t xml:space="preserve">The usable-expiry rate and conquest conversion dominate the result. That is why the strategy puts data repair ahead of selling.</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47" w:name="_Toc300000043"/>
      <w:r>
        <w:rPr>
          <w:rStyle w:val="BookTitle"/>
          <w:bCs w:val="0"/>
          <w:i w:val="0"/>
          <w:iCs w:val="0"/>
          <w:spacing w:val="0"/>
        </w:rPr>
        <w:t xml:space="preserve">Assumptions register</w:t>
      </w:r>
      <w:bookmarkEnd w:id="47"/>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714"/>
        <w:gridCol w:w="4023"/>
        <w:gridCol w:w="2002"/>
        <w:gridCol w:w="2288"/>
      </w:tblGrid>
      <w:tr>
        <w:trPr>
          <w:cantSplit/>
          <w:tblHeader/>
        </w:trPr>
        <w:tc>
          <w:tcPr>
            <w:tcW w:w="714" w:type="dxa"/>
            <w:shd w:val="clear" w:color="auto" w:fill="0F4761"/>
            <w:vAlign w:val="center"/>
          </w:tcPr>
          <w:p>
            <w:pPr>
              <w:pStyle w:val="TableHeading"/>
              <w:jc w:val="left"/>
            </w:pPr>
            <w:r>
              <w:rPr>
                <w:color w:val="FFFFFF"/>
              </w:rPr>
              <w:t xml:space="preserve">Ref</w:t>
            </w:r>
          </w:p>
        </w:tc>
        <w:tc>
          <w:tcPr>
            <w:tcW w:w="4023" w:type="dxa"/>
            <w:shd w:val="clear" w:color="auto" w:fill="0F4761"/>
            <w:vAlign w:val="center"/>
          </w:tcPr>
          <w:p>
            <w:pPr>
              <w:pStyle w:val="TableHeading"/>
              <w:jc w:val="left"/>
            </w:pPr>
            <w:r>
              <w:rPr>
                <w:color w:val="FFFFFF"/>
              </w:rPr>
              <w:t xml:space="preserve">Assumption</w:t>
            </w:r>
          </w:p>
        </w:tc>
        <w:tc>
          <w:tcPr>
            <w:tcW w:w="2002" w:type="dxa"/>
            <w:shd w:val="clear" w:color="auto" w:fill="0F4761"/>
            <w:vAlign w:val="center"/>
          </w:tcPr>
          <w:p>
            <w:pPr>
              <w:pStyle w:val="TableHeading"/>
              <w:jc w:val="left"/>
            </w:pPr>
            <w:r>
              <w:rPr>
                <w:color w:val="FFFFFF"/>
              </w:rPr>
              <w:t xml:space="preserve">Value used</w:t>
            </w:r>
          </w:p>
        </w:tc>
        <w:tc>
          <w:tcPr>
            <w:tcW w:w="2288" w:type="dxa"/>
            <w:shd w:val="clear" w:color="auto" w:fill="0F4761"/>
            <w:vAlign w:val="center"/>
          </w:tcPr>
          <w:p>
            <w:pPr>
              <w:pStyle w:val="TableHeading"/>
              <w:jc w:val="left"/>
            </w:pPr>
            <w:r>
              <w:rPr>
                <w:color w:val="FFFFFF"/>
              </w:rPr>
              <w:t xml:space="preserve">Validated by</w:t>
            </w:r>
          </w:p>
        </w:tc>
      </w:tr>
      <w:tr>
        <w:trPr>
          <w:cantSplit/>
        </w:trPr>
        <w:tc>
          <w:tcPr>
            <w:tcW w:w="714" w:type="dxa"/>
            <w:noWrap/>
            <w:vAlign w:val="top"/>
          </w:tcPr>
          <w:p>
            <w:pPr>
              <w:pStyle w:val="TableText"/>
              <w:jc w:val="left"/>
            </w:pPr>
            <w:r>
              <w:t xml:space="preserve">A-01</w:t>
            </w:r>
          </w:p>
        </w:tc>
        <w:tc>
          <w:tcPr>
            <w:tcW w:w="4023" w:type="dxa"/>
            <w:vAlign w:val="top"/>
          </w:tcPr>
          <w:p>
            <w:pPr>
              <w:pStyle w:val="TableText"/>
              <w:jc w:val="left"/>
            </w:pPr>
            <w:r>
              <w:t xml:space="preserve">Exchange rate</w:t>
            </w:r>
          </w:p>
        </w:tc>
        <w:tc>
          <w:tcPr>
            <w:tcW w:w="2002" w:type="dxa"/>
            <w:vAlign w:val="top"/>
          </w:tcPr>
          <w:p>
            <w:pPr>
              <w:pStyle w:val="TableText"/>
              <w:jc w:val="left"/>
            </w:pPr>
            <w:r>
              <w:t xml:space="preserve">USD 1 = VND 26,000</w:t>
            </w:r>
          </w:p>
        </w:tc>
        <w:tc>
          <w:tcPr>
            <w:tcW w:w="2288" w:type="dxa"/>
            <w:vAlign w:val="top"/>
          </w:tcPr>
          <w:p>
            <w:pPr>
              <w:pStyle w:val="TableText"/>
              <w:jc w:val="left"/>
            </w:pPr>
            <w:r>
              <w:t xml:space="preserve">TASCO Finance</w:t>
            </w:r>
          </w:p>
        </w:tc>
      </w:tr>
      <w:tr>
        <w:trPr>
          <w:cantSplit/>
        </w:trPr>
        <w:tc>
          <w:tcPr>
            <w:tcW w:w="714" w:type="dxa"/>
            <w:shd w:val="clear" w:color="auto" w:fill="F4F7FB"/>
            <w:noWrap/>
            <w:vAlign w:val="top"/>
          </w:tcPr>
          <w:p>
            <w:pPr>
              <w:pStyle w:val="TableText"/>
              <w:jc w:val="left"/>
            </w:pPr>
            <w:r>
              <w:t xml:space="preserve">A-02</w:t>
            </w:r>
          </w:p>
        </w:tc>
        <w:tc>
          <w:tcPr>
            <w:tcW w:w="4023" w:type="dxa"/>
            <w:shd w:val="clear" w:color="auto" w:fill="F4F7FB"/>
            <w:vAlign w:val="top"/>
          </w:tcPr>
          <w:p>
            <w:pPr>
              <w:pStyle w:val="TableText"/>
              <w:jc w:val="left"/>
            </w:pPr>
            <w:r>
              <w:t xml:space="preserve">Share of the base with a TNDS expiry in the year (the rest hold multi-year cover or are unknown)</w:t>
            </w:r>
          </w:p>
        </w:tc>
        <w:tc>
          <w:tcPr>
            <w:tcW w:w="2002" w:type="dxa"/>
            <w:shd w:val="clear" w:color="auto" w:fill="F4F7FB"/>
            <w:vAlign w:val="top"/>
          </w:tcPr>
          <w:p>
            <w:pPr>
              <w:pStyle w:val="TableText"/>
              <w:jc w:val="left"/>
            </w:pPr>
            <w:r>
              <w:t xml:space="preserve">85%</w:t>
            </w:r>
          </w:p>
        </w:tc>
        <w:tc>
          <w:tcPr>
            <w:tcW w:w="2288" w:type="dxa"/>
            <w:shd w:val="clear" w:color="auto" w:fill="F4F7FB"/>
            <w:vAlign w:val="top"/>
          </w:tcPr>
          <w:p>
            <w:pPr>
              <w:pStyle w:val="TableText"/>
              <w:jc w:val="left"/>
            </w:pPr>
            <w:r>
              <w:t xml:space="preserve">Discovery data review</w:t>
            </w:r>
          </w:p>
        </w:tc>
      </w:tr>
      <w:tr>
        <w:trPr>
          <w:cantSplit/>
        </w:trPr>
        <w:tc>
          <w:tcPr>
            <w:tcW w:w="714" w:type="dxa"/>
            <w:noWrap/>
            <w:vAlign w:val="top"/>
          </w:tcPr>
          <w:p>
            <w:pPr>
              <w:pStyle w:val="TableText"/>
              <w:jc w:val="left"/>
            </w:pPr>
            <w:r>
              <w:t xml:space="preserve">A-03</w:t>
            </w:r>
          </w:p>
        </w:tc>
        <w:tc>
          <w:tcPr>
            <w:tcW w:w="4023" w:type="dxa"/>
            <w:vAlign w:val="top"/>
          </w:tcPr>
          <w:p>
            <w:pPr>
              <w:pStyle w:val="TableText"/>
              <w:jc w:val="left"/>
            </w:pPr>
            <w:r>
              <w:t xml:space="preserve">Usable-expiry rate achievable after data repair</w:t>
            </w:r>
          </w:p>
        </w:tc>
        <w:tc>
          <w:tcPr>
            <w:tcW w:w="2002" w:type="dxa"/>
            <w:vAlign w:val="top"/>
          </w:tcPr>
          <w:p>
            <w:pPr>
              <w:pStyle w:val="TableText"/>
              <w:jc w:val="left"/>
            </w:pPr>
            <w:r>
              <w:t xml:space="preserve">35% / 50% / 65%</w:t>
            </w:r>
          </w:p>
        </w:tc>
        <w:tc>
          <w:tcPr>
            <w:tcW w:w="2288" w:type="dxa"/>
            <w:vAlign w:val="top"/>
          </w:tcPr>
          <w:p>
            <w:pPr>
              <w:pStyle w:val="TableText"/>
              <w:jc w:val="left"/>
            </w:pPr>
            <w:r>
              <w:t xml:space="preserve">Pilot</w:t>
            </w:r>
          </w:p>
        </w:tc>
      </w:tr>
      <w:tr>
        <w:trPr>
          <w:cantSplit/>
        </w:trPr>
        <w:tc>
          <w:tcPr>
            <w:tcW w:w="714" w:type="dxa"/>
            <w:shd w:val="clear" w:color="auto" w:fill="F4F7FB"/>
            <w:noWrap/>
            <w:vAlign w:val="top"/>
          </w:tcPr>
          <w:p>
            <w:pPr>
              <w:pStyle w:val="TableText"/>
              <w:jc w:val="left"/>
            </w:pPr>
            <w:r>
              <w:t xml:space="preserve">A-04</w:t>
            </w:r>
          </w:p>
        </w:tc>
        <w:tc>
          <w:tcPr>
            <w:tcW w:w="4023" w:type="dxa"/>
            <w:shd w:val="clear" w:color="auto" w:fill="F4F7FB"/>
            <w:vAlign w:val="top"/>
          </w:tcPr>
          <w:p>
            <w:pPr>
              <w:pStyle w:val="TableText"/>
              <w:jc w:val="left"/>
            </w:pPr>
            <w:r>
              <w:t xml:space="preserve">Split of actionable base: TASCO book / elsewhere or unknown / lapsed</w:t>
            </w:r>
          </w:p>
        </w:tc>
        <w:tc>
          <w:tcPr>
            <w:tcW w:w="2002" w:type="dxa"/>
            <w:shd w:val="clear" w:color="auto" w:fill="F4F7FB"/>
            <w:vAlign w:val="top"/>
          </w:tcPr>
          <w:p>
            <w:pPr>
              <w:pStyle w:val="TableText"/>
              <w:jc w:val="left"/>
            </w:pPr>
            <w:r>
              <w:t xml:space="preserve">10% / 85% / 5%</w:t>
            </w:r>
          </w:p>
        </w:tc>
        <w:tc>
          <w:tcPr>
            <w:tcW w:w="2288" w:type="dxa"/>
            <w:shd w:val="clear" w:color="auto" w:fill="F4F7FB"/>
            <w:vAlign w:val="top"/>
          </w:tcPr>
          <w:p>
            <w:pPr>
              <w:pStyle w:val="TableText"/>
              <w:jc w:val="left"/>
            </w:pPr>
            <w:r>
              <w:t xml:space="preserve">Discovery data review</w:t>
            </w:r>
          </w:p>
        </w:tc>
      </w:tr>
      <w:tr>
        <w:trPr>
          <w:cantSplit/>
        </w:trPr>
        <w:tc>
          <w:tcPr>
            <w:tcW w:w="714" w:type="dxa"/>
            <w:noWrap/>
            <w:vAlign w:val="top"/>
          </w:tcPr>
          <w:p>
            <w:pPr>
              <w:pStyle w:val="TableText"/>
              <w:jc w:val="left"/>
            </w:pPr>
            <w:r>
              <w:t xml:space="preserve">A-05</w:t>
            </w:r>
          </w:p>
        </w:tc>
        <w:tc>
          <w:tcPr>
            <w:tcW w:w="4023" w:type="dxa"/>
            <w:vAlign w:val="top"/>
          </w:tcPr>
          <w:p>
            <w:pPr>
              <w:pStyle w:val="TableText"/>
              <w:jc w:val="left"/>
            </w:pPr>
            <w:r>
              <w:t xml:space="preserve">New car tag activations per year</w:t>
            </w:r>
          </w:p>
        </w:tc>
        <w:tc>
          <w:tcPr>
            <w:tcW w:w="2002" w:type="dxa"/>
            <w:vAlign w:val="top"/>
          </w:tcPr>
          <w:p>
            <w:pPr>
              <w:pStyle w:val="TableText"/>
              <w:jc w:val="left"/>
            </w:pPr>
            <w:r>
              <w:t xml:space="preserve">250,000</w:t>
            </w:r>
          </w:p>
        </w:tc>
        <w:tc>
          <w:tcPr>
            <w:tcW w:w="2288" w:type="dxa"/>
            <w:vAlign w:val="top"/>
          </w:tcPr>
          <w:p>
            <w:pPr>
              <w:pStyle w:val="TableText"/>
              <w:jc w:val="left"/>
            </w:pPr>
            <w:r>
              <w:t xml:space="preserve">VETC</w:t>
            </w:r>
          </w:p>
        </w:tc>
      </w:tr>
      <w:tr>
        <w:trPr>
          <w:cantSplit/>
        </w:trPr>
        <w:tc>
          <w:tcPr>
            <w:tcW w:w="714" w:type="dxa"/>
            <w:shd w:val="clear" w:color="auto" w:fill="F4F7FB"/>
            <w:noWrap/>
            <w:vAlign w:val="top"/>
          </w:tcPr>
          <w:p>
            <w:pPr>
              <w:pStyle w:val="TableText"/>
              <w:jc w:val="left"/>
            </w:pPr>
            <w:r>
              <w:t xml:space="preserve">A-06</w:t>
            </w:r>
          </w:p>
        </w:tc>
        <w:tc>
          <w:tcPr>
            <w:tcW w:w="4023" w:type="dxa"/>
            <w:shd w:val="clear" w:color="auto" w:fill="F4F7FB"/>
            <w:vAlign w:val="top"/>
          </w:tcPr>
          <w:p>
            <w:pPr>
              <w:pStyle w:val="TableText"/>
              <w:jc w:val="left"/>
            </w:pPr>
            <w:r>
              <w:t xml:space="preserve">Segment conversion rates</w:t>
            </w:r>
          </w:p>
        </w:tc>
        <w:tc>
          <w:tcPr>
            <w:tcW w:w="2002" w:type="dxa"/>
            <w:shd w:val="clear" w:color="auto" w:fill="F4F7FB"/>
            <w:vAlign w:val="top"/>
          </w:tcPr>
          <w:p>
            <w:pPr>
              <w:pStyle w:val="TableText"/>
              <w:jc w:val="left"/>
            </w:pPr>
            <w:r>
              <w:t xml:space="preserve">See scenario inputs</w:t>
            </w:r>
          </w:p>
        </w:tc>
        <w:tc>
          <w:tcPr>
            <w:tcW w:w="2288" w:type="dxa"/>
            <w:shd w:val="clear" w:color="auto" w:fill="F4F7FB"/>
            <w:vAlign w:val="top"/>
          </w:tcPr>
          <w:p>
            <w:pPr>
              <w:pStyle w:val="TableText"/>
              <w:jc w:val="left"/>
            </w:pPr>
            <w:r>
              <w:t xml:space="preserve">Pilot control group</w:t>
            </w:r>
          </w:p>
        </w:tc>
      </w:tr>
      <w:tr>
        <w:trPr>
          <w:cantSplit/>
        </w:trPr>
        <w:tc>
          <w:tcPr>
            <w:tcW w:w="714" w:type="dxa"/>
            <w:noWrap/>
            <w:vAlign w:val="top"/>
          </w:tcPr>
          <w:p>
            <w:pPr>
              <w:pStyle w:val="TableText"/>
              <w:jc w:val="left"/>
            </w:pPr>
            <w:r>
              <w:t xml:space="preserve">A-07</w:t>
            </w:r>
          </w:p>
        </w:tc>
        <w:tc>
          <w:tcPr>
            <w:tcW w:w="4023" w:type="dxa"/>
            <w:vAlign w:val="top"/>
          </w:tcPr>
          <w:p>
            <w:pPr>
              <w:pStyle w:val="TableText"/>
              <w:jc w:val="left"/>
            </w:pPr>
            <w:r>
              <w:t xml:space="preserve">Partner-API policies in year 1</w:t>
            </w:r>
          </w:p>
        </w:tc>
        <w:tc>
          <w:tcPr>
            <w:tcW w:w="2002" w:type="dxa"/>
            <w:vAlign w:val="top"/>
          </w:tcPr>
          <w:p>
            <w:pPr>
              <w:pStyle w:val="TableText"/>
              <w:jc w:val="left"/>
            </w:pPr>
            <w:r>
              <w:t xml:space="preserve">5,000 / 15,000 / 30,000</w:t>
            </w:r>
          </w:p>
        </w:tc>
        <w:tc>
          <w:tcPr>
            <w:tcW w:w="2288" w:type="dxa"/>
            <w:vAlign w:val="top"/>
          </w:tcPr>
          <w:p>
            <w:pPr>
              <w:pStyle w:val="TableText"/>
              <w:jc w:val="left"/>
            </w:pPr>
            <w:r>
              <w:t xml:space="preserve">Partner managers</w:t>
            </w:r>
          </w:p>
        </w:tc>
      </w:tr>
      <w:tr>
        <w:trPr>
          <w:cantSplit/>
        </w:trPr>
        <w:tc>
          <w:tcPr>
            <w:tcW w:w="714" w:type="dxa"/>
            <w:shd w:val="clear" w:color="auto" w:fill="F4F7FB"/>
            <w:noWrap/>
            <w:vAlign w:val="top"/>
          </w:tcPr>
          <w:p>
            <w:pPr>
              <w:pStyle w:val="TableText"/>
              <w:jc w:val="left"/>
            </w:pPr>
            <w:r>
              <w:t xml:space="preserve">A-08</w:t>
            </w:r>
          </w:p>
        </w:tc>
        <w:tc>
          <w:tcPr>
            <w:tcW w:w="4023" w:type="dxa"/>
            <w:shd w:val="clear" w:color="auto" w:fill="F4F7FB"/>
            <w:vAlign w:val="top"/>
          </w:tcPr>
          <w:p>
            <w:pPr>
              <w:pStyle w:val="TableText"/>
              <w:jc w:val="left"/>
            </w:pPr>
            <w:r>
              <w:t xml:space="preserve">TNDS category mix</w:t>
            </w:r>
          </w:p>
        </w:tc>
        <w:tc>
          <w:tcPr>
            <w:tcW w:w="2002" w:type="dxa"/>
            <w:shd w:val="clear" w:color="auto" w:fill="F4F7FB"/>
            <w:vAlign w:val="top"/>
          </w:tcPr>
          <w:p>
            <w:pPr>
              <w:pStyle w:val="TableText"/>
              <w:jc w:val="left"/>
            </w:pPr>
            <w:r>
              <w:t xml:space="preserve">70% / 25% / 5%</w:t>
            </w:r>
          </w:p>
        </w:tc>
        <w:tc>
          <w:tcPr>
            <w:tcW w:w="2288" w:type="dxa"/>
            <w:shd w:val="clear" w:color="auto" w:fill="F4F7FB"/>
            <w:vAlign w:val="top"/>
          </w:tcPr>
          <w:p>
            <w:pPr>
              <w:pStyle w:val="TableText"/>
              <w:jc w:val="left"/>
            </w:pPr>
            <w:r>
              <w:t xml:space="preserve">Discovery data review</w:t>
            </w:r>
          </w:p>
        </w:tc>
      </w:tr>
      <w:tr>
        <w:trPr>
          <w:cantSplit/>
        </w:trPr>
        <w:tc>
          <w:tcPr>
            <w:tcW w:w="714" w:type="dxa"/>
            <w:noWrap/>
            <w:vAlign w:val="top"/>
          </w:tcPr>
          <w:p>
            <w:pPr>
              <w:pStyle w:val="TableText"/>
              <w:jc w:val="left"/>
            </w:pPr>
            <w:r>
              <w:t xml:space="preserve">A-09</w:t>
            </w:r>
          </w:p>
        </w:tc>
        <w:tc>
          <w:tcPr>
            <w:tcW w:w="4023" w:type="dxa"/>
            <w:vAlign w:val="top"/>
          </w:tcPr>
          <w:p>
            <w:pPr>
              <w:pStyle w:val="TableText"/>
              <w:jc w:val="left"/>
            </w:pPr>
            <w:r>
              <w:t xml:space="preserve">Cross-sell attach rates and average physical damage sum insured (VND 700 million)</w:t>
            </w:r>
          </w:p>
        </w:tc>
        <w:tc>
          <w:tcPr>
            <w:tcW w:w="2002" w:type="dxa"/>
            <w:vAlign w:val="top"/>
          </w:tcPr>
          <w:p>
            <w:pPr>
              <w:pStyle w:val="TableText"/>
              <w:jc w:val="left"/>
            </w:pPr>
            <w:r>
              <w:t xml:space="preserve">See scenario inputs</w:t>
            </w:r>
          </w:p>
        </w:tc>
        <w:tc>
          <w:tcPr>
            <w:tcW w:w="2288" w:type="dxa"/>
            <w:vAlign w:val="top"/>
          </w:tcPr>
          <w:p>
            <w:pPr>
              <w:pStyle w:val="TableText"/>
              <w:jc w:val="left"/>
            </w:pPr>
            <w:r>
              <w:t xml:space="preserve">TASCO Product and Actuarial</w:t>
            </w:r>
          </w:p>
        </w:tc>
      </w:tr>
      <w:tr>
        <w:trPr>
          <w:cantSplit/>
        </w:trPr>
        <w:tc>
          <w:tcPr>
            <w:tcW w:w="714" w:type="dxa"/>
            <w:shd w:val="clear" w:color="auto" w:fill="F4F7FB"/>
            <w:noWrap/>
            <w:vAlign w:val="top"/>
          </w:tcPr>
          <w:p>
            <w:pPr>
              <w:pStyle w:val="TableText"/>
              <w:jc w:val="left"/>
            </w:pPr>
            <w:r>
              <w:t xml:space="preserve">A-10</w:t>
            </w:r>
          </w:p>
        </w:tc>
        <w:tc>
          <w:tcPr>
            <w:tcW w:w="4023" w:type="dxa"/>
            <w:shd w:val="clear" w:color="auto" w:fill="F4F7FB"/>
            <w:vAlign w:val="top"/>
          </w:tcPr>
          <w:p>
            <w:pPr>
              <w:pStyle w:val="TableText"/>
              <w:jc w:val="left"/>
            </w:pPr>
            <w:r>
              <w:t xml:space="preserve">Sends per profile per year; channel mix 60% push, 30% Zalo, 10% SMS</w:t>
            </w:r>
          </w:p>
        </w:tc>
        <w:tc>
          <w:tcPr>
            <w:tcW w:w="2002" w:type="dxa"/>
            <w:shd w:val="clear" w:color="auto" w:fill="F4F7FB"/>
            <w:vAlign w:val="top"/>
          </w:tcPr>
          <w:p>
            <w:pPr>
              <w:pStyle w:val="TableText"/>
              <w:jc w:val="left"/>
            </w:pPr>
            <w:r>
              <w:t xml:space="preserve">5</w:t>
            </w:r>
          </w:p>
        </w:tc>
        <w:tc>
          <w:tcPr>
            <w:tcW w:w="2288" w:type="dxa"/>
            <w:shd w:val="clear" w:color="auto" w:fill="F4F7FB"/>
            <w:vAlign w:val="top"/>
          </w:tcPr>
          <w:p>
            <w:pPr>
              <w:pStyle w:val="TableText"/>
              <w:jc w:val="left"/>
            </w:pPr>
            <w:r>
              <w:t xml:space="preserve">Campaign manager</w:t>
            </w:r>
          </w:p>
        </w:tc>
      </w:tr>
      <w:tr>
        <w:trPr>
          <w:cantSplit/>
        </w:trPr>
        <w:tc>
          <w:tcPr>
            <w:tcW w:w="714" w:type="dxa"/>
            <w:noWrap/>
            <w:vAlign w:val="top"/>
          </w:tcPr>
          <w:p>
            <w:pPr>
              <w:pStyle w:val="TableText"/>
              <w:jc w:val="left"/>
            </w:pPr>
            <w:r>
              <w:t xml:space="preserve">A-11</w:t>
            </w:r>
          </w:p>
        </w:tc>
        <w:tc>
          <w:tcPr>
            <w:tcW w:w="4023" w:type="dxa"/>
            <w:vAlign w:val="top"/>
          </w:tcPr>
          <w:p>
            <w:pPr>
              <w:pStyle w:val="TableText"/>
              <w:jc w:val="left"/>
            </w:pPr>
            <w:r>
              <w:t xml:space="preserve">Share of actionable vehicles called by the assistant; 1.3 attempts per call</w:t>
            </w:r>
          </w:p>
        </w:tc>
        <w:tc>
          <w:tcPr>
            <w:tcW w:w="2002" w:type="dxa"/>
            <w:vAlign w:val="top"/>
          </w:tcPr>
          <w:p>
            <w:pPr>
              <w:pStyle w:val="TableText"/>
              <w:jc w:val="left"/>
            </w:pPr>
            <w:r>
              <w:t xml:space="preserve">10% to 20%</w:t>
            </w:r>
          </w:p>
        </w:tc>
        <w:tc>
          <w:tcPr>
            <w:tcW w:w="2288" w:type="dxa"/>
            <w:vAlign w:val="top"/>
          </w:tcPr>
          <w:p>
            <w:pPr>
              <w:pStyle w:val="TableText"/>
              <w:jc w:val="left"/>
            </w:pPr>
            <w:r>
              <w:t xml:space="preserve">Campaign manager</w:t>
            </w:r>
          </w:p>
        </w:tc>
      </w:tr>
      <w:tr>
        <w:trPr>
          <w:cantSplit/>
        </w:trPr>
        <w:tc>
          <w:tcPr>
            <w:tcW w:w="714" w:type="dxa"/>
            <w:shd w:val="clear" w:color="auto" w:fill="F4F7FB"/>
            <w:noWrap/>
            <w:vAlign w:val="top"/>
          </w:tcPr>
          <w:p>
            <w:pPr>
              <w:pStyle w:val="TableText"/>
              <w:jc w:val="left"/>
            </w:pPr>
            <w:r>
              <w:t xml:space="preserve">A-12</w:t>
            </w:r>
          </w:p>
        </w:tc>
        <w:tc>
          <w:tcPr>
            <w:tcW w:w="4023" w:type="dxa"/>
            <w:shd w:val="clear" w:color="auto" w:fill="F4F7FB"/>
            <w:vAlign w:val="top"/>
          </w:tcPr>
          <w:p>
            <w:pPr>
              <w:pStyle w:val="TableText"/>
              <w:jc w:val="left"/>
            </w:pPr>
            <w:r>
              <w:t xml:space="preserve">Telesales calls per year</w:t>
            </w:r>
          </w:p>
        </w:tc>
        <w:tc>
          <w:tcPr>
            <w:tcW w:w="2002" w:type="dxa"/>
            <w:shd w:val="clear" w:color="auto" w:fill="F4F7FB"/>
            <w:vAlign w:val="top"/>
          </w:tcPr>
          <w:p>
            <w:pPr>
              <w:pStyle w:val="TableText"/>
              <w:jc w:val="left"/>
            </w:pPr>
            <w:r>
              <w:t xml:space="preserve">25,000 / 50,000 / 80,000</w:t>
            </w:r>
          </w:p>
        </w:tc>
        <w:tc>
          <w:tcPr>
            <w:tcW w:w="2288" w:type="dxa"/>
            <w:shd w:val="clear" w:color="auto" w:fill="F4F7FB"/>
            <w:vAlign w:val="top"/>
          </w:tcPr>
          <w:p>
            <w:pPr>
              <w:pStyle w:val="TableText"/>
              <w:jc w:val="left"/>
            </w:pPr>
            <w:r>
              <w:t xml:space="preserve">Telesales lead</w:t>
            </w:r>
          </w:p>
        </w:tc>
      </w:tr>
      <w:tr>
        <w:trPr>
          <w:cantSplit/>
        </w:trPr>
        <w:tc>
          <w:tcPr>
            <w:tcW w:w="714" w:type="dxa"/>
            <w:noWrap/>
            <w:vAlign w:val="top"/>
          </w:tcPr>
          <w:p>
            <w:pPr>
              <w:pStyle w:val="TableText"/>
              <w:jc w:val="left"/>
            </w:pPr>
            <w:r>
              <w:t xml:space="preserve">A-13</w:t>
            </w:r>
          </w:p>
        </w:tc>
        <w:tc>
          <w:tcPr>
            <w:tcW w:w="4023" w:type="dxa"/>
            <w:vAlign w:val="top"/>
          </w:tcPr>
          <w:p>
            <w:pPr>
              <w:pStyle w:val="TableText"/>
              <w:jc w:val="left"/>
            </w:pPr>
            <w:r>
              <w:t xml:space="preserve">Incrementality against the partner channel</w:t>
            </w:r>
          </w:p>
        </w:tc>
        <w:tc>
          <w:tcPr>
            <w:tcW w:w="2002" w:type="dxa"/>
            <w:vAlign w:val="top"/>
          </w:tcPr>
          <w:p>
            <w:pPr>
              <w:pStyle w:val="TableText"/>
              <w:jc w:val="left"/>
            </w:pPr>
            <w:r>
              <w:t xml:space="preserve">70% (sensitivity)</w:t>
            </w:r>
          </w:p>
        </w:tc>
        <w:tc>
          <w:tcPr>
            <w:tcW w:w="2288" w:type="dxa"/>
            <w:vAlign w:val="top"/>
          </w:tcPr>
          <w:p>
            <w:pPr>
              <w:pStyle w:val="TableText"/>
              <w:jc w:val="left"/>
            </w:pPr>
            <w:r>
              <w:t xml:space="preserve">Pilot control group</w:t>
            </w:r>
          </w:p>
        </w:tc>
      </w:tr>
      <w:tr>
        <w:trPr>
          <w:cantSplit/>
        </w:trPr>
        <w:tc>
          <w:tcPr>
            <w:tcW w:w="714" w:type="dxa"/>
            <w:shd w:val="clear" w:color="auto" w:fill="F4F7FB"/>
            <w:noWrap/>
            <w:vAlign w:val="top"/>
          </w:tcPr>
          <w:p>
            <w:pPr>
              <w:pStyle w:val="TableText"/>
              <w:jc w:val="left"/>
            </w:pPr>
            <w:r>
              <w:t xml:space="preserve">A-14</w:t>
            </w:r>
          </w:p>
        </w:tc>
        <w:tc>
          <w:tcPr>
            <w:tcW w:w="4023" w:type="dxa"/>
            <w:shd w:val="clear" w:color="auto" w:fill="F4F7FB"/>
            <w:vAlign w:val="top"/>
          </w:tcPr>
          <w:p>
            <w:pPr>
              <w:pStyle w:val="TableText"/>
              <w:jc w:val="left"/>
            </w:pPr>
            <w:r>
              <w:t xml:space="preserve">Tariff, commission caps and contact policy as configured in the platform</w:t>
            </w:r>
          </w:p>
        </w:tc>
        <w:tc>
          <w:tcPr>
            <w:tcW w:w="2002" w:type="dxa"/>
            <w:shd w:val="clear" w:color="auto" w:fill="F4F7FB"/>
            <w:vAlign w:val="top"/>
          </w:tcPr>
          <w:p>
            <w:pPr>
              <w:pStyle w:val="TableText"/>
              <w:jc w:val="left"/>
            </w:pPr>
            <w:r>
              <w:t xml:space="preserve">As configured</w:t>
            </w:r>
          </w:p>
        </w:tc>
        <w:tc>
          <w:tcPr>
            <w:tcW w:w="2288" w:type="dxa"/>
            <w:shd w:val="clear" w:color="auto" w:fill="F4F7FB"/>
            <w:vAlign w:val="top"/>
          </w:tcPr>
          <w:p>
            <w:pPr>
              <w:pStyle w:val="TableText"/>
              <w:jc w:val="left"/>
            </w:pPr>
            <w:r>
              <w:t xml:space="preserve">TASCO Underwriting, Finance and Legal</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48" w:name="_Toc300000044"/>
      <w:r>
        <w:rPr>
          <w:rStyle w:val="BookTitle"/>
          <w:bCs w:val="0"/>
          <w:i w:val="0"/>
          <w:iCs w:val="0"/>
          <w:spacing w:val="0"/>
        </w:rPr>
        <w:t xml:space="preserve">Key risks</w:t>
      </w:r>
      <w:bookmarkEnd w:id="48"/>
    </w:p>
    <w:p>
      <w:pPr>
        <w:pStyle w:val="FirstParagraph"/>
      </w:pPr>
      <w:r>
        <w:t xml:space="preserve">The full risk register, with owners and dates, is in TGP-DEL-04 Risk Register.</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713"/>
        <w:gridCol w:w="2643"/>
        <w:gridCol w:w="1460"/>
        <w:gridCol w:w="972"/>
        <w:gridCol w:w="3239"/>
      </w:tblGrid>
      <w:tr>
        <w:trPr>
          <w:cantSplit/>
          <w:tblHeader/>
        </w:trPr>
        <w:tc>
          <w:tcPr>
            <w:tcW w:w="713" w:type="dxa"/>
            <w:shd w:val="clear" w:color="auto" w:fill="0F4761"/>
            <w:vAlign w:val="center"/>
          </w:tcPr>
          <w:p>
            <w:pPr>
              <w:pStyle w:val="TableHeading"/>
              <w:jc w:val="left"/>
            </w:pPr>
            <w:r>
              <w:rPr>
                <w:color w:val="FFFFFF"/>
              </w:rPr>
              <w:t xml:space="preserve">Ref</w:t>
            </w:r>
          </w:p>
        </w:tc>
        <w:tc>
          <w:tcPr>
            <w:tcW w:w="2643" w:type="dxa"/>
            <w:shd w:val="clear" w:color="auto" w:fill="0F4761"/>
            <w:vAlign w:val="center"/>
          </w:tcPr>
          <w:p>
            <w:pPr>
              <w:pStyle w:val="TableHeading"/>
              <w:jc w:val="left"/>
            </w:pPr>
            <w:r>
              <w:rPr>
                <w:color w:val="FFFFFF"/>
              </w:rPr>
              <w:t xml:space="preserve">Risk</w:t>
            </w:r>
          </w:p>
        </w:tc>
        <w:tc>
          <w:tcPr>
            <w:tcW w:w="1460" w:type="dxa"/>
            <w:shd w:val="clear" w:color="auto" w:fill="0F4761"/>
            <w:vAlign w:val="center"/>
          </w:tcPr>
          <w:p>
            <w:pPr>
              <w:pStyle w:val="TableHeading"/>
              <w:jc w:val="left"/>
            </w:pPr>
            <w:r>
              <w:rPr>
                <w:color w:val="FFFFFF"/>
              </w:rPr>
              <w:t xml:space="preserve">Likelihood</w:t>
            </w:r>
          </w:p>
        </w:tc>
        <w:tc>
          <w:tcPr>
            <w:tcW w:w="972" w:type="dxa"/>
            <w:shd w:val="clear" w:color="auto" w:fill="0F4761"/>
            <w:vAlign w:val="center"/>
          </w:tcPr>
          <w:p>
            <w:pPr>
              <w:pStyle w:val="TableHeading"/>
              <w:jc w:val="left"/>
            </w:pPr>
            <w:r>
              <w:rPr>
                <w:color w:val="FFFFFF"/>
              </w:rPr>
              <w:t xml:space="preserve">Impact</w:t>
            </w:r>
          </w:p>
        </w:tc>
        <w:tc>
          <w:tcPr>
            <w:tcW w:w="3239" w:type="dxa"/>
            <w:shd w:val="clear" w:color="auto" w:fill="0F4761"/>
            <w:vAlign w:val="center"/>
          </w:tcPr>
          <w:p>
            <w:pPr>
              <w:pStyle w:val="TableHeading"/>
              <w:jc w:val="left"/>
            </w:pPr>
            <w:r>
              <w:rPr>
                <w:color w:val="FFFFFF"/>
              </w:rPr>
              <w:t xml:space="preserve">Mitigation</w:t>
            </w:r>
          </w:p>
        </w:tc>
      </w:tr>
      <w:tr>
        <w:trPr>
          <w:cantSplit/>
        </w:trPr>
        <w:tc>
          <w:tcPr>
            <w:tcW w:w="713" w:type="dxa"/>
            <w:noWrap/>
            <w:vAlign w:val="top"/>
          </w:tcPr>
          <w:p>
            <w:pPr>
              <w:pStyle w:val="TableText"/>
              <w:jc w:val="left"/>
            </w:pPr>
            <w:r>
              <w:t xml:space="preserve">R-01</w:t>
            </w:r>
          </w:p>
        </w:tc>
        <w:tc>
          <w:tcPr>
            <w:tcW w:w="2643" w:type="dxa"/>
            <w:vAlign w:val="top"/>
          </w:tcPr>
          <w:p>
            <w:pPr>
              <w:pStyle w:val="TableText"/>
              <w:jc w:val="left"/>
            </w:pPr>
            <w:r>
              <w:t xml:space="preserve">VETC data-sharing or consent basis is not sufficient for marketing use</w:t>
            </w:r>
          </w:p>
        </w:tc>
        <w:tc>
          <w:tcPr>
            <w:tcW w:w="1460" w:type="dxa"/>
            <w:vAlign w:val="top"/>
          </w:tcPr>
          <w:p>
            <w:pPr>
              <w:pStyle w:val="TableText"/>
              <w:jc w:val="left"/>
            </w:pPr>
            <w:r>
              <w:t xml:space="preserve">Medium</w:t>
            </w:r>
          </w:p>
        </w:tc>
        <w:tc>
          <w:tcPr>
            <w:tcW w:w="972" w:type="dxa"/>
            <w:vAlign w:val="top"/>
          </w:tcPr>
          <w:p>
            <w:pPr>
              <w:pStyle w:val="TableText"/>
              <w:jc w:val="left"/>
            </w:pPr>
            <w:r>
              <w:t xml:space="preserve">High</w:t>
            </w:r>
          </w:p>
        </w:tc>
        <w:tc>
          <w:tcPr>
            <w:tcW w:w="3239" w:type="dxa"/>
            <w:vAlign w:val="top"/>
          </w:tcPr>
          <w:p>
            <w:pPr>
              <w:pStyle w:val="TableText"/>
              <w:jc w:val="left"/>
            </w:pPr>
            <w:r>
              <w:t xml:space="preserve">Legal review in discovery; consent captured per channel; service messages separated from marketing</w:t>
            </w:r>
          </w:p>
        </w:tc>
      </w:tr>
      <w:tr>
        <w:trPr>
          <w:cantSplit/>
        </w:trPr>
        <w:tc>
          <w:tcPr>
            <w:tcW w:w="713" w:type="dxa"/>
            <w:shd w:val="clear" w:color="auto" w:fill="F4F7FB"/>
            <w:noWrap/>
            <w:vAlign w:val="top"/>
          </w:tcPr>
          <w:p>
            <w:pPr>
              <w:pStyle w:val="TableText"/>
              <w:jc w:val="left"/>
            </w:pPr>
            <w:r>
              <w:t xml:space="preserve">R-02</w:t>
            </w:r>
          </w:p>
        </w:tc>
        <w:tc>
          <w:tcPr>
            <w:tcW w:w="2643" w:type="dxa"/>
            <w:shd w:val="clear" w:color="auto" w:fill="F4F7FB"/>
            <w:vAlign w:val="top"/>
          </w:tcPr>
          <w:p>
            <w:pPr>
              <w:pStyle w:val="TableText"/>
              <w:jc w:val="left"/>
            </w:pPr>
            <w:r>
              <w:t xml:space="preserve">Multi-insurer neutrality: VETC promoting TASCO over other insurers on its platform</w:t>
            </w:r>
          </w:p>
        </w:tc>
        <w:tc>
          <w:tcPr>
            <w:tcW w:w="1460" w:type="dxa"/>
            <w:shd w:val="clear" w:color="auto" w:fill="F4F7FB"/>
            <w:vAlign w:val="top"/>
          </w:tcPr>
          <w:p>
            <w:pPr>
              <w:pStyle w:val="TableText"/>
              <w:jc w:val="left"/>
            </w:pPr>
            <w:r>
              <w:t xml:space="preserve">Medium</w:t>
            </w:r>
          </w:p>
        </w:tc>
        <w:tc>
          <w:tcPr>
            <w:tcW w:w="972" w:type="dxa"/>
            <w:shd w:val="clear" w:color="auto" w:fill="F4F7FB"/>
            <w:vAlign w:val="top"/>
          </w:tcPr>
          <w:p>
            <w:pPr>
              <w:pStyle w:val="TableText"/>
              <w:jc w:val="left"/>
            </w:pPr>
            <w:r>
              <w:t xml:space="preserve">High</w:t>
            </w:r>
          </w:p>
        </w:tc>
        <w:tc>
          <w:tcPr>
            <w:tcW w:w="3239" w:type="dxa"/>
            <w:shd w:val="clear" w:color="auto" w:fill="F4F7FB"/>
            <w:vAlign w:val="top"/>
          </w:tcPr>
          <w:p>
            <w:pPr>
              <w:pStyle w:val="TableText"/>
              <w:jc w:val="left"/>
            </w:pPr>
            <w:r>
              <w:t xml:space="preserve">Group governance decision; regulated price presented as the same everywhere; service-based benefits; legal review of wording</w:t>
            </w:r>
          </w:p>
        </w:tc>
      </w:tr>
      <w:tr>
        <w:trPr>
          <w:cantSplit/>
        </w:trPr>
        <w:tc>
          <w:tcPr>
            <w:tcW w:w="713" w:type="dxa"/>
            <w:noWrap/>
            <w:vAlign w:val="top"/>
          </w:tcPr>
          <w:p>
            <w:pPr>
              <w:pStyle w:val="TableText"/>
              <w:jc w:val="left"/>
            </w:pPr>
            <w:r>
              <w:t xml:space="preserve">R-03</w:t>
            </w:r>
          </w:p>
        </w:tc>
        <w:tc>
          <w:tcPr>
            <w:tcW w:w="2643" w:type="dxa"/>
            <w:vAlign w:val="top"/>
          </w:tcPr>
          <w:p>
            <w:pPr>
              <w:pStyle w:val="TableText"/>
              <w:jc w:val="left"/>
            </w:pPr>
            <w:r>
              <w:t xml:space="preserve">Partners see VETC as a competitor</w:t>
            </w:r>
          </w:p>
        </w:tc>
        <w:tc>
          <w:tcPr>
            <w:tcW w:w="1460" w:type="dxa"/>
            <w:vAlign w:val="top"/>
          </w:tcPr>
          <w:p>
            <w:pPr>
              <w:pStyle w:val="TableText"/>
              <w:jc w:val="left"/>
            </w:pPr>
            <w:r>
              <w:t xml:space="preserve">Medium</w:t>
            </w:r>
          </w:p>
        </w:tc>
        <w:tc>
          <w:tcPr>
            <w:tcW w:w="972" w:type="dxa"/>
            <w:vAlign w:val="top"/>
          </w:tcPr>
          <w:p>
            <w:pPr>
              <w:pStyle w:val="TableText"/>
              <w:jc w:val="left"/>
            </w:pPr>
            <w:r>
              <w:t xml:space="preserve">Medium</w:t>
            </w:r>
          </w:p>
        </w:tc>
        <w:tc>
          <w:tcPr>
            <w:tcW w:w="3239" w:type="dxa"/>
            <w:vAlign w:val="top"/>
          </w:tcPr>
          <w:p>
            <w:pPr>
              <w:pStyle w:val="TableText"/>
              <w:jc w:val="left"/>
            </w:pPr>
            <w:r>
              <w:t xml:space="preserve">Partner API with instant issuance and transparent commission; own channels focus on moments partners do not see</w:t>
            </w:r>
          </w:p>
        </w:tc>
      </w:tr>
      <w:tr>
        <w:trPr>
          <w:cantSplit/>
        </w:trPr>
        <w:tc>
          <w:tcPr>
            <w:tcW w:w="713" w:type="dxa"/>
            <w:shd w:val="clear" w:color="auto" w:fill="F4F7FB"/>
            <w:noWrap/>
            <w:vAlign w:val="top"/>
          </w:tcPr>
          <w:p>
            <w:pPr>
              <w:pStyle w:val="TableText"/>
              <w:jc w:val="left"/>
            </w:pPr>
            <w:r>
              <w:t xml:space="preserve">R-04</w:t>
            </w:r>
          </w:p>
        </w:tc>
        <w:tc>
          <w:tcPr>
            <w:tcW w:w="2643" w:type="dxa"/>
            <w:shd w:val="clear" w:color="auto" w:fill="F4F7FB"/>
            <w:vAlign w:val="top"/>
          </w:tcPr>
          <w:p>
            <w:pPr>
              <w:pStyle w:val="TableText"/>
              <w:jc w:val="left"/>
            </w:pPr>
            <w:r>
              <w:t xml:space="preserve">Speech recognition of Vietnamese plates and dialects</w:t>
            </w:r>
          </w:p>
        </w:tc>
        <w:tc>
          <w:tcPr>
            <w:tcW w:w="1460" w:type="dxa"/>
            <w:shd w:val="clear" w:color="auto" w:fill="F4F7FB"/>
            <w:vAlign w:val="top"/>
          </w:tcPr>
          <w:p>
            <w:pPr>
              <w:pStyle w:val="TableText"/>
              <w:jc w:val="left"/>
            </w:pPr>
            <w:r>
              <w:t xml:space="preserve">Medium</w:t>
            </w:r>
          </w:p>
        </w:tc>
        <w:tc>
          <w:tcPr>
            <w:tcW w:w="972" w:type="dxa"/>
            <w:shd w:val="clear" w:color="auto" w:fill="F4F7FB"/>
            <w:vAlign w:val="top"/>
          </w:tcPr>
          <w:p>
            <w:pPr>
              <w:pStyle w:val="TableText"/>
              <w:jc w:val="left"/>
            </w:pPr>
            <w:r>
              <w:t xml:space="preserve">Medium</w:t>
            </w:r>
          </w:p>
        </w:tc>
        <w:tc>
          <w:tcPr>
            <w:tcW w:w="3239" w:type="dxa"/>
            <w:shd w:val="clear" w:color="auto" w:fill="F4F7FB"/>
            <w:vAlign w:val="top"/>
          </w:tcPr>
          <w:p>
            <w:pPr>
              <w:pStyle w:val="TableText"/>
              <w:jc w:val="left"/>
            </w:pPr>
            <w:r>
              <w:t xml:space="preserve">Plate-first with three attempts; fallback to a link; vendor comparison in discovery; K-12 monitoring</w:t>
            </w:r>
          </w:p>
        </w:tc>
      </w:tr>
      <w:tr>
        <w:trPr>
          <w:cantSplit/>
        </w:trPr>
        <w:tc>
          <w:tcPr>
            <w:tcW w:w="713" w:type="dxa"/>
            <w:noWrap/>
            <w:vAlign w:val="top"/>
          </w:tcPr>
          <w:p>
            <w:pPr>
              <w:pStyle w:val="TableText"/>
              <w:jc w:val="left"/>
            </w:pPr>
            <w:r>
              <w:t xml:space="preserve">R-05</w:t>
            </w:r>
          </w:p>
        </w:tc>
        <w:tc>
          <w:tcPr>
            <w:tcW w:w="2643" w:type="dxa"/>
            <w:vAlign w:val="top"/>
          </w:tcPr>
          <w:p>
            <w:pPr>
              <w:pStyle w:val="TableText"/>
              <w:jc w:val="left"/>
            </w:pPr>
            <w:r>
              <w:t xml:space="preserve">Regulatory change to tariff or commission caps</w:t>
            </w:r>
          </w:p>
        </w:tc>
        <w:tc>
          <w:tcPr>
            <w:tcW w:w="1460" w:type="dxa"/>
            <w:vAlign w:val="top"/>
          </w:tcPr>
          <w:p>
            <w:pPr>
              <w:pStyle w:val="TableText"/>
              <w:jc w:val="left"/>
            </w:pPr>
            <w:r>
              <w:t xml:space="preserve">Low</w:t>
            </w:r>
          </w:p>
        </w:tc>
        <w:tc>
          <w:tcPr>
            <w:tcW w:w="972" w:type="dxa"/>
            <w:vAlign w:val="top"/>
          </w:tcPr>
          <w:p>
            <w:pPr>
              <w:pStyle w:val="TableText"/>
              <w:jc w:val="left"/>
            </w:pPr>
            <w:r>
              <w:t xml:space="preserve">Medium</w:t>
            </w:r>
          </w:p>
        </w:tc>
        <w:tc>
          <w:tcPr>
            <w:tcW w:w="3239" w:type="dxa"/>
            <w:vAlign w:val="top"/>
          </w:tcPr>
          <w:p>
            <w:pPr>
              <w:pStyle w:val="TableText"/>
              <w:jc w:val="left"/>
            </w:pPr>
            <w:r>
              <w:t xml:space="preserve">All held as rules with maker-checker; caps validated on save</w:t>
            </w:r>
          </w:p>
        </w:tc>
      </w:tr>
      <w:tr>
        <w:trPr>
          <w:cantSplit/>
        </w:trPr>
        <w:tc>
          <w:tcPr>
            <w:tcW w:w="713" w:type="dxa"/>
            <w:shd w:val="clear" w:color="auto" w:fill="F4F7FB"/>
            <w:noWrap/>
            <w:vAlign w:val="top"/>
          </w:tcPr>
          <w:p>
            <w:pPr>
              <w:pStyle w:val="TableText"/>
              <w:jc w:val="left"/>
            </w:pPr>
            <w:r>
              <w:t xml:space="preserve">R-06</w:t>
            </w:r>
          </w:p>
        </w:tc>
        <w:tc>
          <w:tcPr>
            <w:tcW w:w="2643" w:type="dxa"/>
            <w:shd w:val="clear" w:color="auto" w:fill="F4F7FB"/>
            <w:vAlign w:val="top"/>
          </w:tcPr>
          <w:p>
            <w:pPr>
              <w:pStyle w:val="TableText"/>
              <w:jc w:val="left"/>
            </w:pPr>
            <w:r>
              <w:t xml:space="preserve">Low incrementality against partners</w:t>
            </w:r>
          </w:p>
        </w:tc>
        <w:tc>
          <w:tcPr>
            <w:tcW w:w="1460" w:type="dxa"/>
            <w:shd w:val="clear" w:color="auto" w:fill="F4F7FB"/>
            <w:vAlign w:val="top"/>
          </w:tcPr>
          <w:p>
            <w:pPr>
              <w:pStyle w:val="TableText"/>
              <w:jc w:val="left"/>
            </w:pPr>
            <w:r>
              <w:t xml:space="preserve">Medium</w:t>
            </w:r>
          </w:p>
        </w:tc>
        <w:tc>
          <w:tcPr>
            <w:tcW w:w="972" w:type="dxa"/>
            <w:shd w:val="clear" w:color="auto" w:fill="F4F7FB"/>
            <w:vAlign w:val="top"/>
          </w:tcPr>
          <w:p>
            <w:pPr>
              <w:pStyle w:val="TableText"/>
              <w:jc w:val="left"/>
            </w:pPr>
            <w:r>
              <w:t xml:space="preserve">High</w:t>
            </w:r>
          </w:p>
        </w:tc>
        <w:tc>
          <w:tcPr>
            <w:tcW w:w="3239" w:type="dxa"/>
            <w:shd w:val="clear" w:color="auto" w:fill="F4F7FB"/>
            <w:vAlign w:val="top"/>
          </w:tcPr>
          <w:p>
            <w:pPr>
              <w:pStyle w:val="TableText"/>
              <w:jc w:val="left"/>
            </w:pPr>
            <w:r>
              <w:t xml:space="preserve">Control group; focus on lapsed vehicles and in-app moments</w:t>
            </w:r>
          </w:p>
        </w:tc>
      </w:tr>
      <w:tr>
        <w:trPr>
          <w:cantSplit/>
        </w:trPr>
        <w:tc>
          <w:tcPr>
            <w:tcW w:w="713" w:type="dxa"/>
            <w:noWrap/>
            <w:vAlign w:val="top"/>
          </w:tcPr>
          <w:p>
            <w:pPr>
              <w:pStyle w:val="TableText"/>
              <w:jc w:val="left"/>
            </w:pPr>
            <w:r>
              <w:t xml:space="preserve">R-07</w:t>
            </w:r>
          </w:p>
        </w:tc>
        <w:tc>
          <w:tcPr>
            <w:tcW w:w="2643" w:type="dxa"/>
            <w:vAlign w:val="top"/>
          </w:tcPr>
          <w:p>
            <w:pPr>
              <w:pStyle w:val="TableText"/>
              <w:jc w:val="left"/>
            </w:pPr>
            <w:r>
              <w:t xml:space="preserve">Loyalty or referral not approved by legal</w:t>
            </w:r>
          </w:p>
        </w:tc>
        <w:tc>
          <w:tcPr>
            <w:tcW w:w="1460" w:type="dxa"/>
            <w:vAlign w:val="top"/>
          </w:tcPr>
          <w:p>
            <w:pPr>
              <w:pStyle w:val="TableText"/>
              <w:jc w:val="left"/>
            </w:pPr>
            <w:r>
              <w:t xml:space="preserve">Medium</w:t>
            </w:r>
          </w:p>
        </w:tc>
        <w:tc>
          <w:tcPr>
            <w:tcW w:w="972" w:type="dxa"/>
            <w:vAlign w:val="top"/>
          </w:tcPr>
          <w:p>
            <w:pPr>
              <w:pStyle w:val="TableText"/>
              <w:jc w:val="left"/>
            </w:pPr>
            <w:r>
              <w:t xml:space="preserve">Low</w:t>
            </w:r>
          </w:p>
        </w:tc>
        <w:tc>
          <w:tcPr>
            <w:tcW w:w="3239" w:type="dxa"/>
            <w:vAlign w:val="top"/>
          </w:tcPr>
          <w:p>
            <w:pPr>
              <w:pStyle w:val="TableText"/>
              <w:jc w:val="left"/>
            </w:pPr>
            <w:r>
              <w:t xml:space="preserve">Already switched off pending legal review</w:t>
            </w:r>
          </w:p>
        </w:tc>
      </w:tr>
      <w:tr>
        <w:trPr>
          <w:cantSplit/>
        </w:trPr>
        <w:tc>
          <w:tcPr>
            <w:tcW w:w="713" w:type="dxa"/>
            <w:shd w:val="clear" w:color="auto" w:fill="F4F7FB"/>
            <w:noWrap/>
            <w:vAlign w:val="top"/>
          </w:tcPr>
          <w:p>
            <w:pPr>
              <w:pStyle w:val="TableText"/>
              <w:jc w:val="left"/>
            </w:pPr>
            <w:r>
              <w:t xml:space="preserve">R-08</w:t>
            </w:r>
          </w:p>
        </w:tc>
        <w:tc>
          <w:tcPr>
            <w:tcW w:w="2643" w:type="dxa"/>
            <w:shd w:val="clear" w:color="auto" w:fill="F4F7FB"/>
            <w:vAlign w:val="top"/>
          </w:tcPr>
          <w:p>
            <w:pPr>
              <w:pStyle w:val="TableText"/>
              <w:jc w:val="left"/>
            </w:pPr>
            <w:r>
              <w:t xml:space="preserve">Company vehicles enter consumer journeys</w:t>
            </w:r>
          </w:p>
        </w:tc>
        <w:tc>
          <w:tcPr>
            <w:tcW w:w="1460" w:type="dxa"/>
            <w:shd w:val="clear" w:color="auto" w:fill="F4F7FB"/>
            <w:vAlign w:val="top"/>
          </w:tcPr>
          <w:p>
            <w:pPr>
              <w:pStyle w:val="TableText"/>
              <w:jc w:val="left"/>
            </w:pPr>
            <w:r>
              <w:t xml:space="preserve">Low</w:t>
            </w:r>
          </w:p>
        </w:tc>
        <w:tc>
          <w:tcPr>
            <w:tcW w:w="972" w:type="dxa"/>
            <w:shd w:val="clear" w:color="auto" w:fill="F4F7FB"/>
            <w:vAlign w:val="top"/>
          </w:tcPr>
          <w:p>
            <w:pPr>
              <w:pStyle w:val="TableText"/>
              <w:jc w:val="left"/>
            </w:pPr>
            <w:r>
              <w:t xml:space="preserve">Medium</w:t>
            </w:r>
          </w:p>
        </w:tc>
        <w:tc>
          <w:tcPr>
            <w:tcW w:w="3239" w:type="dxa"/>
            <w:shd w:val="clear" w:color="auto" w:fill="F4F7FB"/>
            <w:vAlign w:val="top"/>
          </w:tcPr>
          <w:p>
            <w:pPr>
              <w:pStyle w:val="TableText"/>
              <w:jc w:val="left"/>
            </w:pPr>
            <w:r>
              <w:t xml:space="preserve">Closed: consumer journeys exclude company vehicles, which are routed to the B2B team</w:t>
            </w:r>
          </w:p>
        </w:tc>
      </w:tr>
      <w:tr>
        <w:trPr>
          <w:cantSplit/>
        </w:trPr>
        <w:tc>
          <w:tcPr>
            <w:tcW w:w="713" w:type="dxa"/>
            <w:noWrap/>
            <w:vAlign w:val="top"/>
          </w:tcPr>
          <w:p>
            <w:pPr>
              <w:pStyle w:val="TableText"/>
              <w:jc w:val="left"/>
            </w:pPr>
            <w:r>
              <w:t xml:space="preserve">R-09</w:t>
            </w:r>
          </w:p>
        </w:tc>
        <w:tc>
          <w:tcPr>
            <w:tcW w:w="2643" w:type="dxa"/>
            <w:vAlign w:val="top"/>
          </w:tcPr>
          <w:p>
            <w:pPr>
              <w:pStyle w:val="TableText"/>
              <w:jc w:val="left"/>
            </w:pPr>
            <w:r>
              <w:t xml:space="preserve">Data residency requirements for personal data</w:t>
            </w:r>
          </w:p>
        </w:tc>
        <w:tc>
          <w:tcPr>
            <w:tcW w:w="1460" w:type="dxa"/>
            <w:vAlign w:val="top"/>
          </w:tcPr>
          <w:p>
            <w:pPr>
              <w:pStyle w:val="TableText"/>
              <w:jc w:val="left"/>
            </w:pPr>
            <w:r>
              <w:t xml:space="preserve">Medium</w:t>
            </w:r>
          </w:p>
        </w:tc>
        <w:tc>
          <w:tcPr>
            <w:tcW w:w="972" w:type="dxa"/>
            <w:vAlign w:val="top"/>
          </w:tcPr>
          <w:p>
            <w:pPr>
              <w:pStyle w:val="TableText"/>
              <w:jc w:val="left"/>
            </w:pPr>
            <w:r>
              <w:t xml:space="preserve">High</w:t>
            </w:r>
          </w:p>
        </w:tc>
        <w:tc>
          <w:tcPr>
            <w:tcW w:w="3239" w:type="dxa"/>
            <w:vAlign w:val="top"/>
          </w:tcPr>
          <w:p>
            <w:pPr>
              <w:pStyle w:val="TableText"/>
              <w:jc w:val="left"/>
            </w:pPr>
            <w:r>
              <w:t xml:space="preserve">Production hosting in Vietnam; to be confirmed by TASCO legal (TGP-BUS-03, NFR-030)</w:t>
            </w:r>
          </w:p>
        </w:tc>
      </w:tr>
      <w:tr>
        <w:trPr>
          <w:cantSplit/>
        </w:trPr>
        <w:tc>
          <w:tcPr>
            <w:tcW w:w="713" w:type="dxa"/>
            <w:shd w:val="clear" w:color="auto" w:fill="F4F7FB"/>
            <w:noWrap/>
            <w:vAlign w:val="top"/>
          </w:tcPr>
          <w:p>
            <w:pPr>
              <w:pStyle w:val="TableText"/>
              <w:jc w:val="left"/>
            </w:pPr>
            <w:r>
              <w:t xml:space="preserve">R-10</w:t>
            </w:r>
          </w:p>
        </w:tc>
        <w:tc>
          <w:tcPr>
            <w:tcW w:w="2643" w:type="dxa"/>
            <w:shd w:val="clear" w:color="auto" w:fill="F4F7FB"/>
            <w:vAlign w:val="top"/>
          </w:tcPr>
          <w:p>
            <w:pPr>
              <w:pStyle w:val="TableText"/>
              <w:jc w:val="left"/>
            </w:pPr>
            <w:r>
              <w:t xml:space="preserve">TASCO core does not expose a rating interface in time</w:t>
            </w:r>
          </w:p>
        </w:tc>
        <w:tc>
          <w:tcPr>
            <w:tcW w:w="1460" w:type="dxa"/>
            <w:shd w:val="clear" w:color="auto" w:fill="F4F7FB"/>
            <w:vAlign w:val="top"/>
          </w:tcPr>
          <w:p>
            <w:pPr>
              <w:pStyle w:val="TableText"/>
              <w:jc w:val="left"/>
            </w:pPr>
            <w:r>
              <w:t xml:space="preserve">Medium</w:t>
            </w:r>
          </w:p>
        </w:tc>
        <w:tc>
          <w:tcPr>
            <w:tcW w:w="972" w:type="dxa"/>
            <w:shd w:val="clear" w:color="auto" w:fill="F4F7FB"/>
            <w:vAlign w:val="top"/>
          </w:tcPr>
          <w:p>
            <w:pPr>
              <w:pStyle w:val="TableText"/>
              <w:jc w:val="left"/>
            </w:pPr>
            <w:r>
              <w:t xml:space="preserve">High</w:t>
            </w:r>
          </w:p>
        </w:tc>
        <w:tc>
          <w:tcPr>
            <w:tcW w:w="3239" w:type="dxa"/>
            <w:shd w:val="clear" w:color="auto" w:fill="F4F7FB"/>
            <w:vAlign w:val="top"/>
          </w:tcPr>
          <w:p>
            <w:pPr>
              <w:pStyle w:val="TableText"/>
              <w:jc w:val="left"/>
            </w:pPr>
            <w:r>
              <w:t xml:space="preserve">Interim path: approved tariff tables synchronised from core, with core re-rating at issue; decision in week 2</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49" w:name="_Toc300000045"/>
      <w:r>
        <w:rPr>
          <w:rStyle w:val="BookTitle"/>
          <w:bCs w:val="0"/>
          <w:i w:val="0"/>
          <w:iCs w:val="0"/>
          <w:spacing w:val="0"/>
        </w:rPr>
        <w:t xml:space="preserve">Appendix</w:t>
      </w:r>
      <w:bookmarkEnd w:id="49"/>
    </w:p>
    <w:p>
      <w:pPr>
        <w:pStyle w:val="Heading2"/>
      </w:pPr>
      <w:bookmarkStart w:id="50" w:name="_Toc300000046"/>
      <w:r>
        <w:t xml:space="preserve">Mapping to the four challenge tracks</w:t>
      </w:r>
      <w:bookmarkEnd w:id="50"/>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465"/>
        <w:gridCol w:w="1599"/>
        <w:gridCol w:w="2218"/>
        <w:gridCol w:w="1938"/>
        <w:gridCol w:w="1807"/>
      </w:tblGrid>
      <w:tr>
        <w:trPr>
          <w:cantSplit/>
          <w:tblHeader/>
        </w:trPr>
        <w:tc>
          <w:tcPr>
            <w:tcW w:w="1465" w:type="dxa"/>
            <w:shd w:val="clear" w:color="auto" w:fill="0F4761"/>
            <w:vAlign w:val="center"/>
          </w:tcPr>
          <w:p>
            <w:pPr>
              <w:pStyle w:val="TableHeading"/>
              <w:jc w:val="left"/>
            </w:pPr>
            <w:r>
              <w:rPr>
                <w:color w:val="FFFFFF"/>
              </w:rPr>
              <w:t xml:space="preserve">Track</w:t>
            </w:r>
          </w:p>
        </w:tc>
        <w:tc>
          <w:tcPr>
            <w:tcW w:w="1599" w:type="dxa"/>
            <w:shd w:val="clear" w:color="auto" w:fill="0F4761"/>
            <w:vAlign w:val="center"/>
          </w:tcPr>
          <w:p>
            <w:pPr>
              <w:pStyle w:val="TableHeading"/>
              <w:jc w:val="left"/>
            </w:pPr>
            <w:r>
              <w:rPr>
                <w:color w:val="FFFFFF"/>
              </w:rPr>
              <w:t xml:space="preserve">What the brief asked</w:t>
            </w:r>
          </w:p>
        </w:tc>
        <w:tc>
          <w:tcPr>
            <w:tcW w:w="2218" w:type="dxa"/>
            <w:shd w:val="clear" w:color="auto" w:fill="0F4761"/>
            <w:vAlign w:val="center"/>
          </w:tcPr>
          <w:p>
            <w:pPr>
              <w:pStyle w:val="TableHeading"/>
              <w:jc w:val="left"/>
            </w:pPr>
            <w:r>
              <w:rPr>
                <w:color w:val="FFFFFF"/>
              </w:rPr>
              <w:t xml:space="preserve">What the platform does</w:t>
            </w:r>
          </w:p>
        </w:tc>
        <w:tc>
          <w:tcPr>
            <w:tcW w:w="1938" w:type="dxa"/>
            <w:shd w:val="clear" w:color="auto" w:fill="0F4761"/>
            <w:vAlign w:val="center"/>
          </w:tcPr>
          <w:p>
            <w:pPr>
              <w:pStyle w:val="TableHeading"/>
              <w:jc w:val="left"/>
            </w:pPr>
            <w:r>
              <w:rPr>
                <w:color w:val="FFFFFF"/>
              </w:rPr>
              <w:t xml:space="preserve">Beyond the brief</w:t>
            </w:r>
          </w:p>
        </w:tc>
        <w:tc>
          <w:tcPr>
            <w:tcW w:w="1807" w:type="dxa"/>
            <w:shd w:val="clear" w:color="auto" w:fill="0F4761"/>
            <w:vAlign w:val="center"/>
          </w:tcPr>
          <w:p>
            <w:pPr>
              <w:pStyle w:val="TableHeading"/>
              <w:jc w:val="left"/>
            </w:pPr>
            <w:r>
              <w:rPr>
                <w:color w:val="FFFFFF"/>
              </w:rPr>
              <w:t xml:space="preserve">Requirements</w:t>
            </w:r>
          </w:p>
        </w:tc>
      </w:tr>
      <w:tr>
        <w:trPr>
          <w:cantSplit/>
        </w:trPr>
        <w:tc>
          <w:tcPr>
            <w:tcW w:w="1465" w:type="dxa"/>
            <w:vAlign w:val="top"/>
          </w:tcPr>
          <w:p>
            <w:pPr>
              <w:pStyle w:val="TableText"/>
              <w:jc w:val="left"/>
            </w:pPr>
            <w:r>
              <w:t xml:space="preserve">T1 AI voice assistant</w:t>
            </w:r>
          </w:p>
        </w:tc>
        <w:tc>
          <w:tcPr>
            <w:tcW w:w="1599" w:type="dxa"/>
            <w:vAlign w:val="top"/>
          </w:tcPr>
          <w:p>
            <w:pPr>
              <w:pStyle w:val="TableText"/>
              <w:jc w:val="left"/>
            </w:pPr>
            <w:r>
              <w:t xml:space="preserve">Call interested and expiring leads, confirm the plate first, hand hot leads to telesales</w:t>
            </w:r>
          </w:p>
        </w:tc>
        <w:tc>
          <w:tcPr>
            <w:tcW w:w="2218" w:type="dxa"/>
            <w:vAlign w:val="top"/>
          </w:tcPr>
          <w:p>
            <w:pPr>
              <w:pStyle w:val="TableText"/>
              <w:jc w:val="left"/>
            </w:pPr>
            <w:r>
              <w:t xml:space="preserve">Disclosure, plate-first verification, expiry confirmation, 12 intents, honest price answer, 9 outcomes, structured handoff, campaigns, governance KPIs</w:t>
            </w:r>
          </w:p>
        </w:tc>
        <w:tc>
          <w:tcPr>
            <w:tcW w:w="1938" w:type="dxa"/>
            <w:vAlign w:val="top"/>
          </w:tcPr>
          <w:p>
            <w:pPr>
              <w:pStyle w:val="TableText"/>
              <w:jc w:val="left"/>
            </w:pPr>
            <w:r>
              <w:t xml:space="preserve">Outcomes write back to the record; scripts are versioned and copy-guarded</w:t>
            </w:r>
          </w:p>
        </w:tc>
        <w:tc>
          <w:tcPr>
            <w:tcW w:w="1807" w:type="dxa"/>
            <w:vAlign w:val="top"/>
          </w:tcPr>
          <w:p>
            <w:pPr>
              <w:pStyle w:val="TableText"/>
              <w:jc w:val="left"/>
            </w:pPr>
            <w:r>
              <w:t xml:space="preserve">FR-031 to FR-039</w:t>
            </w:r>
          </w:p>
        </w:tc>
      </w:tr>
      <w:tr>
        <w:trPr>
          <w:cantSplit/>
        </w:trPr>
        <w:tc>
          <w:tcPr>
            <w:tcW w:w="1465" w:type="dxa"/>
            <w:shd w:val="clear" w:color="auto" w:fill="F4F7FB"/>
            <w:vAlign w:val="top"/>
          </w:tcPr>
          <w:p>
            <w:pPr>
              <w:pStyle w:val="TableText"/>
              <w:jc w:val="left"/>
            </w:pPr>
            <w:r>
              <w:t xml:space="preserve">T2 Lead scoring and enrichment</w:t>
            </w:r>
          </w:p>
        </w:tc>
        <w:tc>
          <w:tcPr>
            <w:tcW w:w="1599" w:type="dxa"/>
            <w:shd w:val="clear" w:color="auto" w:fill="F4F7FB"/>
            <w:vAlign w:val="top"/>
          </w:tcPr>
          <w:p>
            <w:pPr>
              <w:pStyle w:val="TableText"/>
              <w:jc w:val="left"/>
            </w:pPr>
            <w:r>
              <w:t xml:space="preserve">Build profiles from incomplete records; rank who to call first</w:t>
            </w:r>
          </w:p>
        </w:tc>
        <w:tc>
          <w:tcPr>
            <w:tcW w:w="2218" w:type="dxa"/>
            <w:shd w:val="clear" w:color="auto" w:fill="F4F7FB"/>
            <w:vAlign w:val="top"/>
          </w:tcPr>
          <w:p>
            <w:pPr>
              <w:pStyle w:val="TableText"/>
              <w:jc w:val="left"/>
            </w:pPr>
            <w:r>
              <w:t xml:space="preserve">One record per vehicle, expiry estimation, category inference, explainable five-factor score, next best action</w:t>
            </w:r>
          </w:p>
        </w:tc>
        <w:tc>
          <w:tcPr>
            <w:tcW w:w="1938" w:type="dxa"/>
            <w:shd w:val="clear" w:color="auto" w:fill="F4F7FB"/>
            <w:vAlign w:val="top"/>
          </w:tcPr>
          <w:p>
            <w:pPr>
              <w:pStyle w:val="TableText"/>
              <w:jc w:val="left"/>
            </w:pPr>
            <w:r>
              <w:t xml:space="preserve">Lineage, data-quality queue, steward corrections, simulation before rule changes</w:t>
            </w:r>
          </w:p>
        </w:tc>
        <w:tc>
          <w:tcPr>
            <w:tcW w:w="1807" w:type="dxa"/>
            <w:shd w:val="clear" w:color="auto" w:fill="F4F7FB"/>
            <w:vAlign w:val="top"/>
          </w:tcPr>
          <w:p>
            <w:pPr>
              <w:pStyle w:val="TableText"/>
              <w:jc w:val="left"/>
            </w:pPr>
            <w:r>
              <w:t xml:space="preserve">FR-001 to FR-019, FR-085</w:t>
            </w:r>
          </w:p>
        </w:tc>
      </w:tr>
      <w:tr>
        <w:trPr>
          <w:cantSplit/>
        </w:trPr>
        <w:tc>
          <w:tcPr>
            <w:tcW w:w="1465" w:type="dxa"/>
            <w:vAlign w:val="top"/>
          </w:tcPr>
          <w:p>
            <w:pPr>
              <w:pStyle w:val="TableText"/>
              <w:jc w:val="left"/>
            </w:pPr>
            <w:r>
              <w:t xml:space="preserve">T3 Renewal engine</w:t>
            </w:r>
          </w:p>
        </w:tc>
        <w:tc>
          <w:tcPr>
            <w:tcW w:w="1599" w:type="dxa"/>
            <w:vAlign w:val="top"/>
          </w:tcPr>
          <w:p>
            <w:pPr>
              <w:pStyle w:val="TableText"/>
              <w:jc w:val="left"/>
            </w:pPr>
            <w:r>
              <w:t xml:space="preserve">Automatic reminders; simple purchase in the VETC app and Zalo</w:t>
            </w:r>
          </w:p>
        </w:tc>
        <w:tc>
          <w:tcPr>
            <w:tcW w:w="2218" w:type="dxa"/>
            <w:vAlign w:val="top"/>
          </w:tcPr>
          <w:p>
            <w:pPr>
              <w:pStyle w:val="TableText"/>
              <w:jc w:val="left"/>
            </w:pPr>
            <w:r>
              <w:t xml:space="preserve">Journeys, contact policy, copy guard, signed links, wallet purchase, e-certificate, rating by TASCO core</w:t>
            </w:r>
          </w:p>
        </w:tc>
        <w:tc>
          <w:tcPr>
            <w:tcW w:w="1938" w:type="dxa"/>
            <w:vAlign w:val="top"/>
          </w:tcPr>
          <w:p>
            <w:pPr>
              <w:pStyle w:val="TableText"/>
              <w:jc w:val="left"/>
            </w:pPr>
            <w:r>
              <w:t xml:space="preserve">New-business journeys, ecosystem triggers, partner API</w:t>
            </w:r>
          </w:p>
        </w:tc>
        <w:tc>
          <w:tcPr>
            <w:tcW w:w="1807" w:type="dxa"/>
            <w:vAlign w:val="top"/>
          </w:tcPr>
          <w:p>
            <w:pPr>
              <w:pStyle w:val="TableText"/>
              <w:jc w:val="left"/>
            </w:pPr>
            <w:r>
              <w:t xml:space="preserve">FR-020 to FR-030, FR-045 to FR-052, FR-074 to FR-077, FR-111 to FR-115</w:t>
            </w:r>
          </w:p>
        </w:tc>
      </w:tr>
      <w:tr>
        <w:trPr>
          <w:cantSplit/>
        </w:trPr>
        <w:tc>
          <w:tcPr>
            <w:tcW w:w="1465" w:type="dxa"/>
            <w:shd w:val="clear" w:color="auto" w:fill="F4F7FB"/>
            <w:vAlign w:val="top"/>
          </w:tcPr>
          <w:p>
            <w:pPr>
              <w:pStyle w:val="TableText"/>
              <w:jc w:val="left"/>
            </w:pPr>
            <w:r>
              <w:t xml:space="preserve">T4 Value beyond discount</w:t>
            </w:r>
          </w:p>
        </w:tc>
        <w:tc>
          <w:tcPr>
            <w:tcW w:w="1599" w:type="dxa"/>
            <w:shd w:val="clear" w:color="auto" w:fill="F4F7FB"/>
            <w:vAlign w:val="top"/>
          </w:tcPr>
          <w:p>
            <w:pPr>
              <w:pStyle w:val="TableText"/>
              <w:jc w:val="left"/>
            </w:pPr>
            <w:r>
              <w:t xml:space="preserve">Roadside, loyalty and bundles instead of price cuts</w:t>
            </w:r>
          </w:p>
        </w:tc>
        <w:tc>
          <w:tcPr>
            <w:tcW w:w="2218" w:type="dxa"/>
            <w:shd w:val="clear" w:color="auto" w:fill="F4F7FB"/>
            <w:vAlign w:val="top"/>
          </w:tcPr>
          <w:p>
            <w:pPr>
              <w:pStyle w:val="TableText"/>
              <w:jc w:val="left"/>
            </w:pPr>
            <w:r>
              <w:t xml:space="preserve">Benefits with legal gating, relevance and reasons, bundles, multi-year cover, cover upgrades, accident reporting</w:t>
            </w:r>
          </w:p>
        </w:tc>
        <w:tc>
          <w:tcPr>
            <w:tcW w:w="1938" w:type="dxa"/>
            <w:shd w:val="clear" w:color="auto" w:fill="F4F7FB"/>
            <w:vAlign w:val="top"/>
          </w:tcPr>
          <w:p>
            <w:pPr>
              <w:pStyle w:val="TableText"/>
              <w:jc w:val="left"/>
            </w:pPr>
            <w:r>
              <w:t xml:space="preserve">Copy guard enforcement, QR verification, fleet proposition</w:t>
            </w:r>
          </w:p>
        </w:tc>
        <w:tc>
          <w:tcPr>
            <w:tcW w:w="1807" w:type="dxa"/>
            <w:shd w:val="clear" w:color="auto" w:fill="F4F7FB"/>
            <w:vAlign w:val="top"/>
          </w:tcPr>
          <w:p>
            <w:pPr>
              <w:pStyle w:val="TableText"/>
              <w:jc w:val="left"/>
            </w:pPr>
            <w:r>
              <w:t xml:space="preserve">FR-053 to FR-062, FR-071 to FR-073</w:t>
            </w:r>
          </w:p>
        </w:tc>
      </w:tr>
    </w:tbl>
    <w:p>
      <w:pPr>
        <w:pStyle w:val="Heading2"/>
      </w:pPr>
      <w:bookmarkStart w:id="51" w:name="_Toc300000047"/>
      <w:r>
        <w:t xml:space="preserve">Fit with TASCO’s evaluation criteria</w:t>
      </w:r>
      <w:bookmarkEnd w:id="51"/>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338"/>
        <w:gridCol w:w="7689"/>
      </w:tblGrid>
      <w:tr>
        <w:trPr>
          <w:cantSplit/>
          <w:tblHeader/>
        </w:trPr>
        <w:tc>
          <w:tcPr>
            <w:tcW w:w="1338" w:type="dxa"/>
            <w:shd w:val="clear" w:color="auto" w:fill="0F4761"/>
            <w:vAlign w:val="center"/>
          </w:tcPr>
          <w:p>
            <w:pPr>
              <w:pStyle w:val="TableHeading"/>
              <w:jc w:val="left"/>
            </w:pPr>
            <w:r>
              <w:rPr>
                <w:color w:val="FFFFFF"/>
              </w:rPr>
              <w:t xml:space="preserve">Criterion</w:t>
            </w:r>
          </w:p>
        </w:tc>
        <w:tc>
          <w:tcPr>
            <w:tcW w:w="7689" w:type="dxa"/>
            <w:shd w:val="clear" w:color="auto" w:fill="0F4761"/>
            <w:vAlign w:val="center"/>
          </w:tcPr>
          <w:p>
            <w:pPr>
              <w:pStyle w:val="TableHeading"/>
              <w:jc w:val="left"/>
            </w:pPr>
            <w:r>
              <w:rPr>
                <w:color w:val="FFFFFF"/>
              </w:rPr>
              <w:t xml:space="preserve">How the proposal responds</w:t>
            </w:r>
          </w:p>
        </w:tc>
      </w:tr>
      <w:tr>
        <w:trPr>
          <w:cantSplit/>
        </w:trPr>
        <w:tc>
          <w:tcPr>
            <w:tcW w:w="1338" w:type="dxa"/>
            <w:vAlign w:val="top"/>
          </w:tcPr>
          <w:p>
            <w:pPr>
              <w:pStyle w:val="TableText"/>
              <w:jc w:val="left"/>
            </w:pPr>
            <w:r>
              <w:t xml:space="preserve">Impact</w:t>
            </w:r>
          </w:p>
        </w:tc>
        <w:tc>
          <w:tcPr>
            <w:tcW w:w="7689" w:type="dxa"/>
            <w:vAlign w:val="top"/>
          </w:tcPr>
          <w:p>
            <w:pPr>
              <w:pStyle w:val="TableText"/>
              <w:jc w:val="left"/>
            </w:pPr>
            <w:r>
              <w:t xml:space="preserve">Addresses all four causes (data, trust, price, friction) across seven segments; base case about 140,000 policies and VND 86.3 billion of premium</w:t>
            </w:r>
          </w:p>
        </w:tc>
      </w:tr>
      <w:tr>
        <w:trPr>
          <w:cantSplit/>
        </w:trPr>
        <w:tc>
          <w:tcPr>
            <w:tcW w:w="1338" w:type="dxa"/>
            <w:shd w:val="clear" w:color="auto" w:fill="F4F7FB"/>
            <w:vAlign w:val="top"/>
          </w:tcPr>
          <w:p>
            <w:pPr>
              <w:pStyle w:val="TableText"/>
              <w:jc w:val="left"/>
            </w:pPr>
            <w:r>
              <w:t xml:space="preserve">Fit</w:t>
            </w:r>
          </w:p>
        </w:tc>
        <w:tc>
          <w:tcPr>
            <w:tcW w:w="7689" w:type="dxa"/>
            <w:shd w:val="clear" w:color="auto" w:fill="F4F7FB"/>
            <w:vAlign w:val="top"/>
          </w:tcPr>
          <w:p>
            <w:pPr>
              <w:pStyle w:val="TableText"/>
              <w:jc w:val="left"/>
            </w:pPr>
            <w:r>
              <w:t xml:space="preserve">Built on Tasco group assets (VETC app, wallet, tag events, inspection, TASCO core); respects regulated pricing, partner economics and VETC’s multi-insurer model</w:t>
            </w:r>
          </w:p>
        </w:tc>
      </w:tr>
      <w:tr>
        <w:trPr>
          <w:cantSplit/>
        </w:trPr>
        <w:tc>
          <w:tcPr>
            <w:tcW w:w="1338" w:type="dxa"/>
            <w:vAlign w:val="top"/>
          </w:tcPr>
          <w:p>
            <w:pPr>
              <w:pStyle w:val="TableText"/>
              <w:jc w:val="left"/>
            </w:pPr>
            <w:r>
              <w:t xml:space="preserve">Speed</w:t>
            </w:r>
          </w:p>
        </w:tc>
        <w:tc>
          <w:tcPr>
            <w:tcW w:w="7689" w:type="dxa"/>
            <w:vAlign w:val="top"/>
          </w:tcPr>
          <w:p>
            <w:pPr>
              <w:pStyle w:val="TableText"/>
              <w:jc w:val="left"/>
            </w:pPr>
            <w:r>
              <w:t xml:space="preserve">Working platform with 97 API endpoints, a staff console, a customer app, rules-driven logic and more than 250 automated tests; pilot live 13 weeks after signature; rule changes in hours through maker-checker without a release</w:t>
            </w:r>
          </w:p>
        </w:tc>
      </w:tr>
      <w:tr>
        <w:trPr>
          <w:cantSplit/>
        </w:trPr>
        <w:tc>
          <w:tcPr>
            <w:tcW w:w="1338" w:type="dxa"/>
            <w:shd w:val="clear" w:color="auto" w:fill="F4F7FB"/>
            <w:vAlign w:val="top"/>
          </w:tcPr>
          <w:p>
            <w:pPr>
              <w:pStyle w:val="TableText"/>
              <w:jc w:val="left"/>
            </w:pPr>
            <w:r>
              <w:t xml:space="preserve">Cost</w:t>
            </w:r>
          </w:p>
        </w:tc>
        <w:tc>
          <w:tcPr>
            <w:tcW w:w="7689" w:type="dxa"/>
            <w:shd w:val="clear" w:color="auto" w:fill="F4F7FB"/>
            <w:vAlign w:val="top"/>
          </w:tcPr>
          <w:p>
            <w:pPr>
              <w:pStyle w:val="TableText"/>
              <w:jc w:val="left"/>
            </w:pPr>
            <w:r>
              <w:t xml:space="preserve">Free push first; assistant calls at 8.9% of the telesales cost; open-source runtime with one dependency; no licensed rules engine</w:t>
            </w:r>
          </w:p>
        </w:tc>
      </w:tr>
    </w:tbl>
    <w:p>
      <w:pPr>
        <w:pStyle w:val="Heading2"/>
      </w:pPr>
      <w:bookmarkStart w:id="52" w:name="_Toc300000048"/>
      <w:r>
        <w:t xml:space="preserve">Additions beyond the brief</w:t>
      </w:r>
      <w:bookmarkEnd w:id="52"/>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4535"/>
        <w:gridCol w:w="4492"/>
      </w:tblGrid>
      <w:tr>
        <w:trPr>
          <w:cantSplit/>
          <w:tblHeader/>
        </w:trPr>
        <w:tc>
          <w:tcPr>
            <w:tcW w:w="4535" w:type="dxa"/>
            <w:shd w:val="clear" w:color="auto" w:fill="0F4761"/>
            <w:vAlign w:val="center"/>
          </w:tcPr>
          <w:p>
            <w:pPr>
              <w:pStyle w:val="TableHeading"/>
              <w:jc w:val="left"/>
            </w:pPr>
            <w:r>
              <w:rPr>
                <w:color w:val="FFFFFF"/>
              </w:rPr>
              <w:t xml:space="preserve">Addition</w:t>
            </w:r>
          </w:p>
        </w:tc>
        <w:tc>
          <w:tcPr>
            <w:tcW w:w="4492" w:type="dxa"/>
            <w:shd w:val="clear" w:color="auto" w:fill="0F4761"/>
            <w:vAlign w:val="center"/>
          </w:tcPr>
          <w:p>
            <w:pPr>
              <w:pStyle w:val="TableHeading"/>
              <w:jc w:val="left"/>
            </w:pPr>
            <w:r>
              <w:rPr>
                <w:color w:val="FFFFFF"/>
              </w:rPr>
              <w:t xml:space="preserve">Why it matters</w:t>
            </w:r>
          </w:p>
        </w:tc>
      </w:tr>
      <w:tr>
        <w:trPr>
          <w:cantSplit/>
        </w:trPr>
        <w:tc>
          <w:tcPr>
            <w:tcW w:w="4535" w:type="dxa"/>
            <w:vAlign w:val="top"/>
          </w:tcPr>
          <w:p>
            <w:pPr>
              <w:pStyle w:val="TableText"/>
              <w:jc w:val="left"/>
            </w:pPr>
            <w:r>
              <w:t xml:space="preserve">New-business journeys: uninsured recovery, new vehicle, conquest</w:t>
            </w:r>
          </w:p>
        </w:tc>
        <w:tc>
          <w:tcPr>
            <w:tcW w:w="4492" w:type="dxa"/>
            <w:vAlign w:val="top"/>
          </w:tcPr>
          <w:p>
            <w:pPr>
              <w:pStyle w:val="TableText"/>
              <w:jc w:val="left"/>
            </w:pPr>
            <w:r>
              <w:t xml:space="preserve">Growth beyond the small TASCO book</w:t>
            </w:r>
          </w:p>
        </w:tc>
      </w:tr>
      <w:tr>
        <w:trPr>
          <w:cantSplit/>
        </w:trPr>
        <w:tc>
          <w:tcPr>
            <w:tcW w:w="4535" w:type="dxa"/>
            <w:shd w:val="clear" w:color="auto" w:fill="F4F7FB"/>
            <w:vAlign w:val="top"/>
          </w:tcPr>
          <w:p>
            <w:pPr>
              <w:pStyle w:val="TableText"/>
              <w:jc w:val="left"/>
            </w:pPr>
            <w:r>
              <w:t xml:space="preserve">Ecosystem moments: tag activation, inspection booking, wallet top-up, long trip</w:t>
            </w:r>
          </w:p>
        </w:tc>
        <w:tc>
          <w:tcPr>
            <w:tcW w:w="4492" w:type="dxa"/>
            <w:shd w:val="clear" w:color="auto" w:fill="F4F7FB"/>
            <w:vAlign w:val="top"/>
          </w:tcPr>
          <w:p>
            <w:pPr>
              <w:pStyle w:val="TableText"/>
              <w:jc w:val="left"/>
            </w:pPr>
            <w:r>
              <w:t xml:space="preserve">Contact when the driver is receptive and in the app</w:t>
            </w:r>
          </w:p>
        </w:tc>
      </w:tr>
      <w:tr>
        <w:trPr>
          <w:cantSplit/>
        </w:trPr>
        <w:tc>
          <w:tcPr>
            <w:tcW w:w="4535" w:type="dxa"/>
            <w:vAlign w:val="top"/>
          </w:tcPr>
          <w:p>
            <w:pPr>
              <w:pStyle w:val="TableText"/>
              <w:jc w:val="left"/>
            </w:pPr>
            <w:r>
              <w:t xml:space="preserve">Partner API and commission statements</w:t>
            </w:r>
          </w:p>
        </w:tc>
        <w:tc>
          <w:tcPr>
            <w:tcW w:w="4492" w:type="dxa"/>
            <w:vAlign w:val="top"/>
          </w:tcPr>
          <w:p>
            <w:pPr>
              <w:pStyle w:val="TableText"/>
              <w:jc w:val="left"/>
            </w:pPr>
            <w:r>
              <w:t xml:space="preserve">Equips the channel that already closes most sales</w:t>
            </w:r>
          </w:p>
        </w:tc>
      </w:tr>
      <w:tr>
        <w:trPr>
          <w:cantSplit/>
        </w:trPr>
        <w:tc>
          <w:tcPr>
            <w:tcW w:w="4535" w:type="dxa"/>
            <w:shd w:val="clear" w:color="auto" w:fill="F4F7FB"/>
            <w:vAlign w:val="top"/>
          </w:tcPr>
          <w:p>
            <w:pPr>
              <w:pStyle w:val="TableText"/>
              <w:jc w:val="left"/>
            </w:pPr>
            <w:r>
              <w:t xml:space="preserve">Multi-product catalogue and bundles</w:t>
            </w:r>
          </w:p>
        </w:tc>
        <w:tc>
          <w:tcPr>
            <w:tcW w:w="4492" w:type="dxa"/>
            <w:shd w:val="clear" w:color="auto" w:fill="F4F7FB"/>
            <w:vAlign w:val="top"/>
          </w:tcPr>
          <w:p>
            <w:pPr>
              <w:pStyle w:val="TableText"/>
              <w:jc w:val="left"/>
            </w:pPr>
            <w:r>
              <w:t xml:space="preserve">Raises value per customer without discounting</w:t>
            </w:r>
          </w:p>
        </w:tc>
      </w:tr>
      <w:tr>
        <w:trPr>
          <w:cantSplit/>
        </w:trPr>
        <w:tc>
          <w:tcPr>
            <w:tcW w:w="4535" w:type="dxa"/>
            <w:vAlign w:val="top"/>
          </w:tcPr>
          <w:p>
            <w:pPr>
              <w:pStyle w:val="TableText"/>
              <w:jc w:val="left"/>
            </w:pPr>
            <w:r>
              <w:t xml:space="preserve">Public QR certificate verification</w:t>
            </w:r>
          </w:p>
        </w:tc>
        <w:tc>
          <w:tcPr>
            <w:tcW w:w="4492" w:type="dxa"/>
            <w:vAlign w:val="top"/>
          </w:tcPr>
          <w:p>
            <w:pPr>
              <w:pStyle w:val="TableText"/>
              <w:jc w:val="left"/>
            </w:pPr>
            <w:r>
              <w:t xml:space="preserve">Trust and proof of cover at roadside checks</w:t>
            </w:r>
          </w:p>
        </w:tc>
      </w:tr>
      <w:tr>
        <w:trPr>
          <w:cantSplit/>
        </w:trPr>
        <w:tc>
          <w:tcPr>
            <w:tcW w:w="4535" w:type="dxa"/>
            <w:shd w:val="clear" w:color="auto" w:fill="F4F7FB"/>
            <w:vAlign w:val="top"/>
          </w:tcPr>
          <w:p>
            <w:pPr>
              <w:pStyle w:val="TableText"/>
              <w:jc w:val="left"/>
            </w:pPr>
            <w:r>
              <w:t xml:space="preserve">Accident reporting in the app</w:t>
            </w:r>
          </w:p>
        </w:tc>
        <w:tc>
          <w:tcPr>
            <w:tcW w:w="4492" w:type="dxa"/>
            <w:shd w:val="clear" w:color="auto" w:fill="F4F7FB"/>
            <w:vAlign w:val="top"/>
          </w:tcPr>
          <w:p>
            <w:pPr>
              <w:pStyle w:val="TableText"/>
              <w:jc w:val="left"/>
            </w:pPr>
            <w:r>
              <w:t xml:space="preserve">Trust is earned at claim time</w:t>
            </w:r>
          </w:p>
        </w:tc>
      </w:tr>
      <w:tr>
        <w:trPr>
          <w:cantSplit/>
        </w:trPr>
        <w:tc>
          <w:tcPr>
            <w:tcW w:w="4535" w:type="dxa"/>
            <w:vAlign w:val="top"/>
          </w:tcPr>
          <w:p>
            <w:pPr>
              <w:pStyle w:val="TableText"/>
              <w:jc w:val="left"/>
            </w:pPr>
            <w:r>
              <w:t xml:space="preserve">Rules governance with simulation, maker-checker and rollback</w:t>
            </w:r>
          </w:p>
        </w:tc>
        <w:tc>
          <w:tcPr>
            <w:tcW w:w="4492" w:type="dxa"/>
            <w:vAlign w:val="top"/>
          </w:tcPr>
          <w:p>
            <w:pPr>
              <w:pStyle w:val="TableText"/>
              <w:jc w:val="left"/>
            </w:pPr>
            <w:r>
              <w:t xml:space="preserve">The business changes scoring, journeys and wording safely without a release</w:t>
            </w:r>
          </w:p>
        </w:tc>
      </w:tr>
      <w:tr>
        <w:trPr>
          <w:cantSplit/>
        </w:trPr>
        <w:tc>
          <w:tcPr>
            <w:tcW w:w="4535" w:type="dxa"/>
            <w:shd w:val="clear" w:color="auto" w:fill="F4F7FB"/>
            <w:vAlign w:val="top"/>
          </w:tcPr>
          <w:p>
            <w:pPr>
              <w:pStyle w:val="TableText"/>
              <w:jc w:val="left"/>
            </w:pPr>
            <w:r>
              <w:t xml:space="preserve">Copy guard</w:t>
            </w:r>
          </w:p>
        </w:tc>
        <w:tc>
          <w:tcPr>
            <w:tcW w:w="4492" w:type="dxa"/>
            <w:shd w:val="clear" w:color="auto" w:fill="F4F7FB"/>
            <w:vAlign w:val="top"/>
          </w:tcPr>
          <w:p>
            <w:pPr>
              <w:pStyle w:val="TableText"/>
              <w:jc w:val="left"/>
            </w:pPr>
            <w:r>
              <w:t xml:space="preserve">Discount language cannot reach customers</w:t>
            </w:r>
          </w:p>
        </w:tc>
      </w:tr>
      <w:tr>
        <w:trPr>
          <w:cantSplit/>
        </w:trPr>
        <w:tc>
          <w:tcPr>
            <w:tcW w:w="4535" w:type="dxa"/>
            <w:vAlign w:val="top"/>
          </w:tcPr>
          <w:p>
            <w:pPr>
              <w:pStyle w:val="TableText"/>
              <w:jc w:val="left"/>
            </w:pPr>
            <w:r>
              <w:t xml:space="preserve">Contact policy engine (consent, do-not-contact, hours, caps)</w:t>
            </w:r>
          </w:p>
        </w:tc>
        <w:tc>
          <w:tcPr>
            <w:tcW w:w="4492" w:type="dxa"/>
            <w:vAlign w:val="top"/>
          </w:tcPr>
          <w:p>
            <w:pPr>
              <w:pStyle w:val="TableText"/>
              <w:jc w:val="left"/>
            </w:pPr>
            <w:r>
              <w:t xml:space="preserve">Compliance with the spam rules by design</w:t>
            </w:r>
          </w:p>
        </w:tc>
      </w:tr>
      <w:tr>
        <w:trPr>
          <w:cantSplit/>
        </w:trPr>
        <w:tc>
          <w:tcPr>
            <w:tcW w:w="4535" w:type="dxa"/>
            <w:shd w:val="clear" w:color="auto" w:fill="F4F7FB"/>
            <w:vAlign w:val="top"/>
          </w:tcPr>
          <w:p>
            <w:pPr>
              <w:pStyle w:val="TableText"/>
              <w:jc w:val="left"/>
            </w:pPr>
            <w:r>
              <w:t xml:space="preserve">Data lineage, data-quality queue and steward corrections</w:t>
            </w:r>
          </w:p>
        </w:tc>
        <w:tc>
          <w:tcPr>
            <w:tcW w:w="4492" w:type="dxa"/>
            <w:shd w:val="clear" w:color="auto" w:fill="F4F7FB"/>
            <w:vAlign w:val="top"/>
          </w:tcPr>
          <w:p>
            <w:pPr>
              <w:pStyle w:val="TableText"/>
              <w:jc w:val="left"/>
            </w:pPr>
            <w:r>
              <w:t xml:space="preserve">Data repair becomes an operational process</w:t>
            </w:r>
          </w:p>
        </w:tc>
      </w:tr>
      <w:tr>
        <w:trPr>
          <w:cantSplit/>
        </w:trPr>
        <w:tc>
          <w:tcPr>
            <w:tcW w:w="4535" w:type="dxa"/>
            <w:vAlign w:val="top"/>
          </w:tcPr>
          <w:p>
            <w:pPr>
              <w:pStyle w:val="TableText"/>
              <w:jc w:val="left"/>
            </w:pPr>
            <w:r>
              <w:t xml:space="preserve">Tamper-evident audit trail</w:t>
            </w:r>
          </w:p>
        </w:tc>
        <w:tc>
          <w:tcPr>
            <w:tcW w:w="4492" w:type="dxa"/>
            <w:vAlign w:val="top"/>
          </w:tcPr>
          <w:p>
            <w:pPr>
              <w:pStyle w:val="TableText"/>
              <w:jc w:val="left"/>
            </w:pPr>
            <w:r>
              <w:t xml:space="preserve">Accountability that stands up to a regulator</w:t>
            </w:r>
          </w:p>
        </w:tc>
      </w:tr>
      <w:tr>
        <w:trPr>
          <w:cantSplit/>
        </w:trPr>
        <w:tc>
          <w:tcPr>
            <w:tcW w:w="4535" w:type="dxa"/>
            <w:shd w:val="clear" w:color="auto" w:fill="F4F7FB"/>
            <w:vAlign w:val="top"/>
          </w:tcPr>
          <w:p>
            <w:pPr>
              <w:pStyle w:val="TableText"/>
              <w:jc w:val="left"/>
            </w:pPr>
            <w:r>
              <w:t xml:space="preserve">Data-subject rights: export, erasure, consent centre</w:t>
            </w:r>
          </w:p>
        </w:tc>
        <w:tc>
          <w:tcPr>
            <w:tcW w:w="4492" w:type="dxa"/>
            <w:shd w:val="clear" w:color="auto" w:fill="F4F7FB"/>
            <w:vAlign w:val="top"/>
          </w:tcPr>
          <w:p>
            <w:pPr>
              <w:pStyle w:val="TableText"/>
              <w:jc w:val="left"/>
            </w:pPr>
            <w:r>
              <w:t xml:space="preserve">Readiness for the Personal Data Protection Law</w:t>
            </w:r>
          </w:p>
        </w:tc>
      </w:tr>
      <w:tr>
        <w:trPr>
          <w:cantSplit/>
        </w:trPr>
        <w:tc>
          <w:tcPr>
            <w:tcW w:w="4535" w:type="dxa"/>
            <w:vAlign w:val="top"/>
          </w:tcPr>
          <w:p>
            <w:pPr>
              <w:pStyle w:val="TableText"/>
              <w:jc w:val="left"/>
            </w:pPr>
            <w:r>
              <w:t xml:space="preserve">Economics on the dashboard</w:t>
            </w:r>
          </w:p>
        </w:tc>
        <w:tc>
          <w:tcPr>
            <w:tcW w:w="4492" w:type="dxa"/>
            <w:vAlign w:val="top"/>
          </w:tcPr>
          <w:p>
            <w:pPr>
              <w:pStyle w:val="TableText"/>
              <w:jc w:val="left"/>
            </w:pPr>
            <w:r>
              <w:t xml:space="preserve">Cost per order and the assistant’s saving visible every day</w:t>
            </w:r>
          </w:p>
        </w:tc>
      </w:tr>
      <w:tr>
        <w:trPr>
          <w:cantSplit/>
        </w:trPr>
        <w:tc>
          <w:tcPr>
            <w:tcW w:w="4535" w:type="dxa"/>
            <w:shd w:val="clear" w:color="auto" w:fill="F4F7FB"/>
            <w:vAlign w:val="top"/>
          </w:tcPr>
          <w:p>
            <w:pPr>
              <w:pStyle w:val="TableText"/>
              <w:jc w:val="left"/>
            </w:pPr>
            <w:r>
              <w:t xml:space="preserve">Multi-year cover aligned with the inspection cycle</w:t>
            </w:r>
          </w:p>
        </w:tc>
        <w:tc>
          <w:tcPr>
            <w:tcW w:w="4492" w:type="dxa"/>
            <w:shd w:val="clear" w:color="auto" w:fill="F4F7FB"/>
            <w:vAlign w:val="top"/>
          </w:tcPr>
          <w:p>
            <w:pPr>
              <w:pStyle w:val="TableText"/>
              <w:jc w:val="left"/>
            </w:pPr>
            <w:r>
              <w:t xml:space="preserve">Fewer renewals to win; convenience for the driver</w:t>
            </w:r>
          </w:p>
        </w:tc>
      </w:tr>
      <w:tr>
        <w:trPr>
          <w:cantSplit/>
        </w:trPr>
        <w:tc>
          <w:tcPr>
            <w:tcW w:w="4535" w:type="dxa"/>
            <w:vAlign w:val="top"/>
          </w:tcPr>
          <w:p>
            <w:pPr>
              <w:pStyle w:val="TableText"/>
              <w:jc w:val="left"/>
            </w:pPr>
            <w:r>
              <w:t xml:space="preserve">TASCO core as master for products and rating</w:t>
            </w:r>
          </w:p>
        </w:tc>
        <w:tc>
          <w:tcPr>
            <w:tcW w:w="4492" w:type="dxa"/>
            <w:vAlign w:val="top"/>
          </w:tcPr>
          <w:p>
            <w:pPr>
              <w:pStyle w:val="TableText"/>
              <w:jc w:val="left"/>
            </w:pPr>
            <w:r>
              <w:t xml:space="preserve">No duplicated tariffs; the premium quoted is the premium issued</w:t>
            </w:r>
          </w:p>
        </w:tc>
      </w:tr>
    </w:tbl>
    <w:p w14:paraId="12E0A58E"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53" w:name="_Toc300000049"/>
      <w:r>
        <w:rPr>
          <w:rStyle w:val="BookTitle"/>
          <w:bCs w:val="0"/>
          <w:i w:val="0"/>
          <w:iCs w:val="0"/>
          <w:spacing w:val="0"/>
        </w:rPr>
        <w:t xml:space="preserve">Sign-Off</w:t>
      </w:r>
      <w:bookmarkEnd w:id="53"/>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972"/>
        <w:gridCol w:w="4827"/>
        <w:gridCol w:w="2256"/>
        <w:gridCol w:w="972"/>
      </w:tblGrid>
      <w:tr w:rsidR="002B183A" w14:paraId="0ABAE4AD" w14:textId="77777777" w:rsidTr="002923F3">
        <w:trPr>
          <w:cantSplit/>
          <w:trHeight w:val="440"/>
          <w:tblHeader/>
        </w:trPr>
        <w:tc>
          <w:tcPr>
            <w:tcW w:w="972" w:type="dxa"/>
            <w:shd w:val="clear" w:color="auto" w:fill="0F4761"/>
            <w:vAlign w:val="center"/>
          </w:tcPr>
          <w:p w14:paraId="3EB3C57B"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lastRenderedPageBreak/>
              <w:t>Serial Number</w:t>
            </w:r>
          </w:p>
        </w:tc>
        <w:tc>
          <w:tcPr>
            <w:tcW w:w="4827" w:type="dxa"/>
            <w:shd w:val="clear" w:color="auto" w:fill="0F4761"/>
            <w:vAlign w:val="center"/>
          </w:tcPr>
          <w:p w14:paraId="11ABC55F"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Description</w:t>
            </w:r>
          </w:p>
        </w:tc>
        <w:tc>
          <w:tcPr>
            <w:tcW w:w="2256" w:type="dxa"/>
            <w:shd w:val="clear" w:color="auto" w:fill="0F4761"/>
            <w:vAlign w:val="center"/>
          </w:tcPr>
          <w:p w14:paraId="05BF7E25"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Owner</w:t>
            </w:r>
          </w:p>
        </w:tc>
        <w:tc>
          <w:tcPr>
            <w:tcW w:w="972" w:type="dxa"/>
            <w:shd w:val="clear" w:color="auto" w:fill="0F4761"/>
            <w:vAlign w:val="center"/>
          </w:tcPr>
          <w:p w14:paraId="1E57008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Status</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1</w:t>
            </w:r>
          </w:p>
        </w:tc>
        <w:tc>
          <w:tcPr>
            <w:tcW w:w="4827"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TNDS tariff figures from Decree 67/2023/ND-CP confirmed for use in the platform</w:t>
            </w:r>
          </w:p>
        </w:tc>
        <w:tc>
          <w:tcPr>
            <w:tcW w:w="2256"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Underwriting</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2</w:t>
            </w:r>
          </w:p>
        </w:tc>
        <w:tc>
          <w:tcPr>
            <w:tcW w:w="4827"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Statutory commission caps by product confirmed</w:t>
            </w:r>
          </w:p>
        </w:tc>
        <w:tc>
          <w:tcPr>
            <w:tcW w:w="2256"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Finance and TASCO Legal</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3</w:t>
            </w:r>
          </w:p>
        </w:tc>
        <w:tc>
          <w:tcPr>
            <w:tcW w:w="4827"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Contact policy, consent basis and personal data processing confirmed (to be confirmed by TASCO legal)</w:t>
            </w:r>
          </w:p>
        </w:tc>
        <w:tc>
          <w:tcPr>
            <w:tcW w:w="2256"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Legal</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4</w:t>
            </w:r>
          </w:p>
        </w:tc>
        <w:tc>
          <w:tcPr>
            <w:tcW w:w="4827"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VETC data-sharing basis for marketing use agreed</w:t>
            </w:r>
          </w:p>
        </w:tc>
        <w:tc>
          <w:tcPr>
            <w:tcW w:w="2256"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Legal and VETC</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5</w:t>
            </w:r>
          </w:p>
        </w:tc>
        <w:tc>
          <w:tcPr>
            <w:tcW w:w="4827"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Group position on VETC multi-insurer neutrality</w:t>
            </w:r>
          </w:p>
        </w:tc>
        <w:tc>
          <w:tcPr>
            <w:tcW w:w="2256"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group executive</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6</w:t>
            </w:r>
          </w:p>
        </w:tc>
        <w:tc>
          <w:tcPr>
            <w:tcW w:w="4827"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Business-case assumptions A-01 to A-14 replaced or confirmed with TASCO data</w:t>
            </w:r>
          </w:p>
        </w:tc>
        <w:tc>
          <w:tcPr>
            <w:tcW w:w="2256"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Finance and Product Owner</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7</w:t>
            </w:r>
          </w:p>
        </w:tc>
        <w:tc>
          <w:tcPr>
            <w:tcW w:w="4827"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Loyalty points and referral programme approved or rejected</w:t>
            </w:r>
          </w:p>
        </w:tc>
        <w:tc>
          <w:tcPr>
            <w:tcW w:w="2256"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Legal</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bl>
    <w:p w14:paraId="57CC15FC" w14:textId="77777777" w:rsidR="002B183A" w:rsidRDefault="002B183A" w:rsidP="002B183A">
      <w:pPr>
        <w:jc w:val="both"/>
        <w:rPr>
          <w:rFonts w:ascii="Segoe UI" w:eastAsia="Arial" w:hAnsi="Segoe UI" w:cs="Segoe UI"/>
          <w:color w:val="101820"/>
          <w:sz w:val="22"/>
        </w:rPr>
      </w:pP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1032"/>
        <w:gridCol w:w="1624"/>
        <w:gridCol w:w="2545"/>
        <w:gridCol w:w="3826"/>
      </w:tblGrid>
      <w:tr w:rsidR="002B183A" w14:paraId="731A77C7" w14:textId="77777777" w:rsidTr="002923F3">
        <w:trPr>
          <w:cantSplit/>
          <w:trHeight w:val="440"/>
          <w:tblHeader/>
        </w:trPr>
        <w:tc>
          <w:tcPr>
            <w:tcW w:w="1032" w:type="dxa"/>
            <w:shd w:val="clear" w:color="auto" w:fill="0F4761"/>
            <w:vAlign w:val="center"/>
          </w:tcPr>
          <w:p w14:paraId="2799E84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 xml:space="preserve">Sign Off </w:t>
            </w:r>
            <w:r w:rsidRPr="00FF67C3">
              <w:rPr>
                <w:rFonts w:ascii="Segoe UI" w:eastAsia="Arial" w:hAnsi="Segoe UI" w:cs="Segoe UI"/>
                <w:b/>
                <w:bCs/>
                <w:color w:val="FFFFFF"/>
                <w:sz w:val="16"/>
                <w:szCs w:val="16"/>
              </w:rPr>
              <w:t>Date</w:t>
            </w:r>
          </w:p>
        </w:tc>
        <w:tc>
          <w:tcPr>
            <w:tcW w:w="1624" w:type="dxa"/>
            <w:shd w:val="clear" w:color="auto" w:fill="0F4761"/>
            <w:vAlign w:val="center"/>
          </w:tcPr>
          <w:p w14:paraId="56708A83"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Signature</w:t>
            </w:r>
          </w:p>
        </w:tc>
        <w:tc>
          <w:tcPr>
            <w:tcW w:w="2545" w:type="dxa"/>
            <w:shd w:val="clear" w:color="auto" w:fill="0F4761"/>
            <w:vAlign w:val="center"/>
          </w:tcPr>
          <w:p w14:paraId="367EAF9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Approved By</w:t>
            </w:r>
          </w:p>
        </w:tc>
        <w:tc>
          <w:tcPr>
            <w:tcW w:w="3826" w:type="dxa"/>
            <w:shd w:val="clear" w:color="auto" w:fill="0F4761"/>
            <w:vAlign w:val="center"/>
          </w:tcPr>
          <w:p w14:paraId="3521F75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Department &amp; Project Role</w:t>
            </w:r>
          </w:p>
        </w:tc>
      </w:tr>
      <w:tr w:rsidR="002B183A" w:rsidRPr="00BB346A" w14:paraId="2AD1806B" w14:textId="77777777" w:rsidTr="002923F3">
        <w:trPr>
          <w:cantSplit/>
          <w:trHeight w:val="760"/>
        </w:trPr>
        <w:tc>
          <w:tcPr>
            <w:tcW w:w="1032"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624"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545"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p>
        </w:tc>
        <w:tc>
          <w:tcPr>
            <w:tcW w:w="3826"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Programme Sponsor</w:t>
            </w:r>
          </w:p>
        </w:tc>
      </w:tr>
      <w:tr w:rsidR="002B183A" w:rsidRPr="00BB346A" w14:paraId="2AD1806B" w14:textId="77777777" w:rsidTr="002923F3">
        <w:trPr>
          <w:cantSplit/>
          <w:trHeight w:val="760"/>
        </w:trPr>
        <w:tc>
          <w:tcPr>
            <w:tcW w:w="1032"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624"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545"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p>
        </w:tc>
        <w:tc>
          <w:tcPr>
            <w:tcW w:w="3826"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Head of Motor Distribution</w:t>
            </w:r>
          </w:p>
        </w:tc>
      </w:tr>
      <w:tr w:rsidR="002B183A" w:rsidRPr="00BB346A" w14:paraId="2AD1806B" w14:textId="77777777" w:rsidTr="002923F3">
        <w:trPr>
          <w:cantSplit/>
          <w:trHeight w:val="760"/>
        </w:trPr>
        <w:tc>
          <w:tcPr>
            <w:tcW w:w="1032"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624"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545"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iorta TechNXT</w:t>
            </w:r>
          </w:p>
        </w:tc>
        <w:tc>
          <w:tcPr>
            <w:tcW w:w="3826"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Business Consulting</w:t>
            </w:r>
          </w:p>
        </w:tc>
      </w:tr>
    </w:tbl>
    <w:p w14:paraId="1146A836" w14:textId="10B273DD" w:rsidR="00EE516B" w:rsidRDefault="002B183A">
      <w:r w:rsidRPr="00FE19FE">
        <w:br w:type="page"/>
      </w:r>
    </w:p>
    <w:p w14:paraId="1F938E87" w14:textId="77777777" w:rsidR="007B4988" w:rsidRDefault="007B4988"/>
    <w:p w14:paraId="4553482A" w14:textId="1F0B5849" w:rsidR="008501FA" w:rsidRPr="00EF479A" w:rsidRDefault="006470D1" w:rsidP="3B384731">
      <w:r>
        <w:rPr>
          <w:noProof/>
        </w:rPr>
        <w:drawing>
          <wp:anchor distT="0" distB="0" distL="114300" distR="114300" simplePos="0" relativeHeight="251658240" behindDoc="1" locked="0" layoutInCell="1" allowOverlap="1" wp14:anchorId="769CEDFB" wp14:editId="0E98DE05">
            <wp:simplePos x="0" y="0"/>
            <wp:positionH relativeFrom="margin">
              <wp:align>center</wp:align>
            </wp:positionH>
            <wp:positionV relativeFrom="margin">
              <wp:align>center</wp:align>
            </wp:positionV>
            <wp:extent cx="7548440" cy="10677525"/>
            <wp:effectExtent l="0" t="0" r="0" b="0"/>
            <wp:wrapNone/>
            <wp:docPr id="888434296" name="Picture 1">
              <a:extLst xmlns:a="http://schemas.openxmlformats.org/drawingml/2006/main">
                <a:ext uri="{FF2B5EF4-FFF2-40B4-BE49-F238E27FC236}">
                  <a16:creationId xmlns:a16="http://schemas.microsoft.com/office/drawing/2014/main" id="{1549725D-CA62-47A1-A957-457A136796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34296" name="Picture 8884342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48440" cy="10677525"/>
                    </a:xfrm>
                    <a:prstGeom prst="rect">
                      <a:avLst/>
                    </a:prstGeom>
                  </pic:spPr>
                </pic:pic>
              </a:graphicData>
            </a:graphic>
            <wp14:sizeRelH relativeFrom="margin">
              <wp14:pctWidth>0</wp14:pctWidth>
            </wp14:sizeRelH>
            <wp14:sizeRelV relativeFrom="margin">
              <wp14:pctHeight>0</wp14:pctHeight>
            </wp14:sizeRelV>
          </wp:anchor>
        </w:drawing>
      </w:r>
    </w:p>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D9D5A" w14:textId="77777777" w:rsidR="00A242E6" w:rsidRDefault="00A242E6">
      <w:pPr>
        <w:spacing w:after="0" w:line="240" w:lineRule="auto"/>
      </w:pPr>
      <w:r>
        <w:separator/>
      </w:r>
    </w:p>
  </w:endnote>
  <w:endnote w:type="continuationSeparator" w:id="0">
    <w:p w14:paraId="749EBE52" w14:textId="77777777" w:rsidR="00A242E6" w:rsidRDefault="00A242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-707666</wp:posOffset>
          </wp:positionV>
          <wp:extent cx="8778222" cy="885012"/>
          <wp:effectExtent l="0" t="0" r="4445" b="0"/>
          <wp:wrapNone/>
          <wp:docPr id="118066957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8778222" cy="885012"/>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7DEADF60" w14:textId="77777777" w:rsidTr="2EB1E806">
      <w:trPr>
        <w:trHeight w:val="300"/>
      </w:trPr>
      <w:tc>
        <w:tcPr>
          <w:tcW w:w="3005" w:type="dxa"/>
        </w:tcPr>
        <w:p w14:paraId="1EDD45F7" w14:textId="77777777" w:rsidR="00E75530" w:rsidRDefault="00E75530" w:rsidP="2EB1E806">
          <w:pPr>
            <w:pStyle w:val="Header"/>
            <w:ind w:left="-115"/>
          </w:pPr>
        </w:p>
      </w:tc>
      <w:tc>
        <w:tcPr>
          <w:tcW w:w="3005" w:type="dxa"/>
        </w:tcPr>
        <w:p w14:paraId="29D1E92D" w14:textId="77777777" w:rsidR="00E75530" w:rsidRDefault="00E75530" w:rsidP="2EB1E806">
          <w:pPr>
            <w:pStyle w:val="Header"/>
            <w:jc w:val="center"/>
          </w:pPr>
        </w:p>
      </w:tc>
      <w:tc>
        <w:tcPr>
          <w:tcW w:w="3005" w:type="dxa"/>
        </w:tcPr>
        <w:p w14:paraId="74EB3205" w14:textId="77777777" w:rsidR="00E75530" w:rsidRDefault="00E75530" w:rsidP="2EB1E806">
          <w:pPr>
            <w:pStyle w:val="Header"/>
            <w:ind w:right="-115"/>
            <w:jc w:val="right"/>
          </w:pPr>
        </w:p>
      </w:tc>
    </w:tr>
  </w:tbl>
  <w:p w14:paraId="368865EE" w14:textId="77777777" w:rsidR="00E75530" w:rsidRDefault="00E755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557CB" w14:textId="77777777" w:rsidR="00A242E6" w:rsidRDefault="00A242E6">
      <w:pPr>
        <w:spacing w:after="0" w:line="240" w:lineRule="auto"/>
      </w:pPr>
      <w:r>
        <w:separator/>
      </w:r>
    </w:p>
  </w:footnote>
  <w:footnote w:type="continuationSeparator" w:id="0">
    <w:p w14:paraId="5971213E" w14:textId="77777777" w:rsidR="00A242E6" w:rsidRDefault="00A242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1C7D462D" w14:textId="77777777" w:rsidTr="2EB1E806">
      <w:trPr>
        <w:trHeight w:val="300"/>
      </w:trPr>
      <w:tc>
        <w:tcPr>
          <w:tcW w:w="3005" w:type="dxa"/>
        </w:tcPr>
        <w:p w14:paraId="46651DEC" w14:textId="77777777" w:rsidR="00E75530" w:rsidRDefault="00E75530" w:rsidP="2EB1E806">
          <w:pPr>
            <w:pStyle w:val="Header"/>
            <w:ind w:left="-115"/>
          </w:pPr>
        </w:p>
      </w:tc>
      <w:tc>
        <w:tcPr>
          <w:tcW w:w="3005" w:type="dxa"/>
        </w:tcPr>
        <w:p w14:paraId="3039B243" w14:textId="77777777" w:rsidR="00E75530" w:rsidRDefault="00E75530" w:rsidP="2EB1E806">
          <w:pPr>
            <w:pStyle w:val="Header"/>
            <w:jc w:val="center"/>
          </w:pPr>
        </w:p>
      </w:tc>
      <w:tc>
        <w:tcPr>
          <w:tcW w:w="3005" w:type="dxa"/>
        </w:tcPr>
        <w:p w14:paraId="307891C7" w14:textId="77777777" w:rsidR="00E75530" w:rsidRDefault="00E75530" w:rsidP="2EB1E806">
          <w:pPr>
            <w:pStyle w:val="Header"/>
            <w:ind w:right="-115"/>
            <w:jc w:val="right"/>
          </w:pPr>
        </w:p>
      </w:tc>
    </w:tr>
  </w:tbl>
  <w:p w14:paraId="0CF9FFBF" w14:textId="77777777" w:rsidR="00E75530" w:rsidRDefault="00E755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60D61"/>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pStyle w:val="Heading2"/>
      <w:lvlText w:val="%1.%2."/>
      <w:lvlJc w:val="left"/>
      <w:pPr>
        <w:ind w:left="720" w:hanging="720"/>
      </w:pPr>
      <w:rPr>
        <w:rFonts w:ascii="Segoe UI" w:hAnsi="Segoe UI" w:hint="default"/>
        <w:b/>
        <w:i w:val="0"/>
        <w:color w:val="0F4761"/>
        <w:sz w:val="26"/>
        <w:szCs w:val="26"/>
      </w:rPr>
    </w:lvl>
    <w:lvl w:ilvl="2">
      <w:start w:val="1"/>
      <w:numFmt w:val="decimal"/>
      <w:pStyle w:val="Heading3"/>
      <w:lvlText w:val="%1.%2.%3."/>
      <w:lvlJc w:val="left"/>
      <w:pPr>
        <w:ind w:left="864" w:hanging="864"/>
      </w:pPr>
      <w:rPr>
        <w:rFonts w:ascii="Segoe UI" w:hAnsi="Segoe UI" w:hint="default"/>
        <w:b/>
        <w:i w:val="0"/>
        <w:color w:val="0F4761"/>
        <w:sz w:val="23"/>
        <w:szCs w:val="23"/>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316623F"/>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90">
    <w:nsid w:val="A990"/>
    <w:multiLevelType w:val="multilevel"/>
    <w:lvl w:ilvl="0">
      <w:numFmt w:val="bullet"/>
      <w:lvlText w:val="•"/>
      <w:lvlJc w:val="left"/>
      <w:pPr>
        <w:ind w:left="360" w:hanging="284"/>
      </w:pPr>
      <w:rPr>
        <w:rFonts w:ascii="Segoe UI" w:hAnsi="Segoe UI" w:eastAsia="Segoe UI" w:cs="Segoe UI"/>
        <w:color w:val="1D74BA"/>
      </w:rPr>
    </w:lvl>
    <w:lvl w:ilvl="1">
      <w:numFmt w:val="bullet"/>
      <w:lvlText w:val="–"/>
      <w:lvlJc w:val="left"/>
      <w:pPr>
        <w:ind w:left="720" w:hanging="284"/>
      </w:pPr>
      <w:rPr>
        <w:rFonts w:ascii="Segoe UI" w:hAnsi="Segoe UI" w:eastAsia="Segoe UI" w:cs="Segoe UI"/>
        <w:color w:val="1D74BA"/>
      </w:rPr>
    </w:lvl>
    <w:lvl w:ilvl="2">
      <w:numFmt w:val="bullet"/>
      <w:lvlText w:val="◦"/>
      <w:lvlJc w:val="left"/>
      <w:pPr>
        <w:ind w:left="1080" w:hanging="284"/>
      </w:pPr>
      <w:rPr>
        <w:rFonts w:ascii="Segoe UI" w:hAnsi="Segoe UI" w:eastAsia="Segoe UI" w:cs="Segoe UI"/>
        <w:color w:val="1D74BA"/>
      </w:rPr>
    </w:lvl>
    <w:lvl w:ilvl="3">
      <w:numFmt w:val="bullet"/>
      <w:lvlText w:val="•"/>
      <w:lvlJc w:val="left"/>
      <w:pPr>
        <w:ind w:left="1440" w:hanging="284"/>
      </w:pPr>
      <w:rPr>
        <w:rFonts w:ascii="Segoe UI" w:hAnsi="Segoe UI" w:eastAsia="Segoe UI" w:cs="Segoe UI"/>
        <w:color w:val="1D74BA"/>
      </w:rPr>
    </w:lvl>
    <w:lvl w:ilvl="4">
      <w:numFmt w:val="bullet"/>
      <w:lvlText w:val="–"/>
      <w:lvlJc w:val="left"/>
      <w:pPr>
        <w:ind w:left="1800" w:hanging="284"/>
      </w:pPr>
      <w:rPr>
        <w:rFonts w:ascii="Segoe UI" w:hAnsi="Segoe UI" w:eastAsia="Segoe UI" w:cs="Segoe UI"/>
        <w:color w:val="1D74BA"/>
      </w:rPr>
    </w:lvl>
    <w:lvl w:ilvl="5">
      <w:numFmt w:val="bullet"/>
      <w:lvlText w:val="◦"/>
      <w:lvlJc w:val="left"/>
      <w:pPr>
        <w:ind w:left="2160" w:hanging="284"/>
      </w:pPr>
      <w:rPr>
        <w:rFonts w:ascii="Segoe UI" w:hAnsi="Segoe UI" w:eastAsia="Segoe UI" w:cs="Segoe UI"/>
        <w:color w:val="1D74BA"/>
      </w:rPr>
    </w:lvl>
    <w:lvl w:ilvl="6">
      <w:numFmt w:val="bullet"/>
      <w:lvlText w:val="•"/>
      <w:lvlJc w:val="left"/>
      <w:pPr>
        <w:ind w:left="2520" w:hanging="284"/>
      </w:pPr>
      <w:rPr>
        <w:rFonts w:ascii="Segoe UI" w:hAnsi="Segoe UI" w:eastAsia="Segoe UI" w:cs="Segoe UI"/>
        <w:color w:val="1D74BA"/>
      </w:rPr>
    </w:lvl>
    <w:lvl w:ilvl="7">
      <w:numFmt w:val="bullet"/>
      <w:lvlText w:val="–"/>
      <w:lvlJc w:val="left"/>
      <w:pPr>
        <w:ind w:left="2880" w:hanging="284"/>
      </w:pPr>
      <w:rPr>
        <w:rFonts w:ascii="Segoe UI" w:hAnsi="Segoe UI" w:eastAsia="Segoe UI" w:cs="Segoe UI"/>
        <w:color w:val="1D74BA"/>
      </w:rPr>
    </w:lvl>
    <w:lvl w:ilvl="8">
      <w:numFmt w:val="bullet"/>
      <w:lvlText w:val="◦"/>
      <w:lvlJc w:val="left"/>
      <w:pPr>
        <w:ind w:left="3240" w:hanging="284"/>
      </w:pPr>
      <w:rPr>
        <w:rFonts w:ascii="Segoe UI" w:hAnsi="Segoe UI" w:eastAsia="Segoe UI" w:cs="Segoe UI"/>
        <w:color w:val="1D74BA"/>
      </w:rPr>
    </w:lvl>
  </w:abstractNum>
  <w:abstractNum w:abstractNumId="99411">
    <w:nsid w:val="A99411"/>
    <w:multiLevelType w:val="multilevel"/>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991">
    <w:nsid w:val="A991"/>
    <w:multiLevelType w:val="multilevel"/>
    <w:lvl w:ilvl="0">
      <w:numFmt w:val="bullet"/>
      <w:lvlText w:val="•"/>
      <w:lvlJc w:val="left"/>
      <w:pPr>
        <w:ind w:left="360" w:hanging="284"/>
      </w:pPr>
      <w:rPr>
        <w:rFonts w:ascii="Segoe UI" w:hAnsi="Segoe UI" w:eastAsia="Segoe UI" w:cs="Segoe UI"/>
        <w:color w:val="1D74BA"/>
      </w:rPr>
    </w:lvl>
    <w:lvl w:ilvl="1">
      <w:numFmt w:val="bullet"/>
      <w:lvlText w:val="–"/>
      <w:lvlJc w:val="left"/>
      <w:pPr>
        <w:ind w:left="720" w:hanging="284"/>
      </w:pPr>
      <w:rPr>
        <w:rFonts w:ascii="Segoe UI" w:hAnsi="Segoe UI" w:eastAsia="Segoe UI" w:cs="Segoe UI"/>
        <w:color w:val="1D74BA"/>
      </w:rPr>
    </w:lvl>
    <w:lvl w:ilvl="2">
      <w:numFmt w:val="bullet"/>
      <w:lvlText w:val="◦"/>
      <w:lvlJc w:val="left"/>
      <w:pPr>
        <w:ind w:left="1080" w:hanging="284"/>
      </w:pPr>
      <w:rPr>
        <w:rFonts w:ascii="Segoe UI" w:hAnsi="Segoe UI" w:eastAsia="Segoe UI" w:cs="Segoe UI"/>
        <w:color w:val="1D74BA"/>
      </w:rPr>
    </w:lvl>
    <w:lvl w:ilvl="3">
      <w:numFmt w:val="bullet"/>
      <w:lvlText w:val="•"/>
      <w:lvlJc w:val="left"/>
      <w:pPr>
        <w:ind w:left="1440" w:hanging="284"/>
      </w:pPr>
      <w:rPr>
        <w:rFonts w:ascii="Segoe UI" w:hAnsi="Segoe UI" w:eastAsia="Segoe UI" w:cs="Segoe UI"/>
        <w:color w:val="1D74BA"/>
      </w:rPr>
    </w:lvl>
    <w:lvl w:ilvl="4">
      <w:numFmt w:val="bullet"/>
      <w:lvlText w:val="–"/>
      <w:lvlJc w:val="left"/>
      <w:pPr>
        <w:ind w:left="1800" w:hanging="284"/>
      </w:pPr>
      <w:rPr>
        <w:rFonts w:ascii="Segoe UI" w:hAnsi="Segoe UI" w:eastAsia="Segoe UI" w:cs="Segoe UI"/>
        <w:color w:val="1D74BA"/>
      </w:rPr>
    </w:lvl>
    <w:lvl w:ilvl="5">
      <w:numFmt w:val="bullet"/>
      <w:lvlText w:val="◦"/>
      <w:lvlJc w:val="left"/>
      <w:pPr>
        <w:ind w:left="2160" w:hanging="284"/>
      </w:pPr>
      <w:rPr>
        <w:rFonts w:ascii="Segoe UI" w:hAnsi="Segoe UI" w:eastAsia="Segoe UI" w:cs="Segoe UI"/>
        <w:color w:val="1D74BA"/>
      </w:rPr>
    </w:lvl>
    <w:lvl w:ilvl="6">
      <w:numFmt w:val="bullet"/>
      <w:lvlText w:val="•"/>
      <w:lvlJc w:val="left"/>
      <w:pPr>
        <w:ind w:left="2520" w:hanging="284"/>
      </w:pPr>
      <w:rPr>
        <w:rFonts w:ascii="Segoe UI" w:hAnsi="Segoe UI" w:eastAsia="Segoe UI" w:cs="Segoe UI"/>
        <w:color w:val="1D74BA"/>
      </w:rPr>
    </w:lvl>
    <w:lvl w:ilvl="7">
      <w:numFmt w:val="bullet"/>
      <w:lvlText w:val="–"/>
      <w:lvlJc w:val="left"/>
      <w:pPr>
        <w:ind w:left="2880" w:hanging="284"/>
      </w:pPr>
      <w:rPr>
        <w:rFonts w:ascii="Segoe UI" w:hAnsi="Segoe UI" w:eastAsia="Segoe UI" w:cs="Segoe UI"/>
        <w:color w:val="1D74BA"/>
      </w:rPr>
    </w:lvl>
    <w:lvl w:ilvl="8">
      <w:numFmt w:val="bullet"/>
      <w:lvlText w:val="◦"/>
      <w:lvlJc w:val="left"/>
      <w:pPr>
        <w:ind w:left="3240" w:hanging="284"/>
      </w:pPr>
      <w:rPr>
        <w:rFonts w:ascii="Segoe UI" w:hAnsi="Segoe UI" w:eastAsia="Segoe UI" w:cs="Segoe UI"/>
        <w:color w:val="1D74BA"/>
      </w:rPr>
    </w:lvl>
  </w:abstractNum>
  <w:num w:numId="1" w16cid:durableId="1413504409">
    <w:abstractNumId w:val="0"/>
  </w:num>
  <w:num w:numId="2" w16cid:durableId="1722510407">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updateFields w:val="tru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8619CAF"/>
    <w:rsid w:val="0000218A"/>
    <w:rsid w:val="00042B57"/>
    <w:rsid w:val="00052F56"/>
    <w:rsid w:val="0005688C"/>
    <w:rsid w:val="000568F1"/>
    <w:rsid w:val="00063BDA"/>
    <w:rsid w:val="000A49F2"/>
    <w:rsid w:val="000B63E5"/>
    <w:rsid w:val="000C0114"/>
    <w:rsid w:val="000C1431"/>
    <w:rsid w:val="000E2CCE"/>
    <w:rsid w:val="000E3A8A"/>
    <w:rsid w:val="000E6F4B"/>
    <w:rsid w:val="000F3FF5"/>
    <w:rsid w:val="000F41A4"/>
    <w:rsid w:val="000F4CCD"/>
    <w:rsid w:val="000F4EB5"/>
    <w:rsid w:val="00101A6A"/>
    <w:rsid w:val="00104904"/>
    <w:rsid w:val="00117C0B"/>
    <w:rsid w:val="001315CF"/>
    <w:rsid w:val="00132BD0"/>
    <w:rsid w:val="00146E08"/>
    <w:rsid w:val="00165D5A"/>
    <w:rsid w:val="0017322E"/>
    <w:rsid w:val="00175012"/>
    <w:rsid w:val="001820B4"/>
    <w:rsid w:val="0019429B"/>
    <w:rsid w:val="001A0057"/>
    <w:rsid w:val="001A0CA8"/>
    <w:rsid w:val="001A308F"/>
    <w:rsid w:val="001B5005"/>
    <w:rsid w:val="001D3CAE"/>
    <w:rsid w:val="001D5721"/>
    <w:rsid w:val="001D63DE"/>
    <w:rsid w:val="001E33AB"/>
    <w:rsid w:val="001E62E7"/>
    <w:rsid w:val="001F3059"/>
    <w:rsid w:val="0021019E"/>
    <w:rsid w:val="00217326"/>
    <w:rsid w:val="00230C12"/>
    <w:rsid w:val="002552E7"/>
    <w:rsid w:val="00266FD0"/>
    <w:rsid w:val="00267AA2"/>
    <w:rsid w:val="00277C08"/>
    <w:rsid w:val="00284E6D"/>
    <w:rsid w:val="00291400"/>
    <w:rsid w:val="00293152"/>
    <w:rsid w:val="002964A1"/>
    <w:rsid w:val="002A380B"/>
    <w:rsid w:val="002A7439"/>
    <w:rsid w:val="002B183A"/>
    <w:rsid w:val="002C210A"/>
    <w:rsid w:val="002C4C51"/>
    <w:rsid w:val="002C702D"/>
    <w:rsid w:val="002D24EB"/>
    <w:rsid w:val="002D2E94"/>
    <w:rsid w:val="002D72E9"/>
    <w:rsid w:val="002E01F0"/>
    <w:rsid w:val="002E33DD"/>
    <w:rsid w:val="002F0D17"/>
    <w:rsid w:val="002F14E6"/>
    <w:rsid w:val="002F15FD"/>
    <w:rsid w:val="002F2AB4"/>
    <w:rsid w:val="00302D80"/>
    <w:rsid w:val="003066FC"/>
    <w:rsid w:val="00332B5D"/>
    <w:rsid w:val="003352B3"/>
    <w:rsid w:val="00342678"/>
    <w:rsid w:val="00344ED2"/>
    <w:rsid w:val="0034793E"/>
    <w:rsid w:val="00347EBD"/>
    <w:rsid w:val="003508EA"/>
    <w:rsid w:val="0036406E"/>
    <w:rsid w:val="003746B4"/>
    <w:rsid w:val="00375053"/>
    <w:rsid w:val="00386071"/>
    <w:rsid w:val="003929B6"/>
    <w:rsid w:val="003A2082"/>
    <w:rsid w:val="003A560F"/>
    <w:rsid w:val="003A6145"/>
    <w:rsid w:val="003A6CCA"/>
    <w:rsid w:val="003A74E0"/>
    <w:rsid w:val="003C3BF4"/>
    <w:rsid w:val="003C514A"/>
    <w:rsid w:val="003C7B6B"/>
    <w:rsid w:val="003D05E3"/>
    <w:rsid w:val="003F0D95"/>
    <w:rsid w:val="00405DF9"/>
    <w:rsid w:val="00413CDB"/>
    <w:rsid w:val="004170F2"/>
    <w:rsid w:val="00432E0E"/>
    <w:rsid w:val="00435034"/>
    <w:rsid w:val="00435327"/>
    <w:rsid w:val="0043534B"/>
    <w:rsid w:val="0044099E"/>
    <w:rsid w:val="00442F0D"/>
    <w:rsid w:val="004477F0"/>
    <w:rsid w:val="004503D4"/>
    <w:rsid w:val="00452E5E"/>
    <w:rsid w:val="004647A1"/>
    <w:rsid w:val="00474CE6"/>
    <w:rsid w:val="004913D2"/>
    <w:rsid w:val="004A02DA"/>
    <w:rsid w:val="004A1359"/>
    <w:rsid w:val="004B2DAF"/>
    <w:rsid w:val="004B625D"/>
    <w:rsid w:val="004C7746"/>
    <w:rsid w:val="004E295B"/>
    <w:rsid w:val="004E4690"/>
    <w:rsid w:val="004F06C7"/>
    <w:rsid w:val="004F3C1D"/>
    <w:rsid w:val="0050492D"/>
    <w:rsid w:val="00506CE2"/>
    <w:rsid w:val="005117B0"/>
    <w:rsid w:val="00515DD1"/>
    <w:rsid w:val="00526F27"/>
    <w:rsid w:val="005274C4"/>
    <w:rsid w:val="00527DC4"/>
    <w:rsid w:val="00530CF1"/>
    <w:rsid w:val="00551FBB"/>
    <w:rsid w:val="00557619"/>
    <w:rsid w:val="0056723D"/>
    <w:rsid w:val="005801AB"/>
    <w:rsid w:val="00582D45"/>
    <w:rsid w:val="005965C9"/>
    <w:rsid w:val="00597C78"/>
    <w:rsid w:val="005B20F7"/>
    <w:rsid w:val="005C6A01"/>
    <w:rsid w:val="005D416F"/>
    <w:rsid w:val="005D66A3"/>
    <w:rsid w:val="005E50D8"/>
    <w:rsid w:val="005E5BDB"/>
    <w:rsid w:val="006035C8"/>
    <w:rsid w:val="0061697C"/>
    <w:rsid w:val="006205C2"/>
    <w:rsid w:val="00635465"/>
    <w:rsid w:val="00636B4E"/>
    <w:rsid w:val="0064254C"/>
    <w:rsid w:val="006470D1"/>
    <w:rsid w:val="006636A0"/>
    <w:rsid w:val="00672F40"/>
    <w:rsid w:val="006A00B9"/>
    <w:rsid w:val="006A3B4D"/>
    <w:rsid w:val="006A5A6F"/>
    <w:rsid w:val="006B0390"/>
    <w:rsid w:val="006C0479"/>
    <w:rsid w:val="006D5B1D"/>
    <w:rsid w:val="006E299A"/>
    <w:rsid w:val="006F00EA"/>
    <w:rsid w:val="006F1953"/>
    <w:rsid w:val="006F76BF"/>
    <w:rsid w:val="006F794B"/>
    <w:rsid w:val="00702A04"/>
    <w:rsid w:val="0070768E"/>
    <w:rsid w:val="00716258"/>
    <w:rsid w:val="0072222E"/>
    <w:rsid w:val="00725646"/>
    <w:rsid w:val="00732BA3"/>
    <w:rsid w:val="0073383D"/>
    <w:rsid w:val="00734A87"/>
    <w:rsid w:val="007526C4"/>
    <w:rsid w:val="00760478"/>
    <w:rsid w:val="0077617F"/>
    <w:rsid w:val="007857E1"/>
    <w:rsid w:val="00785E13"/>
    <w:rsid w:val="00792F52"/>
    <w:rsid w:val="007A4A03"/>
    <w:rsid w:val="007A633B"/>
    <w:rsid w:val="007A71F1"/>
    <w:rsid w:val="007B02D5"/>
    <w:rsid w:val="007B4988"/>
    <w:rsid w:val="007D7821"/>
    <w:rsid w:val="007F11E9"/>
    <w:rsid w:val="007F30C2"/>
    <w:rsid w:val="007F472F"/>
    <w:rsid w:val="008064DE"/>
    <w:rsid w:val="00806B12"/>
    <w:rsid w:val="00810A00"/>
    <w:rsid w:val="008115F2"/>
    <w:rsid w:val="008142DD"/>
    <w:rsid w:val="00816F52"/>
    <w:rsid w:val="0082012F"/>
    <w:rsid w:val="00822C46"/>
    <w:rsid w:val="0083379F"/>
    <w:rsid w:val="0084601F"/>
    <w:rsid w:val="00850063"/>
    <w:rsid w:val="008501FA"/>
    <w:rsid w:val="00851AA2"/>
    <w:rsid w:val="0085347F"/>
    <w:rsid w:val="0088114F"/>
    <w:rsid w:val="00883FF9"/>
    <w:rsid w:val="008962E2"/>
    <w:rsid w:val="008966B3"/>
    <w:rsid w:val="008B2159"/>
    <w:rsid w:val="008C0C77"/>
    <w:rsid w:val="008E432C"/>
    <w:rsid w:val="00905E50"/>
    <w:rsid w:val="009109A9"/>
    <w:rsid w:val="0091281E"/>
    <w:rsid w:val="00913938"/>
    <w:rsid w:val="00914989"/>
    <w:rsid w:val="00915839"/>
    <w:rsid w:val="00922A5C"/>
    <w:rsid w:val="009319BC"/>
    <w:rsid w:val="00962B66"/>
    <w:rsid w:val="009853D4"/>
    <w:rsid w:val="00995621"/>
    <w:rsid w:val="009A509A"/>
    <w:rsid w:val="009B6DDB"/>
    <w:rsid w:val="009C183B"/>
    <w:rsid w:val="009C3226"/>
    <w:rsid w:val="009C54E5"/>
    <w:rsid w:val="009D1BA6"/>
    <w:rsid w:val="009E5C44"/>
    <w:rsid w:val="009F60B4"/>
    <w:rsid w:val="00A05431"/>
    <w:rsid w:val="00A12B12"/>
    <w:rsid w:val="00A242E6"/>
    <w:rsid w:val="00A42EF2"/>
    <w:rsid w:val="00A446DF"/>
    <w:rsid w:val="00A63673"/>
    <w:rsid w:val="00A87E4D"/>
    <w:rsid w:val="00A948CA"/>
    <w:rsid w:val="00A967C0"/>
    <w:rsid w:val="00AB1D58"/>
    <w:rsid w:val="00AB415C"/>
    <w:rsid w:val="00AB5A66"/>
    <w:rsid w:val="00AB70BF"/>
    <w:rsid w:val="00AD2457"/>
    <w:rsid w:val="00AD7E84"/>
    <w:rsid w:val="00AF3120"/>
    <w:rsid w:val="00B03E51"/>
    <w:rsid w:val="00B11280"/>
    <w:rsid w:val="00B145FD"/>
    <w:rsid w:val="00B34C4C"/>
    <w:rsid w:val="00B36355"/>
    <w:rsid w:val="00B41393"/>
    <w:rsid w:val="00B55DFA"/>
    <w:rsid w:val="00B65D18"/>
    <w:rsid w:val="00B67F6B"/>
    <w:rsid w:val="00B92133"/>
    <w:rsid w:val="00BA7965"/>
    <w:rsid w:val="00BB13EB"/>
    <w:rsid w:val="00BB70EE"/>
    <w:rsid w:val="00BD09D6"/>
    <w:rsid w:val="00BD192A"/>
    <w:rsid w:val="00BE35E1"/>
    <w:rsid w:val="00BE7A2E"/>
    <w:rsid w:val="00BF0754"/>
    <w:rsid w:val="00BF0B1E"/>
    <w:rsid w:val="00BF4953"/>
    <w:rsid w:val="00C33D1A"/>
    <w:rsid w:val="00C453D8"/>
    <w:rsid w:val="00C53EE2"/>
    <w:rsid w:val="00C7250E"/>
    <w:rsid w:val="00C73E90"/>
    <w:rsid w:val="00C86161"/>
    <w:rsid w:val="00CA2181"/>
    <w:rsid w:val="00CA3397"/>
    <w:rsid w:val="00CA3752"/>
    <w:rsid w:val="00CB72C2"/>
    <w:rsid w:val="00CC174D"/>
    <w:rsid w:val="00CD4769"/>
    <w:rsid w:val="00CE291D"/>
    <w:rsid w:val="00CE412D"/>
    <w:rsid w:val="00CE55AD"/>
    <w:rsid w:val="00CE59F7"/>
    <w:rsid w:val="00CF36DA"/>
    <w:rsid w:val="00D0151B"/>
    <w:rsid w:val="00D1397F"/>
    <w:rsid w:val="00D1561E"/>
    <w:rsid w:val="00D35AD1"/>
    <w:rsid w:val="00D46CF6"/>
    <w:rsid w:val="00D63589"/>
    <w:rsid w:val="00D64521"/>
    <w:rsid w:val="00D75FF4"/>
    <w:rsid w:val="00D828C7"/>
    <w:rsid w:val="00D8334F"/>
    <w:rsid w:val="00D9094D"/>
    <w:rsid w:val="00DA62B8"/>
    <w:rsid w:val="00DB603E"/>
    <w:rsid w:val="00DC143C"/>
    <w:rsid w:val="00DC5AFC"/>
    <w:rsid w:val="00DD0B50"/>
    <w:rsid w:val="00DD20A9"/>
    <w:rsid w:val="00DD615A"/>
    <w:rsid w:val="00DD7430"/>
    <w:rsid w:val="00DF2344"/>
    <w:rsid w:val="00E06159"/>
    <w:rsid w:val="00E1122A"/>
    <w:rsid w:val="00E1377B"/>
    <w:rsid w:val="00E1476A"/>
    <w:rsid w:val="00E2456D"/>
    <w:rsid w:val="00E25350"/>
    <w:rsid w:val="00E46E45"/>
    <w:rsid w:val="00E53623"/>
    <w:rsid w:val="00E53FF8"/>
    <w:rsid w:val="00E621D8"/>
    <w:rsid w:val="00E75530"/>
    <w:rsid w:val="00E82847"/>
    <w:rsid w:val="00E92ED2"/>
    <w:rsid w:val="00EA48D7"/>
    <w:rsid w:val="00EC0DBF"/>
    <w:rsid w:val="00EC1FCB"/>
    <w:rsid w:val="00EC3C7D"/>
    <w:rsid w:val="00EE516B"/>
    <w:rsid w:val="00EF479A"/>
    <w:rsid w:val="00F00ADB"/>
    <w:rsid w:val="00F22B91"/>
    <w:rsid w:val="00F26BAF"/>
    <w:rsid w:val="00F27EC9"/>
    <w:rsid w:val="00F40452"/>
    <w:rsid w:val="00F51C7F"/>
    <w:rsid w:val="00F65143"/>
    <w:rsid w:val="00F65451"/>
    <w:rsid w:val="00F700CF"/>
    <w:rsid w:val="00F70204"/>
    <w:rsid w:val="00F709B7"/>
    <w:rsid w:val="00F77716"/>
    <w:rsid w:val="00FB21C6"/>
    <w:rsid w:val="00FB2A82"/>
    <w:rsid w:val="00FD67F2"/>
    <w:rsid w:val="00FF7FF8"/>
    <w:rsid w:val="01CA9D05"/>
    <w:rsid w:val="055BFCB9"/>
    <w:rsid w:val="0687B841"/>
    <w:rsid w:val="0E539202"/>
    <w:rsid w:val="1763029D"/>
    <w:rsid w:val="1795DE0D"/>
    <w:rsid w:val="19651ED0"/>
    <w:rsid w:val="1A2B37AE"/>
    <w:rsid w:val="1B9AC10C"/>
    <w:rsid w:val="1CF41131"/>
    <w:rsid w:val="1DE7F87D"/>
    <w:rsid w:val="22B94435"/>
    <w:rsid w:val="25F16803"/>
    <w:rsid w:val="2810A832"/>
    <w:rsid w:val="29630CD1"/>
    <w:rsid w:val="2A929015"/>
    <w:rsid w:val="2EB1E806"/>
    <w:rsid w:val="2F7DEDA7"/>
    <w:rsid w:val="3050B4C0"/>
    <w:rsid w:val="3B384731"/>
    <w:rsid w:val="41E865D3"/>
    <w:rsid w:val="423B9943"/>
    <w:rsid w:val="465B543B"/>
    <w:rsid w:val="4FD68526"/>
    <w:rsid w:val="528B570B"/>
    <w:rsid w:val="58619CAF"/>
    <w:rsid w:val="59FE61E3"/>
    <w:rsid w:val="5D67F8AB"/>
    <w:rsid w:val="5EC7D5D1"/>
    <w:rsid w:val="5F792426"/>
    <w:rsid w:val="6241B22A"/>
    <w:rsid w:val="65EF8D46"/>
    <w:rsid w:val="6BFAB9C3"/>
    <w:rsid w:val="6D706F02"/>
    <w:rsid w:val="75B95BFB"/>
    <w:rsid w:val="76E53D01"/>
    <w:rsid w:val="783CCA2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5C7AF"/>
  <w15:chartTrackingRefBased/>
  <w15:docId w15:val="{E1FC862B-6EF8-40CD-AC6E-FBDED42DD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83A"/>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1B9AC10C"/>
    <w:pPr>
      <w:tabs>
        <w:tab w:val="center" w:pos="4680"/>
        <w:tab w:val="right" w:pos="9360"/>
      </w:tabs>
      <w:spacing w:after="0" w:line="240" w:lineRule="auto"/>
    </w:pPr>
  </w:style>
  <w:style w:type="paragraph" w:styleId="Footer">
    <w:name w:val="footer"/>
    <w:basedOn w:val="Normal"/>
    <w:link w:val="FooterChar"/>
    <w:uiPriority w:val="99"/>
    <w:unhideWhenUsed/>
    <w:rsid w:val="1B9AC10C"/>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rsid w:val="007526C4"/>
  </w:style>
  <w:style w:type="character" w:customStyle="1" w:styleId="FooterChar">
    <w:name w:val="Footer Char"/>
    <w:basedOn w:val="DefaultParagraphFont"/>
    <w:link w:val="Footer"/>
    <w:uiPriority w:val="99"/>
    <w:rsid w:val="007A4A03"/>
  </w:style>
  <w:style w:type="character" w:customStyle="1" w:styleId="Heading1Char">
    <w:name w:val="Heading 1 Char"/>
    <w:basedOn w:val="DefaultParagraphFont"/>
    <w:link w:val="Heading1"/>
    <w:uiPriority w:val="9"/>
    <w:rsid w:val="002B183A"/>
    <w:rPr>
      <w:rFonts w:asciiTheme="majorHAnsi" w:eastAsiaTheme="majorEastAsia" w:hAnsiTheme="majorHAnsi" w:cstheme="majorBidi"/>
      <w:color w:val="0F4761" w:themeColor="accent1" w:themeShade="BF"/>
      <w:sz w:val="32"/>
      <w:szCs w:val="32"/>
    </w:rPr>
  </w:style>
  <w:style w:type="character" w:styleId="Hyperlink">
    <w:name w:val="Hyperlink"/>
    <w:uiPriority w:val="99"/>
    <w:unhideWhenUsed/>
    <w:rsid w:val="002B183A"/>
    <w:rPr>
      <w:color w:val="0000FF"/>
      <w:u w:val="single"/>
    </w:rPr>
  </w:style>
  <w:style w:type="paragraph" w:styleId="TOCHeading">
    <w:name w:val="TOC Heading"/>
    <w:basedOn w:val="Heading1"/>
    <w:next w:val="Normal"/>
    <w:uiPriority w:val="39"/>
    <w:unhideWhenUsed/>
    <w:qFormat/>
    <w:rsid w:val="002B183A"/>
    <w:pPr>
      <w:spacing w:before="480" w:line="276" w:lineRule="auto"/>
      <w:outlineLvl w:val="9"/>
    </w:pPr>
    <w:rPr>
      <w:rFonts w:ascii="Arial" w:eastAsia="Times New Roman" w:hAnsi="Arial" w:cs="Arial"/>
      <w:bCs/>
      <w:color w:val="365F91"/>
      <w:sz w:val="28"/>
      <w:szCs w:val="28"/>
      <w:lang w:eastAsia="en-US"/>
    </w:rPr>
  </w:style>
  <w:style w:type="paragraph" w:styleId="TOC1">
    <w:name w:val="toc 1"/>
    <w:basedOn w:val="Normal"/>
    <w:next w:val="Normal"/>
    <w:autoRedefine/>
    <w:uiPriority w:val="39"/>
    <w:unhideWhenUsed/>
    <w:qFormat/>
    <w:rsid w:val="002B183A"/>
    <w:pPr>
      <w:tabs>
        <w:tab w:val="left" w:pos="900"/>
        <w:tab w:val="right" w:leader="dot" w:pos="9350"/>
      </w:tabs>
      <w:spacing w:after="100" w:line="276" w:lineRule="auto"/>
      <w:jc w:val="both"/>
    </w:pPr>
    <w:rPr>
      <w:rFonts w:ascii="Segoe UI" w:eastAsia="Times New Roman" w:hAnsi="Segoe UI" w:cs="Times New Roman"/>
      <w:b/>
      <w:color w:val="101820"/>
      <w:sz w:val="20"/>
      <w:szCs w:val="22"/>
      <w:lang w:eastAsia="en-US"/>
    </w:rPr>
  </w:style>
  <w:style w:type="character" w:styleId="BookTitle">
    <w:name w:val="Book Title"/>
    <w:uiPriority w:val="33"/>
    <w:qFormat/>
    <w:rsid w:val="002B183A"/>
    <w:rPr>
      <w:b/>
      <w:bCs/>
      <w:i/>
      <w:iCs/>
      <w:spacing w:val="5"/>
    </w:rPr>
  </w:style>
  <w:style w:type="paragraph" w:styleId="BodyText">
    <w:name w:val="Body Text"/>
    <w:basedOn w:val="Normal"/>
    <w:qFormat/>
    <w:pPr>
      <w:spacing w:before="0" w:after="140" w:line="276" w:lineRule="auto"/>
      <w:jc w:val="both"/>
    </w:pPr>
    <w:rPr>
      <w:rFonts w:ascii="Segoe UI" w:hAnsi="Segoe UI" w:eastAsia="Segoe UI" w:cs="Segoe UI"/>
      <w:color w:val="101820"/>
      <w:sz w:val="22"/>
      <w:szCs w:val="22"/>
    </w:rPr>
  </w:style>
  <w:style w:type="paragraph" w:customStyle="1" w:styleId="FirstParagraph">
    <w:name w:val="First Paragraph"/>
    <w:basedOn w:val="BodyText"/>
    <w:qFormat/>
  </w:style>
  <w:style w:type="paragraph" w:customStyle="1" w:styleId="Compact">
    <w:name w:val="Compact"/>
    <w:basedOn w:val="BodyText"/>
    <w:qFormat/>
    <w:pPr>
      <w:spacing w:before="0" w:after="60"/>
      <w:jc w:val="left"/>
    </w:pPr>
  </w:style>
  <w:style w:type="paragraph" w:customStyle="1" w:styleId="TableText">
    <w:name w:val="Table Text"/>
    <w:basedOn w:val="Normal"/>
    <w:qFormat/>
    <w:pPr>
      <w:spacing w:before="20" w:after="20" w:line="245" w:lineRule="auto"/>
      <w:jc w:val="left"/>
    </w:pPr>
    <w:rPr>
      <w:rFonts w:ascii="Segoe UI" w:hAnsi="Segoe UI" w:eastAsia="Segoe UI" w:cs="Segoe UI"/>
      <w:color w:val="101820"/>
      <w:sz w:val="19"/>
      <w:szCs w:val="19"/>
    </w:rPr>
  </w:style>
  <w:style w:type="paragraph" w:customStyle="1" w:styleId="TableHeading">
    <w:name w:val="Table Heading"/>
    <w:basedOn w:val="TableText"/>
    <w:qFormat/>
    <w:pPr>
      <w:keepNext/>
    </w:pPr>
    <w:rPr>
      <w:b/>
      <w:bCs/>
      <w:color w:val="FFFFFF"/>
    </w:rPr>
  </w:style>
  <w:style w:type="paragraph" w:styleId="Heading2">
    <w:name w:val="heading 2"/>
    <w:basedOn w:val="Normal"/>
    <w:next w:val="BodyText"/>
    <w:uiPriority w:val="9"/>
    <w:unhideWhenUsed/>
    <w:qFormat/>
    <w:pPr>
      <w:keepNext/>
      <w:keepLines/>
      <w:numPr>
        <w:ilvl w:val="1"/>
        <w:numId w:val="1"/>
      </w:numPr>
      <w:spacing w:before="280" w:after="100" w:line="259" w:lineRule="auto"/>
      <w:ind w:left="720" w:hanging="720"/>
      <w:outlineLvl w:val="1"/>
    </w:pPr>
    <w:rPr>
      <w:rFonts w:asciiTheme="majorHAnsi" w:eastAsiaTheme="majorEastAsia" w:hAnsiTheme="majorHAnsi" w:cstheme="majorBidi"/>
      <w:b/>
      <w:bCs/>
      <w:color w:val="0F4761"/>
      <w:sz w:val="26"/>
      <w:szCs w:val="26"/>
    </w:rPr>
  </w:style>
  <w:style w:type="paragraph" w:styleId="Heading3">
    <w:name w:val="heading 3"/>
    <w:basedOn w:val="Normal"/>
    <w:next w:val="BodyText"/>
    <w:uiPriority w:val="9"/>
    <w:unhideWhenUsed/>
    <w:qFormat/>
    <w:pPr>
      <w:keepNext/>
      <w:keepLines/>
      <w:numPr>
        <w:ilvl w:val="2"/>
        <w:numId w:val="1"/>
      </w:numPr>
      <w:spacing w:before="220" w:after="80" w:line="259" w:lineRule="auto"/>
      <w:ind w:left="864" w:hanging="864"/>
      <w:outlineLvl w:val="2"/>
    </w:pPr>
    <w:rPr>
      <w:rFonts w:asciiTheme="majorHAnsi" w:eastAsiaTheme="majorEastAsia" w:hAnsiTheme="majorHAnsi" w:cstheme="majorBidi"/>
      <w:b/>
      <w:bCs/>
      <w:color w:val="0F4761"/>
      <w:sz w:val="23"/>
      <w:szCs w:val="23"/>
    </w:rPr>
  </w:style>
  <w:style w:type="paragraph" w:styleId="Heading4">
    <w:name w:val="heading 4"/>
    <w:basedOn w:val="Normal"/>
    <w:next w:val="BodyText"/>
    <w:uiPriority w:val="9"/>
    <w:unhideWhenUsed/>
    <w:qFormat/>
    <w:pPr>
      <w:keepNext/>
      <w:keepLines/>
      <w:spacing w:before="180" w:after="60" w:line="259" w:lineRule="auto"/>
      <w:outlineLvl w:val="3"/>
    </w:pPr>
    <w:rPr>
      <w:rFonts w:ascii="Segoe UI" w:hAnsi="Segoe UI" w:eastAsia="Segoe UI" w:cs="Segoe UI"/>
      <w:b/>
      <w:bCs/>
      <w:color w:val="0F4761"/>
      <w:sz w:val="22"/>
      <w:szCs w:val="22"/>
    </w:rPr>
  </w:style>
  <w:style w:type="paragraph" w:styleId="Caption">
    <w:name w:val="caption"/>
    <w:basedOn w:val="Normal"/>
    <w:next w:val="BodyText"/>
    <w:qFormat/>
    <w:pPr>
      <w:spacing w:before="60" w:after="240" w:line="240" w:lineRule="auto"/>
      <w:jc w:val="center"/>
    </w:pPr>
    <w:rPr>
      <w:rFonts w:ascii="Segoe UI" w:hAnsi="Segoe UI" w:eastAsia="Segoe UI" w:cs="Segoe UI"/>
      <w:i/>
      <w:iCs/>
      <w:color w:val="0F4761"/>
      <w:sz w:val="18"/>
      <w:szCs w:val="18"/>
    </w:rPr>
  </w:style>
  <w:style w:type="paragraph" w:customStyle="1" w:styleId="TableCaption">
    <w:name w:val="Table Caption"/>
    <w:basedOn w:val="Caption"/>
    <w:qFormat/>
    <w:pPr>
      <w:keepNext/>
      <w:spacing w:before="160" w:after="80"/>
      <w:jc w:val="left"/>
    </w:pPr>
  </w:style>
  <w:style w:type="paragraph" w:customStyle="1" w:styleId="Figure">
    <w:name w:val="Figure"/>
    <w:basedOn w:val="Normal"/>
    <w:next w:val="Caption"/>
    <w:qFormat/>
    <w:pPr>
      <w:keepNext/>
      <w:spacing w:before="160" w:after="40" w:line="240" w:lineRule="auto"/>
      <w:jc w:val="center"/>
    </w:pPr>
  </w:style>
  <w:style w:type="paragraph" w:customStyle="1" w:styleId="FigureWide">
    <w:name w:val="Figure Wide"/>
    <w:basedOn w:val="Figure"/>
    <w:next w:val="Caption"/>
    <w:qFormat/>
  </w:style>
  <w:style w:type="paragraph" w:customStyle="1" w:styleId="CodeBlock">
    <w:name w:val="Code Block"/>
    <w:basedOn w:val="Normal"/>
    <w:next w:val="BodyText"/>
    <w:qFormat/>
    <w:pPr>
      <w:pBdr>
        <w:top w:val="single" w:sz="4" w:space="4" w:color="D3DCE6"/>
        <w:left w:val="single" w:sz="4" w:space="4" w:color="D3DCE6"/>
        <w:bottom w:val="single" w:sz="4" w:space="4" w:color="D3DCE6"/>
        <w:right w:val="single" w:sz="4" w:space="4" w:color="D3DCE6"/>
      </w:pBdr>
      <w:shd w:val="clear" w:color="auto" w:fill="F3F6FA"/>
      <w:spacing w:before="80" w:after="200" w:line="240" w:lineRule="auto"/>
      <w:ind w:left="113" w:right="113"/>
      <w:jc w:val="left"/>
    </w:pPr>
    <w:rPr>
      <w:rFonts w:ascii="Consolas" w:hAnsi="Consolas" w:eastAsia="Consolas" w:cs="Consolas"/>
      <w:color w:val="1F2937"/>
      <w:sz w:val="18"/>
      <w:szCs w:val="18"/>
    </w:rPr>
  </w:style>
  <w:style w:type="character" w:customStyle="1" w:styleId="CodeChar">
    <w:name w:val="Code Char"/>
    <w:basedOn w:val="DefaultParagraphFont"/>
    <w:qFormat/>
    <w:rPr>
      <w:rFonts w:ascii="Consolas" w:hAnsi="Consolas" w:eastAsia="Consolas" w:cs="Consolas"/>
      <w:color w:val="1F3864"/>
      <w:sz w:val="19"/>
      <w:szCs w:val="19"/>
    </w:rPr>
  </w:style>
  <w:style w:type="paragraph" w:customStyle="1" w:styleId="Callout">
    <w:name w:val="Callout"/>
    <w:basedOn w:val="Normal"/>
    <w:next w:val="BodyText"/>
    <w:qFormat/>
    <w:pPr>
      <w:pBdr>
        <w:left w:val="single" w:sz="24" w:space="8" w:color="1D74BA"/>
      </w:pBdr>
      <w:shd w:val="clear" w:color="auto" w:fill="E8F1FA"/>
      <w:spacing w:before="60" w:after="60" w:line="264" w:lineRule="auto"/>
      <w:ind w:left="227" w:right="113"/>
      <w:jc w:val="left"/>
    </w:pPr>
    <w:rPr>
      <w:rFonts w:ascii="Segoe UI" w:hAnsi="Segoe UI" w:eastAsia="Segoe UI" w:cs="Segoe UI"/>
      <w:color w:val="101820"/>
      <w:sz w:val="21"/>
      <w:szCs w:val="21"/>
    </w:rPr>
  </w:style>
  <w:style w:type="paragraph" w:styleId="TOC2">
    <w:name w:val="toc 2"/>
    <w:basedOn w:val="Normal"/>
    <w:next w:val="Normal"/>
    <w:uiPriority w:val="39"/>
    <w:unhideWhenUsed/>
    <w:pPr>
      <w:tabs>
        <w:tab w:val="left" w:pos="1260"/>
        <w:tab w:val="right" w:leader="dot" w:pos="9350"/>
      </w:tabs>
      <w:spacing w:after="60" w:line="264" w:lineRule="auto"/>
      <w:ind w:left="360"/>
    </w:pPr>
    <w:rPr>
      <w:rFonts w:ascii="Segoe UI" w:hAnsi="Segoe UI" w:eastAsia="Segoe UI" w:cs="Segoe UI"/>
      <w:noProof/>
      <w:color w:val="101820"/>
      <w:sz w:val="19"/>
      <w:szCs w:val="19"/>
    </w:rPr>
  </w:style>
  <w:style w:type="paragraph" w:styleId="TOC3">
    <w:name w:val="toc 3"/>
    <w:basedOn w:val="Normal"/>
    <w:next w:val="Normal"/>
    <w:uiPriority w:val="39"/>
    <w:unhideWhenUsed/>
    <w:pPr>
      <w:tabs>
        <w:tab w:val="left" w:pos="1700"/>
        <w:tab w:val="right" w:leader="dot" w:pos="9350"/>
      </w:tabs>
      <w:spacing w:after="40" w:line="264" w:lineRule="auto"/>
      <w:ind w:left="720"/>
    </w:pPr>
    <w:rPr>
      <w:rFonts w:ascii="Segoe UI" w:hAnsi="Segoe UI" w:eastAsia="Segoe UI" w:cs="Segoe UI"/>
      <w:noProof/>
      <w:color w:val="404A55"/>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16" Type="http://schemas.openxmlformats.org/officeDocument/2006/relationships/footer" Target="footer2.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9" Type="http://schemas.openxmlformats.org/officeDocument/2006/relationships/footnotes" Target="footnotes.xml"/><Relationship Id="rId14" Type="http://schemas.openxmlformats.org/officeDocument/2006/relationships/footer" Target="footer1.xml"/><Relationship Id="rIdG1" Type="http://schemas.openxmlformats.org/officeDocument/2006/relationships/hyperlink" Target="mailto:info@baohiemtasco.vn" TargetMode="External"/><Relationship Id="rIdG2" Type="http://schemas.openxmlformats.org/officeDocument/2006/relationships/image" Target="media/body_001.png"/><Relationship Id="rIdG3" Type="http://schemas.openxmlformats.org/officeDocument/2006/relationships/image" Target="media/body_002.png"/><Relationship Id="rIdG4" Type="http://schemas.openxmlformats.org/officeDocument/2006/relationships/image" Target="media/body_003.png"/><Relationship Id="rIdG5" Type="http://schemas.openxmlformats.org/officeDocument/2006/relationships/image" Target="media/body_004.png"/><Relationship Id="rIdG6" Type="http://schemas.openxmlformats.org/officeDocument/2006/relationships/image" Target="media/body_005.pn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ScaleCrop>false</ScaleCrop>
  <Company>iorta TechNXT</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Context and Growth Strategy</dc:title>
  <dc:subject>TGP-BUS-01</dc:subject>
  <dc:creator>iorta TechNXT</dc:creator>
  <cp:keywords>TGP-BUS-01; TASCO Insurance; iorta TechNXT</cp:keywords>
  <dc:description>TASCO Motor Insurance Growth Platform</dc:description>
  <cp:lastModifiedBy>iorta TechNXT</cp:lastModifiedBy>
  <cp:revision>1</cp:revision>
  <dcterms:created xsi:type="dcterms:W3CDTF">2026-10-08T02:23:09Z</dcterms:created>
  <dcterms:modified xsi:type="dcterms:W3CDTF">2026-10-08T02:23:09Z</dcterms:modified>
</cp:coreProperties>
</file>