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TGP-BUS-07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Commercials and Engagement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5</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5</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5</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4.</w:t>
        </w:r>
        <w:r>
          <w:rPr>
            <w:noProof/>
          </w:rPr>
          <w:tab/>
        </w:r>
        <w:r>
          <w:rPr>
            <w:noProof/>
          </w:rPr>
          <w:t xml:space="preserve">Engagement summary</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1"/>
      </w:pPr>
      <w:hyperlink w:anchor="_Toc300000009" w:history="1">
        <w:r>
          <w:rPr>
            <w:noProof/>
          </w:rPr>
          <w:t>5.</w:t>
        </w:r>
        <w:r>
          <w:rPr>
            <w:noProof/>
          </w:rPr>
          <w:tab/>
        </w:r>
        <w:r>
          <w:rPr>
            <w:noProof/>
          </w:rPr>
          <w:t xml:space="preserve">Stages, scope and deliverables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5.1.</w:t>
        </w:r>
        <w:r>
          <w:rPr>
            <w:noProof/>
          </w:rPr>
          <w:tab/>
        </w:r>
        <w:r>
          <w:rPr>
            <w:noProof/>
          </w:rPr>
          <w:t xml:space="preserve">MVP scope</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7</w:t>
        </w:r>
        <w:r>
          <w:rPr>
            <w:noProof/>
            <w:webHidden/>
          </w:rPr>
          <w:fldChar w:fldCharType="end"/>
        </w:r>
      </w:hyperlink>
    </w:p>
    <w:p>
      <w:pPr>
        <w:pStyle w:val="TOC1"/>
      </w:pPr>
      <w:hyperlink w:anchor="_Toc300000011" w:history="1">
        <w:r>
          <w:rPr>
            <w:noProof/>
          </w:rPr>
          <w:t>6.</w:t>
        </w:r>
        <w:r>
          <w:rPr>
            <w:noProof/>
          </w:rPr>
          <w:tab/>
        </w:r>
        <w:r>
          <w:rPr>
            <w:noProof/>
          </w:rPr>
          <w:t xml:space="preserve">Timeline and milestones</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8</w:t>
        </w:r>
        <w:r>
          <w:rPr>
            <w:noProof/>
            <w:webHidden/>
          </w:rPr>
          <w:fldChar w:fldCharType="end"/>
        </w:r>
      </w:hyperlink>
    </w:p>
    <w:p>
      <w:pPr>
        <w:pStyle w:val="TOC2"/>
      </w:pPr>
      <w:hyperlink w:anchor="_Toc300000012" w:history="1">
        <w:r>
          <w:rPr>
            <w:noProof/>
          </w:rPr>
          <w:t>6.1.</w:t>
        </w:r>
        <w:r>
          <w:rPr>
            <w:noProof/>
          </w:rPr>
          <w:tab/>
        </w:r>
        <w:r>
          <w:rPr>
            <w:noProof/>
          </w:rPr>
          <w:t xml:space="preserve">After the pilot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1"/>
      </w:pPr>
      <w:hyperlink w:anchor="_Toc300000013" w:history="1">
        <w:r>
          <w:rPr>
            <w:noProof/>
          </w:rPr>
          <w:t>7.</w:t>
        </w:r>
        <w:r>
          <w:rPr>
            <w:noProof/>
          </w:rPr>
          <w:tab/>
        </w:r>
        <w:r>
          <w:rPr>
            <w:noProof/>
          </w:rPr>
          <w:t xml:space="preserve">Team and effort</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9</w:t>
        </w:r>
        <w:r>
          <w:rPr>
            <w:noProof/>
            <w:webHidden/>
          </w:rPr>
          <w:fldChar w:fldCharType="end"/>
        </w:r>
      </w:hyperlink>
    </w:p>
    <w:p>
      <w:pPr>
        <w:pStyle w:val="TOC2"/>
      </w:pPr>
      <w:hyperlink w:anchor="_Toc300000014" w:history="1">
        <w:r>
          <w:rPr>
            <w:noProof/>
          </w:rPr>
          <w:t>7.1.</w:t>
        </w:r>
        <w:r>
          <w:rPr>
            <w:noProof/>
          </w:rPr>
          <w:tab/>
        </w:r>
        <w:r>
          <w:rPr>
            <w:noProof/>
          </w:rPr>
          <w:t xml:space="preserve">MVP team</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9</w:t>
        </w:r>
        <w:r>
          <w:rPr>
            <w:noProof/>
            <w:webHidden/>
          </w:rPr>
          <w:fldChar w:fldCharType="end"/>
        </w:r>
      </w:hyperlink>
    </w:p>
    <w:p>
      <w:pPr>
        <w:pStyle w:val="TOC2"/>
      </w:pPr>
      <w:hyperlink w:anchor="_Toc300000015" w:history="1">
        <w:r>
          <w:rPr>
            <w:noProof/>
          </w:rPr>
          <w:t>7.2.</w:t>
        </w:r>
        <w:r>
          <w:rPr>
            <w:noProof/>
          </w:rPr>
          <w:tab/>
        </w:r>
        <w:r>
          <w:rPr>
            <w:noProof/>
          </w:rPr>
          <w:t xml:space="preserve">After the MVP</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10</w:t>
        </w:r>
        <w:r>
          <w:rPr>
            <w:noProof/>
            <w:webHidden/>
          </w:rPr>
          <w:fldChar w:fldCharType="end"/>
        </w:r>
      </w:hyperlink>
    </w:p>
    <w:p>
      <w:pPr>
        <w:pStyle w:val="TOC2"/>
      </w:pPr>
      <w:hyperlink w:anchor="_Toc300000016" w:history="1">
        <w:r>
          <w:rPr>
            <w:noProof/>
          </w:rPr>
          <w:t>7.3.</w:t>
        </w:r>
        <w:r>
          <w:rPr>
            <w:noProof/>
          </w:rPr>
          <w:tab/>
        </w:r>
        <w:r>
          <w:rPr>
            <w:noProof/>
          </w:rPr>
          <w:t xml:space="preserve">What we need from TASCO and VETC</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1"/>
      </w:pPr>
      <w:hyperlink w:anchor="_Toc300000017" w:history="1">
        <w:r>
          <w:rPr>
            <w:noProof/>
          </w:rPr>
          <w:t>8.</w:t>
        </w:r>
        <w:r>
          <w:rPr>
            <w:noProof/>
          </w:rPr>
          <w:tab/>
        </w:r>
        <w:r>
          <w:rPr>
            <w:noProof/>
          </w:rPr>
          <w:t xml:space="preserve">Commercial options and prices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2"/>
      </w:pPr>
      <w:hyperlink w:anchor="_Toc300000018" w:history="1">
        <w:r>
          <w:rPr>
            <w:noProof/>
          </w:rPr>
          <w:t>8.1.</w:t>
        </w:r>
        <w:r>
          <w:rPr>
            <w:noProof/>
          </w:rPr>
          <w:tab/>
        </w:r>
        <w:r>
          <w:rPr>
            <w:noProof/>
          </w:rPr>
          <w:t xml:space="preserve">MVP price</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10</w:t>
        </w:r>
        <w:r>
          <w:rPr>
            <w:noProof/>
            <w:webHidden/>
          </w:rPr>
          <w:fldChar w:fldCharType="end"/>
        </w:r>
      </w:hyperlink>
    </w:p>
    <w:p>
      <w:pPr>
        <w:pStyle w:val="TOC2"/>
      </w:pPr>
      <w:hyperlink w:anchor="_Toc300000019" w:history="1">
        <w:r>
          <w:rPr>
            <w:noProof/>
          </w:rPr>
          <w:t>8.2.</w:t>
        </w:r>
        <w:r>
          <w:rPr>
            <w:noProof/>
          </w:rPr>
          <w:tab/>
        </w:r>
        <w:r>
          <w:rPr>
            <w:noProof/>
          </w:rPr>
          <w:t xml:space="preserve">Option B: shared outcome</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10</w:t>
        </w:r>
        <w:r>
          <w:rPr>
            <w:noProof/>
            <w:webHidden/>
          </w:rPr>
          <w:fldChar w:fldCharType="end"/>
        </w:r>
      </w:hyperlink>
    </w:p>
    <w:p>
      <w:pPr>
        <w:pStyle w:val="TOC2"/>
      </w:pPr>
      <w:hyperlink w:anchor="_Toc300000020" w:history="1">
        <w:r>
          <w:rPr>
            <w:noProof/>
          </w:rPr>
          <w:t>8.3.</w:t>
        </w:r>
        <w:r>
          <w:rPr>
            <w:noProof/>
          </w:rPr>
          <w:tab/>
        </w:r>
        <w:r>
          <w:rPr>
            <w:noProof/>
          </w:rPr>
          <w:t xml:space="preserve">After the MVP (optional, priced now for transparency)</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11</w:t>
        </w:r>
        <w:r>
          <w:rPr>
            <w:noProof/>
            <w:webHidden/>
          </w:rPr>
          <w:fldChar w:fldCharType="end"/>
        </w:r>
      </w:hyperlink>
    </w:p>
    <w:p>
      <w:pPr>
        <w:pStyle w:val="TOC2"/>
      </w:pPr>
      <w:hyperlink w:anchor="_Toc300000021" w:history="1">
        <w:r>
          <w:rPr>
            <w:noProof/>
          </w:rPr>
          <w:t>8.4.</w:t>
        </w:r>
        <w:r>
          <w:rPr>
            <w:noProof/>
          </w:rPr>
          <w:tab/>
        </w:r>
        <w:r>
          <w:rPr>
            <w:noProof/>
          </w:rPr>
          <w:t xml:space="preserve">Rate card</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12</w:t>
        </w:r>
        <w:r>
          <w:rPr>
            <w:noProof/>
            <w:webHidden/>
          </w:rPr>
          <w:fldChar w:fldCharType="end"/>
        </w:r>
      </w:hyperlink>
    </w:p>
    <w:p>
      <w:pPr>
        <w:pStyle w:val="TOC2"/>
      </w:pPr>
      <w:hyperlink w:anchor="_Toc300000022" w:history="1">
        <w:r>
          <w:rPr>
            <w:noProof/>
          </w:rPr>
          <w:t>8.5.</w:t>
        </w:r>
        <w:r>
          <w:rPr>
            <w:noProof/>
          </w:rPr>
          <w:tab/>
        </w:r>
        <w:r>
          <w:rPr>
            <w:noProof/>
          </w:rPr>
          <w:t xml:space="preserve">Option comparison</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12</w:t>
        </w:r>
        <w:r>
          <w:rPr>
            <w:noProof/>
            <w:webHidden/>
          </w:rPr>
          <w:fldChar w:fldCharType="end"/>
        </w:r>
      </w:hyperlink>
    </w:p>
    <w:p>
      <w:pPr>
        <w:pStyle w:val="TOC1"/>
      </w:pPr>
      <w:hyperlink w:anchor="_Toc300000023" w:history="1">
        <w:r>
          <w:rPr>
            <w:noProof/>
          </w:rPr>
          <w:t>9.</w:t>
        </w:r>
        <w:r>
          <w:rPr>
            <w:noProof/>
          </w:rPr>
          <w:tab/>
        </w:r>
        <w:r>
          <w:rPr>
            <w:noProof/>
          </w:rPr>
          <w:t xml:space="preserve">Payment milestones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13</w:t>
        </w:r>
        <w:r>
          <w:rPr>
            <w:noProof/>
            <w:webHidden/>
          </w:rPr>
          <w:fldChar w:fldCharType="end"/>
        </w:r>
      </w:hyperlink>
    </w:p>
    <w:p>
      <w:pPr>
        <w:pStyle w:val="TOC1"/>
      </w:pPr>
      <w:hyperlink w:anchor="_Toc300000024" w:history="1">
        <w:r>
          <w:rPr>
            <w:noProof/>
          </w:rPr>
          <w:t>10.</w:t>
        </w:r>
        <w:r>
          <w:rPr>
            <w:noProof/>
          </w:rPr>
          <w:tab/>
        </w:r>
        <w:r>
          <w:rPr>
            <w:noProof/>
          </w:rPr>
          <w:t xml:space="preserve">Run cost</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13</w:t>
        </w:r>
        <w:r>
          <w:rPr>
            <w:noProof/>
            <w:webHidden/>
          </w:rPr>
          <w:fldChar w:fldCharType="end"/>
        </w:r>
      </w:hyperlink>
    </w:p>
    <w:p>
      <w:pPr>
        <w:pStyle w:val="TOC2"/>
      </w:pPr>
      <w:hyperlink w:anchor="_Toc300000025" w:history="1">
        <w:r>
          <w:rPr>
            <w:noProof/>
          </w:rPr>
          <w:t>10.1.</w:t>
        </w:r>
        <w:r>
          <w:rPr>
            <w:noProof/>
          </w:rPr>
          <w:tab/>
        </w:r>
        <w:r>
          <w:rPr>
            <w:noProof/>
          </w:rPr>
          <w:t xml:space="preserve">Cloud infrastructure in Vietnam</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13</w:t>
        </w:r>
        <w:r>
          <w:rPr>
            <w:noProof/>
            <w:webHidden/>
          </w:rPr>
          <w:fldChar w:fldCharType="end"/>
        </w:r>
      </w:hyperlink>
    </w:p>
    <w:p>
      <w:pPr>
        <w:pStyle w:val="TOC2"/>
      </w:pPr>
      <w:hyperlink w:anchor="_Toc300000026" w:history="1">
        <w:r>
          <w:rPr>
            <w:noProof/>
          </w:rPr>
          <w:t>10.2.</w:t>
        </w:r>
        <w:r>
          <w:rPr>
            <w:noProof/>
          </w:rPr>
          <w:tab/>
        </w:r>
        <w:r>
          <w:rPr>
            <w:noProof/>
          </w:rPr>
          <w:t xml:space="preserve">Usage costs</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14</w:t>
        </w:r>
        <w:r>
          <w:rPr>
            <w:noProof/>
            <w:webHidden/>
          </w:rPr>
          <w:fldChar w:fldCharType="end"/>
        </w:r>
      </w:hyperlink>
    </w:p>
    <w:p>
      <w:pPr>
        <w:pStyle w:val="TOC1"/>
      </w:pPr>
      <w:hyperlink w:anchor="_Toc300000027" w:history="1">
        <w:r>
          <w:rPr>
            <w:noProof/>
          </w:rPr>
          <w:t>11.</w:t>
        </w:r>
        <w:r>
          <w:rPr>
            <w:noProof/>
          </w:rPr>
          <w:tab/>
        </w:r>
        <w:r>
          <w:rPr>
            <w:noProof/>
          </w:rPr>
          <w:t xml:space="preserve">Total cost of ownership</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14</w:t>
        </w:r>
        <w:r>
          <w:rPr>
            <w:noProof/>
            <w:webHidden/>
          </w:rPr>
          <w:fldChar w:fldCharType="end"/>
        </w:r>
      </w:hyperlink>
    </w:p>
    <w:p>
      <w:pPr>
        <w:pStyle w:val="TOC1"/>
      </w:pPr>
      <w:hyperlink w:anchor="_Toc300000028" w:history="1">
        <w:r>
          <w:rPr>
            <w:noProof/>
          </w:rPr>
          <w:t>12.</w:t>
        </w:r>
        <w:r>
          <w:rPr>
            <w:noProof/>
          </w:rPr>
          <w:tab/>
        </w:r>
        <w:r>
          <w:rPr>
            <w:noProof/>
          </w:rPr>
          <w:t xml:space="preserve">Governance and service levels</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15</w:t>
        </w:r>
        <w:r>
          <w:rPr>
            <w:noProof/>
            <w:webHidden/>
          </w:rPr>
          <w:fldChar w:fldCharType="end"/>
        </w:r>
      </w:hyperlink>
    </w:p>
    <w:p>
      <w:pPr>
        <w:pStyle w:val="TOC2"/>
      </w:pPr>
      <w:hyperlink w:anchor="_Toc300000029" w:history="1">
        <w:r>
          <w:rPr>
            <w:noProof/>
          </w:rPr>
          <w:t>12.1.</w:t>
        </w:r>
        <w:r>
          <w:rPr>
            <w:noProof/>
          </w:rPr>
          <w:tab/>
        </w:r>
        <w:r>
          <w:rPr>
            <w:noProof/>
          </w:rPr>
          <w:t xml:space="preserve">Governance forums</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15</w:t>
        </w:r>
        <w:r>
          <w:rPr>
            <w:noProof/>
            <w:webHidden/>
          </w:rPr>
          <w:fldChar w:fldCharType="end"/>
        </w:r>
      </w:hyperlink>
    </w:p>
    <w:p>
      <w:pPr>
        <w:pStyle w:val="TOC2"/>
      </w:pPr>
      <w:hyperlink w:anchor="_Toc300000030" w:history="1">
        <w:r>
          <w:rPr>
            <w:noProof/>
          </w:rPr>
          <w:t>12.2.</w:t>
        </w:r>
        <w:r>
          <w:rPr>
            <w:noProof/>
          </w:rPr>
          <w:tab/>
        </w:r>
        <w:r>
          <w:rPr>
            <w:noProof/>
          </w:rPr>
          <w:t xml:space="preserve">Managed service levels</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15</w:t>
        </w:r>
        <w:r>
          <w:rPr>
            <w:noProof/>
            <w:webHidden/>
          </w:rPr>
          <w:fldChar w:fldCharType="end"/>
        </w:r>
      </w:hyperlink>
    </w:p>
    <w:p>
      <w:pPr>
        <w:pStyle w:val="TOC1"/>
      </w:pPr>
      <w:hyperlink w:anchor="_Toc300000031" w:history="1">
        <w:r>
          <w:rPr>
            <w:noProof/>
          </w:rPr>
          <w:t>13.</w:t>
        </w:r>
        <w:r>
          <w:rPr>
            <w:noProof/>
          </w:rPr>
          <w:tab/>
        </w:r>
        <w:r>
          <w:rPr>
            <w:noProof/>
          </w:rPr>
          <w:t xml:space="preserve">Licence, warranty and exit</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16</w:t>
        </w:r>
        <w:r>
          <w:rPr>
            <w:noProof/>
            <w:webHidden/>
          </w:rPr>
          <w:fldChar w:fldCharType="end"/>
        </w:r>
      </w:hyperlink>
    </w:p>
    <w:p>
      <w:pPr>
        <w:pStyle w:val="TOC1"/>
      </w:pPr>
      <w:hyperlink w:anchor="_Toc300000032" w:history="1">
        <w:r>
          <w:rPr>
            <w:noProof/>
          </w:rPr>
          <w:t>14.</w:t>
        </w:r>
        <w:r>
          <w:rPr>
            <w:noProof/>
          </w:rPr>
          <w:tab/>
        </w:r>
        <w:r>
          <w:rPr>
            <w:noProof/>
          </w:rPr>
          <w:t xml:space="preserve">Assumptions</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16</w:t>
        </w:r>
        <w:r>
          <w:rPr>
            <w:noProof/>
            <w:webHidden/>
          </w:rPr>
          <w:fldChar w:fldCharType="end"/>
        </w:r>
      </w:hyperlink>
    </w:p>
    <w:p>
      <w:pPr>
        <w:pStyle w:val="TOC1"/>
      </w:pPr>
      <w:hyperlink w:anchor="_Toc300000033" w:history="1">
        <w:r>
          <w:rPr>
            <w:noProof/>
          </w:rPr>
          <w:t>15.</w:t>
        </w:r>
        <w:r>
          <w:rPr>
            <w:noProof/>
          </w:rPr>
          <w:tab/>
        </w:r>
        <w:r>
          <w:rPr>
            <w:noProof/>
          </w:rPr>
          <w:t xml:space="preserve">Exclusions</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17</w:t>
        </w:r>
        <w:r>
          <w:rPr>
            <w:noProof/>
            <w:webHidden/>
          </w:rPr>
          <w:fldChar w:fldCharType="end"/>
        </w:r>
      </w:hyperlink>
    </w:p>
    <w:p>
      <w:pPr>
        <w:pStyle w:val="TOC1"/>
      </w:pPr>
      <w:hyperlink w:anchor="_Toc300000034" w:history="1">
        <w:r>
          <w:rPr>
            <w:noProof/>
          </w:rPr>
          <w:t>16.</w:t>
        </w:r>
        <w:r>
          <w:rPr>
            <w:noProof/>
          </w:rPr>
          <w:tab/>
        </w:r>
        <w:r>
          <w:rPr>
            <w:noProof/>
          </w:rPr>
          <w:t xml:space="preserve">Commercial risks</w:t>
        </w:r>
        <w:r>
          <w:rPr>
            <w:noProof/>
            <w:webHidden/>
          </w:rPr>
          <w:tab/>
        </w:r>
        <w:r>
          <w:rPr>
            <w:noProof/>
            <w:webHidden/>
          </w:rPr>
          <w:fldChar w:fldCharType="begin"/>
        </w:r>
        <w:r>
          <w:rPr>
            <w:noProof/>
            <w:webHidden/>
          </w:rPr>
          <w:instrText xml:space="preserve"> PAGEREF _Toc300000034 \h </w:instrText>
        </w:r>
        <w:r>
          <w:rPr>
            <w:noProof/>
            <w:webHidden/>
          </w:rPr>
          <w:fldChar w:fldCharType="separate"/>
        </w:r>
        <w:r>
          <w:rPr>
            <w:noProof/>
            <w:webHidden/>
          </w:rPr>
          <w:t>17</w:t>
        </w:r>
        <w:r>
          <w:rPr>
            <w:noProof/>
            <w:webHidden/>
          </w:rPr>
          <w:fldChar w:fldCharType="end"/>
        </w:r>
      </w:hyperlink>
    </w:p>
    <w:p>
      <w:pPr>
        <w:pStyle w:val="TOC1"/>
      </w:pPr>
      <w:hyperlink w:anchor="_Toc300000035" w:history="1">
        <w:r>
          <w:rPr>
            <w:noProof/>
          </w:rPr>
          <w:t>17.</w:t>
        </w:r>
        <w:r>
          <w:rPr>
            <w:noProof/>
          </w:rPr>
          <w:tab/>
        </w:r>
        <w:r>
          <w:rPr>
            <w:noProof/>
          </w:rPr>
          <w:t xml:space="preserve">Sign-Off</w:t>
        </w:r>
        <w:r>
          <w:rPr>
            <w:noProof/>
            <w:webHidden/>
          </w:rPr>
          <w:tab/>
        </w:r>
        <w:r>
          <w:rPr>
            <w:noProof/>
            <w:webHidden/>
          </w:rPr>
          <w:fldChar w:fldCharType="begin"/>
        </w:r>
        <w:r>
          <w:rPr>
            <w:noProof/>
            <w:webHidden/>
          </w:rPr>
          <w:instrText xml:space="preserve"> PAGEREF _Toc300000035 \h </w:instrText>
        </w:r>
        <w:r>
          <w:rPr>
            <w:noProof/>
            <w:webHidden/>
          </w:rPr>
          <w:fldChar w:fldCharType="separate"/>
        </w:r>
        <w:r>
          <w:rPr>
            <w:noProof/>
            <w:webHidden/>
          </w:rPr>
          <w:t>18</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50"/>
        <w:gridCol w:w="886"/>
        <w:gridCol w:w="1819"/>
        <w:gridCol w:w="2106"/>
        <w:gridCol w:w="1915"/>
        <w:gridCol w:w="1151"/>
      </w:tblGrid>
      <w:tr w:rsidR="002B183A" w14:paraId="4E198CD6" w14:textId="77777777" w:rsidTr="002923F3">
        <w:trPr>
          <w:cantSplit/>
          <w:trHeight w:val="440"/>
          <w:tblHeader/>
        </w:trPr>
        <w:tc>
          <w:tcPr>
            <w:tcW w:w="1150"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886"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19"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106"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1915"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15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150"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886"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19"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Engagement Management</w:t>
            </w:r>
          </w:p>
        </w:tc>
        <w:tc>
          <w:tcPr>
            <w:tcW w:w="2106"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Procurement and Finance</w:t>
            </w:r>
          </w:p>
        </w:tc>
        <w:tc>
          <w:tcPr>
            <w:tcW w:w="1915"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15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91"/>
        <w:gridCol w:w="7436"/>
      </w:tblGrid>
      <w:tr w:rsidR="002B183A" w14:paraId="388F227F" w14:textId="77777777" w:rsidTr="002923F3">
        <w:trPr>
          <w:cantSplit/>
          <w:trHeight w:val="440"/>
          <w:tblHeader/>
        </w:trPr>
        <w:tc>
          <w:tcPr>
            <w:tcW w:w="1591"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36"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A/B</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Split testing of two variants</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ASR</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Automatic speech recognition</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CRM</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Customer relationship management</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FTE</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Full-time equivalent</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GB</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Gigabyte</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HA</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High availability</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KPI</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Key performance indicator</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PDP</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Personal data protection</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PITR</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Point-in-time recovery</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SME</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Subject-matter expert</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SMS</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Short message service</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TCO</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Total cost of ownership</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TTS</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Text to speech</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UX</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experience</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vCPU</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Virtual central processing unit</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WAF</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application firewall</w:t>
            </w:r>
          </w:p>
        </w:tc>
      </w:tr>
      <w:tr w:rsidR="002B183A" w:rsidRPr="00BB346A" w14:paraId="73CFB63E" w14:textId="77777777" w:rsidTr="002923F3">
        <w:trPr>
          <w:cantSplit/>
          <w:trHeight w:val="449"/>
        </w:trPr>
        <w:tc>
          <w:tcPr>
            <w:tcW w:w="1591"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ZNS</w:t>
            </w:r>
          </w:p>
        </w:tc>
        <w:tc>
          <w:tcPr>
            <w:tcW w:w="7436"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Zalo Notification Service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document sets out the commercial terms and the engagement model for the TASCO Growth Platform: what is delivered in each stage, the team and effort, the prices and payment milestones, run costs, total cost of ownership, governance, assumptions and exclusions. The figures are the same as in the Proposal for the TASCO Motor Insurance Growth Platform (reference ITN-TASCO-2026-001).</w:t>
      </w:r>
    </w:p>
    <w:p>
      <w:pPr>
        <w:pStyle w:val="Heading2"/>
      </w:pPr>
      <w:bookmarkStart w:id="9" w:name="_Toc300000005"/>
      <w:r>
        <w:t xml:space="preserve">Scope</w:t>
      </w:r>
      <w:bookmarkEnd w:id="9"/>
    </w:p>
    <w:p>
      <w:pPr>
        <w:pStyle w:val="FirstParagraph"/>
      </w:pPr>
      <w:r>
        <w:t xml:space="preserve">The MVP, the optional scale phase and the optional managed service. Prices are in US dollars; Vietnamese dong is shown at USD 1 = VND 26,000 (C-01). Prices exclude VAT and any foreign contractor tax. Business-case figures referred to here are illustrative.</w:t>
      </w:r>
    </w:p>
    <w:p>
      <w:pPr>
        <w:pStyle w:val="Heading2"/>
      </w:pPr>
      <w:bookmarkStart w:id="10" w:name="_Toc300000006"/>
      <w:r>
        <w:t xml:space="preserve">Audience</w:t>
      </w:r>
      <w:bookmarkEnd w:id="10"/>
    </w:p>
    <w:p>
      <w:pPr>
        <w:pStyle w:val="FirstParagraph"/>
      </w:pPr>
      <w:r>
        <w:t xml:space="preserve">TASCO procurement and finance, the programme sponsor and the steering committee.</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38"/>
        <w:gridCol w:w="6589"/>
      </w:tblGrid>
      <w:tr>
        <w:trPr>
          <w:cantSplit/>
          <w:tblHeader/>
        </w:trPr>
        <w:tc>
          <w:tcPr>
            <w:tcW w:w="2438" w:type="dxa"/>
            <w:shd w:val="clear" w:color="auto" w:fill="0F4761"/>
            <w:vAlign w:val="center"/>
          </w:tcPr>
          <w:p>
            <w:pPr>
              <w:pStyle w:val="TableHeading"/>
              <w:jc w:val="left"/>
            </w:pPr>
            <w:r>
              <w:rPr>
                <w:color w:val="FFFFFF"/>
              </w:rPr>
              <w:t xml:space="preserve">ID</w:t>
            </w:r>
          </w:p>
        </w:tc>
        <w:tc>
          <w:tcPr>
            <w:tcW w:w="6589" w:type="dxa"/>
            <w:shd w:val="clear" w:color="auto" w:fill="0F4761"/>
            <w:vAlign w:val="center"/>
          </w:tcPr>
          <w:p>
            <w:pPr>
              <w:pStyle w:val="TableHeading"/>
              <w:jc w:val="left"/>
            </w:pPr>
            <w:r>
              <w:rPr>
                <w:color w:val="FFFFFF"/>
              </w:rPr>
              <w:t xml:space="preserve">Title</w:t>
            </w:r>
          </w:p>
        </w:tc>
      </w:tr>
      <w:tr>
        <w:trPr>
          <w:cantSplit/>
        </w:trPr>
        <w:tc>
          <w:tcPr>
            <w:tcW w:w="2438" w:type="dxa"/>
            <w:noWrap/>
            <w:vAlign w:val="top"/>
          </w:tcPr>
          <w:p>
            <w:pPr>
              <w:pStyle w:val="TableText"/>
              <w:jc w:val="left"/>
            </w:pPr>
            <w:r>
              <w:t xml:space="preserve">TGP-BUS-01</w:t>
            </w:r>
          </w:p>
        </w:tc>
        <w:tc>
          <w:tcPr>
            <w:tcW w:w="6589" w:type="dxa"/>
            <w:vAlign w:val="top"/>
          </w:tcPr>
          <w:p>
            <w:pPr>
              <w:pStyle w:val="TableText"/>
              <w:jc w:val="left"/>
            </w:pPr>
            <w:r>
              <w:t xml:space="preserve">Business Context and Growth Strategy</w:t>
            </w:r>
          </w:p>
        </w:tc>
      </w:tr>
      <w:tr>
        <w:trPr>
          <w:cantSplit/>
        </w:trPr>
        <w:tc>
          <w:tcPr>
            <w:tcW w:w="2438" w:type="dxa"/>
            <w:shd w:val="clear" w:color="auto" w:fill="F4F7FB"/>
            <w:noWrap/>
            <w:vAlign w:val="top"/>
          </w:tcPr>
          <w:p>
            <w:pPr>
              <w:pStyle w:val="TableText"/>
              <w:jc w:val="left"/>
            </w:pPr>
            <w:r>
              <w:t xml:space="preserve">TGP-BUS-03</w:t>
            </w:r>
          </w:p>
        </w:tc>
        <w:tc>
          <w:tcPr>
            <w:tcW w:w="6589" w:type="dxa"/>
            <w:shd w:val="clear" w:color="auto" w:fill="F4F7FB"/>
            <w:vAlign w:val="top"/>
          </w:tcPr>
          <w:p>
            <w:pPr>
              <w:pStyle w:val="TableText"/>
              <w:jc w:val="left"/>
            </w:pPr>
            <w:r>
              <w:t xml:space="preserve">Non-Functional Requirements</w:t>
            </w:r>
          </w:p>
        </w:tc>
      </w:tr>
      <w:tr>
        <w:trPr>
          <w:cantSplit/>
        </w:trPr>
        <w:tc>
          <w:tcPr>
            <w:tcW w:w="2438" w:type="dxa"/>
            <w:noWrap/>
            <w:vAlign w:val="top"/>
          </w:tcPr>
          <w:p>
            <w:pPr>
              <w:pStyle w:val="TableText"/>
              <w:jc w:val="left"/>
            </w:pPr>
            <w:r>
              <w:t xml:space="preserve">TGP-BUS-04</w:t>
            </w:r>
          </w:p>
        </w:tc>
        <w:tc>
          <w:tcPr>
            <w:tcW w:w="6589" w:type="dxa"/>
            <w:vAlign w:val="top"/>
          </w:tcPr>
          <w:p>
            <w:pPr>
              <w:pStyle w:val="TableText"/>
              <w:jc w:val="left"/>
            </w:pPr>
            <w:r>
              <w:t xml:space="preserve">User Stories and Acceptance Criteria</w:t>
            </w:r>
          </w:p>
        </w:tc>
      </w:tr>
      <w:tr>
        <w:trPr>
          <w:cantSplit/>
        </w:trPr>
        <w:tc>
          <w:tcPr>
            <w:tcW w:w="2438" w:type="dxa"/>
            <w:shd w:val="clear" w:color="auto" w:fill="F4F7FB"/>
            <w:noWrap/>
            <w:vAlign w:val="top"/>
          </w:tcPr>
          <w:p>
            <w:pPr>
              <w:pStyle w:val="TableText"/>
              <w:jc w:val="left"/>
            </w:pPr>
            <w:r>
              <w:t xml:space="preserve">TGP-BUS-05</w:t>
            </w:r>
          </w:p>
        </w:tc>
        <w:tc>
          <w:tcPr>
            <w:tcW w:w="6589" w:type="dxa"/>
            <w:shd w:val="clear" w:color="auto" w:fill="F4F7FB"/>
            <w:vAlign w:val="top"/>
          </w:tcPr>
          <w:p>
            <w:pPr>
              <w:pStyle w:val="TableText"/>
              <w:jc w:val="left"/>
            </w:pPr>
            <w:r>
              <w:t xml:space="preserve">Requirements Traceability Matrix</w:t>
            </w:r>
          </w:p>
        </w:tc>
      </w:tr>
      <w:tr>
        <w:trPr>
          <w:cantSplit/>
        </w:trPr>
        <w:tc>
          <w:tcPr>
            <w:tcW w:w="2438" w:type="dxa"/>
            <w:noWrap/>
            <w:vAlign w:val="top"/>
          </w:tcPr>
          <w:p>
            <w:pPr>
              <w:pStyle w:val="TableText"/>
              <w:jc w:val="left"/>
            </w:pPr>
            <w:r>
              <w:t xml:space="preserve">TGP-DEL-01</w:t>
            </w:r>
          </w:p>
        </w:tc>
        <w:tc>
          <w:tcPr>
            <w:tcW w:w="6589" w:type="dxa"/>
            <w:vAlign w:val="top"/>
          </w:tcPr>
          <w:p>
            <w:pPr>
              <w:pStyle w:val="TableText"/>
              <w:jc w:val="left"/>
            </w:pPr>
            <w:r>
              <w:t xml:space="preserve">Project Plan</w:t>
            </w:r>
          </w:p>
        </w:tc>
      </w:tr>
      <w:tr>
        <w:trPr>
          <w:cantSplit/>
        </w:trPr>
        <w:tc>
          <w:tcPr>
            <w:tcW w:w="2438" w:type="dxa"/>
            <w:shd w:val="clear" w:color="auto" w:fill="F4F7FB"/>
            <w:noWrap/>
            <w:vAlign w:val="top"/>
          </w:tcPr>
          <w:p>
            <w:pPr>
              <w:pStyle w:val="TableText"/>
              <w:jc w:val="left"/>
            </w:pPr>
            <w:r>
              <w:t xml:space="preserve">TGP-DEL-03</w:t>
            </w:r>
          </w:p>
        </w:tc>
        <w:tc>
          <w:tcPr>
            <w:tcW w:w="6589" w:type="dxa"/>
            <w:shd w:val="clear" w:color="auto" w:fill="F4F7FB"/>
            <w:vAlign w:val="top"/>
          </w:tcPr>
          <w:p>
            <w:pPr>
              <w:pStyle w:val="TableText"/>
              <w:jc w:val="left"/>
            </w:pPr>
            <w:r>
              <w:t xml:space="preserve">RACI Matrix</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Engagement summary</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81"/>
        <w:gridCol w:w="7146"/>
      </w:tblGrid>
      <w:tr>
        <w:trPr>
          <w:cantSplit/>
          <w:tblHeader/>
        </w:trPr>
        <w:tc>
          <w:tcPr>
            <w:tcW w:w="1881" w:type="dxa"/>
            <w:shd w:val="clear" w:color="auto" w:fill="0F4761"/>
            <w:vAlign w:val="center"/>
          </w:tcPr>
          <w:p>
            <w:pPr>
              <w:pStyle w:val="TableHeading"/>
              <w:jc w:val="left"/>
            </w:pPr>
            <w:r>
              <w:rPr>
                <w:color w:val="FFFFFF"/>
              </w:rPr>
              <w:t xml:space="preserve">Item</w:t>
            </w:r>
          </w:p>
        </w:tc>
        <w:tc>
          <w:tcPr>
            <w:tcW w:w="7146" w:type="dxa"/>
            <w:shd w:val="clear" w:color="auto" w:fill="0F4761"/>
            <w:vAlign w:val="center"/>
          </w:tcPr>
          <w:p>
            <w:pPr>
              <w:pStyle w:val="TableHeading"/>
              <w:jc w:val="left"/>
            </w:pPr>
            <w:r>
              <w:rPr>
                <w:color w:val="FFFFFF"/>
              </w:rPr>
              <w:t xml:space="preserve">Proposal</w:t>
            </w:r>
          </w:p>
        </w:tc>
      </w:tr>
      <w:tr>
        <w:trPr>
          <w:cantSplit/>
        </w:trPr>
        <w:tc>
          <w:tcPr>
            <w:tcW w:w="1881" w:type="dxa"/>
            <w:vAlign w:val="top"/>
          </w:tcPr>
          <w:p>
            <w:pPr>
              <w:pStyle w:val="TableText"/>
              <w:jc w:val="left"/>
            </w:pPr>
            <w:r>
              <w:t xml:space="preserve">Objective</w:t>
            </w:r>
          </w:p>
        </w:tc>
        <w:tc>
          <w:tcPr>
            <w:tcW w:w="7146" w:type="dxa"/>
            <w:vAlign w:val="top"/>
          </w:tcPr>
          <w:p>
            <w:pPr>
              <w:pStyle w:val="TableText"/>
              <w:jc w:val="left"/>
            </w:pPr>
            <w:r>
              <w:t xml:space="preserve">Take the existing TASCO Growth Platform to a live pilot integrated with TASCO core and VETC’s channels, within TASCO’s MVP budget of USD 100,000; then, if the pilot succeeds, scale to the full VETC base and run it as a managed service</w:t>
            </w:r>
          </w:p>
        </w:tc>
      </w:tr>
      <w:tr>
        <w:trPr>
          <w:cantSplit/>
        </w:trPr>
        <w:tc>
          <w:tcPr>
            <w:tcW w:w="1881" w:type="dxa"/>
            <w:shd w:val="clear" w:color="auto" w:fill="F4F7FB"/>
            <w:vAlign w:val="top"/>
          </w:tcPr>
          <w:p>
            <w:pPr>
              <w:pStyle w:val="TableText"/>
              <w:jc w:val="left"/>
            </w:pPr>
            <w:r>
              <w:t xml:space="preserve">Starting point</w:t>
            </w:r>
          </w:p>
        </w:tc>
        <w:tc>
          <w:tcPr>
            <w:tcW w:w="7146" w:type="dxa"/>
            <w:shd w:val="clear" w:color="auto" w:fill="F4F7FB"/>
            <w:vAlign w:val="top"/>
          </w:tcPr>
          <w:p>
            <w:pPr>
              <w:pStyle w:val="TableText"/>
              <w:jc w:val="left"/>
            </w:pPr>
            <w:r>
              <w:t xml:space="preserve">A working platform in UAT: 97 API endpoints, a staff console for 13 roles in Vietnamese and English, a customer app in Vietnamese that runs inside the VETC app, TASCO’s app and website or Zalo, and more than 250 automated tests</w:t>
            </w:r>
          </w:p>
        </w:tc>
      </w:tr>
      <w:tr>
        <w:trPr>
          <w:cantSplit/>
        </w:trPr>
        <w:tc>
          <w:tcPr>
            <w:tcW w:w="1881" w:type="dxa"/>
            <w:vAlign w:val="top"/>
          </w:tcPr>
          <w:p>
            <w:pPr>
              <w:pStyle w:val="TableText"/>
              <w:jc w:val="left"/>
            </w:pPr>
            <w:r>
              <w:t xml:space="preserve">MVP stages</w:t>
            </w:r>
          </w:p>
        </w:tc>
        <w:tc>
          <w:tcPr>
            <w:tcW w:w="7146" w:type="dxa"/>
            <w:vAlign w:val="top"/>
          </w:tcPr>
          <w:p>
            <w:pPr>
              <w:pStyle w:val="TableText"/>
              <w:jc w:val="left"/>
            </w:pPr>
            <w:r>
              <w:t xml:space="preserve">Discovery (2 weeks), build and integrate (8 weeks), test and go-live (3 weeks), hypercare (4 weeks): pilot live 13 weeks after contract signature</w:t>
            </w:r>
          </w:p>
        </w:tc>
      </w:tr>
      <w:tr>
        <w:trPr>
          <w:cantSplit/>
        </w:trPr>
        <w:tc>
          <w:tcPr>
            <w:tcW w:w="1881" w:type="dxa"/>
            <w:shd w:val="clear" w:color="auto" w:fill="F4F7FB"/>
            <w:vAlign w:val="top"/>
          </w:tcPr>
          <w:p>
            <w:pPr>
              <w:pStyle w:val="TableText"/>
              <w:jc w:val="left"/>
            </w:pPr>
            <w:r>
              <w:t xml:space="preserve">After the MVP</w:t>
            </w:r>
          </w:p>
        </w:tc>
        <w:tc>
          <w:tcPr>
            <w:tcW w:w="7146" w:type="dxa"/>
            <w:shd w:val="clear" w:color="auto" w:fill="F4F7FB"/>
            <w:vAlign w:val="top"/>
          </w:tcPr>
          <w:p>
            <w:pPr>
              <w:pStyle w:val="TableText"/>
              <w:jc w:val="left"/>
            </w:pPr>
            <w:r>
              <w:t xml:space="preserve">Scale phase (about six months, optional) and managed service (optional)</w:t>
            </w:r>
          </w:p>
        </w:tc>
      </w:tr>
      <w:tr>
        <w:trPr>
          <w:cantSplit/>
        </w:trPr>
        <w:tc>
          <w:tcPr>
            <w:tcW w:w="1881" w:type="dxa"/>
            <w:vAlign w:val="top"/>
          </w:tcPr>
          <w:p>
            <w:pPr>
              <w:pStyle w:val="TableText"/>
              <w:jc w:val="left"/>
            </w:pPr>
            <w:r>
              <w:t xml:space="preserve">MVP price</w:t>
            </w:r>
          </w:p>
        </w:tc>
        <w:tc>
          <w:tcPr>
            <w:tcW w:w="7146" w:type="dxa"/>
            <w:vAlign w:val="top"/>
          </w:tcPr>
          <w:p>
            <w:pPr>
              <w:pStyle w:val="TableText"/>
              <w:jc w:val="left"/>
            </w:pPr>
            <w:r>
              <w:t xml:space="preserve">USD 94,800 fixed, about VND 2.46 billion. A change reserve of USD 5,200 is held by TASCO, so the total is USD 100,000</w:t>
            </w:r>
          </w:p>
        </w:tc>
      </w:tr>
      <w:tr>
        <w:trPr>
          <w:cantSplit/>
        </w:trPr>
        <w:tc>
          <w:tcPr>
            <w:tcW w:w="1881" w:type="dxa"/>
            <w:shd w:val="clear" w:color="auto" w:fill="F4F7FB"/>
            <w:vAlign w:val="top"/>
          </w:tcPr>
          <w:p>
            <w:pPr>
              <w:pStyle w:val="TableText"/>
              <w:jc w:val="left"/>
            </w:pPr>
            <w:r>
              <w:t xml:space="preserve">Commercial options</w:t>
            </w:r>
          </w:p>
        </w:tc>
        <w:tc>
          <w:tcPr>
            <w:tcW w:w="7146" w:type="dxa"/>
            <w:shd w:val="clear" w:color="auto" w:fill="F4F7FB"/>
            <w:vAlign w:val="top"/>
          </w:tcPr>
          <w:p>
            <w:pPr>
              <w:pStyle w:val="TableText"/>
              <w:jc w:val="left"/>
            </w:pPr>
            <w:r>
              <w:t xml:space="preserve">A: fixed-price MVP (recommended). B: lower fixed price plus a capped technology service fee per policy issued digitally</w:t>
            </w:r>
          </w:p>
        </w:tc>
      </w:tr>
      <w:tr>
        <w:trPr>
          <w:cantSplit/>
        </w:trPr>
        <w:tc>
          <w:tcPr>
            <w:tcW w:w="1881" w:type="dxa"/>
            <w:vAlign w:val="top"/>
          </w:tcPr>
          <w:p>
            <w:pPr>
              <w:pStyle w:val="TableText"/>
              <w:jc w:val="left"/>
            </w:pPr>
            <w:r>
              <w:t xml:space="preserve">Indicative three-year TCO at full scale</w:t>
            </w:r>
          </w:p>
        </w:tc>
        <w:tc>
          <w:tcPr>
            <w:tcW w:w="7146" w:type="dxa"/>
            <w:vAlign w:val="top"/>
          </w:tcPr>
          <w:p>
            <w:pPr>
              <w:pStyle w:val="TableText"/>
              <w:jc w:val="left"/>
            </w:pPr>
            <w:r>
              <w:t xml:space="preserve">USD 663,558, about VND 17.25 billion, including the scale phase, managed service, enhancement pool and cloud infrastructure; excluding usage fees and TASCO and VETC internal costs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Stages, scope and deliverables</w:t>
      </w:r>
      <w:bookmarkEnd w:id="13"/>
    </w:p>
    <w:p xmlns:a="http://schemas.openxmlformats.org/drawingml/2006/main" xmlns:pic="http://schemas.openxmlformats.org/drawingml/2006/picture">
      <w:pPr>
        <w:pStyle w:val="Figure"/>
      </w:pPr>
      <w:r>
        <w:drawing>
          <wp:inline>
            <wp:extent cx="2599199" cy="4067999"/>
            <wp:effectExtent b="0" l="0" r="0" t="0"/>
            <wp:docPr descr="Engagement stages from discovery to managed service" title="" id="5002" name="Picture"/>
            <a:graphic>
              <a:graphicData uri="http://schemas.openxmlformats.org/drawingml/2006/picture">
                <pic:pic>
                  <pic:nvPicPr>
                    <pic:cNvPr descr="/tmp/claude-0/-home-user-TASCO/19e5534d-12b5-5956-9b60-3e77efde0f49/scratchpad/gen/.cache/mermaid/0a5af4983e214af2.png" id="28" name="Picture"/>
                    <pic:cNvPicPr>
                      <a:picLocks noChangeArrowheads="1" noChangeAspect="1"/>
                    </pic:cNvPicPr>
                  </pic:nvPicPr>
                  <pic:blipFill>
                    <a:blip r:embed="rIdG1"/>
                    <a:stretch>
                      <a:fillRect/>
                    </a:stretch>
                  </pic:blipFill>
                  <pic:spPr bwMode="auto">
                    <a:xfrm>
                      <a:off x="0" y="0"/>
                      <a:ext cx="2599199" cy="4067999"/>
                    </a:xfrm>
                    <a:prstGeom prst="rect">
                      <a:avLst/>
                    </a:prstGeom>
                    <a:noFill/>
                    <a:ln w="9525">
                      <a:noFill/>
                      <a:headEnd/>
                      <a:tailEnd/>
                    </a:ln>
                  </pic:spPr>
                </pic:pic>
              </a:graphicData>
            </a:graphic>
          </wp:inline>
        </w:drawing>
      </w:r>
    </w:p>
    <w:p>
      <w:pPr>
        <w:pStyle w:val="Caption"/>
      </w:pPr>
      <w:r>
        <w:t xml:space="preserve">Figure 1 – Engagement stages from discovery to managed service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01"/>
        <w:gridCol w:w="3125"/>
        <w:gridCol w:w="2486"/>
        <w:gridCol w:w="1915"/>
      </w:tblGrid>
      <w:tr>
        <w:trPr>
          <w:cantSplit/>
          <w:tblHeader/>
        </w:trPr>
        <w:tc>
          <w:tcPr>
            <w:tcW w:w="1501" w:type="dxa"/>
            <w:shd w:val="clear" w:color="auto" w:fill="0F4761"/>
            <w:vAlign w:val="center"/>
          </w:tcPr>
          <w:p>
            <w:pPr>
              <w:pStyle w:val="TableHeading"/>
              <w:jc w:val="left"/>
            </w:pPr>
            <w:r>
              <w:rPr>
                <w:color w:val="FFFFFF"/>
              </w:rPr>
              <w:t xml:space="preserve">Stage</w:t>
            </w:r>
          </w:p>
        </w:tc>
        <w:tc>
          <w:tcPr>
            <w:tcW w:w="3125" w:type="dxa"/>
            <w:shd w:val="clear" w:color="auto" w:fill="0F4761"/>
            <w:vAlign w:val="center"/>
          </w:tcPr>
          <w:p>
            <w:pPr>
              <w:pStyle w:val="TableHeading"/>
              <w:jc w:val="left"/>
            </w:pPr>
            <w:r>
              <w:rPr>
                <w:color w:val="FFFFFF"/>
              </w:rPr>
              <w:t xml:space="preserve">Scope</w:t>
            </w:r>
          </w:p>
        </w:tc>
        <w:tc>
          <w:tcPr>
            <w:tcW w:w="2486" w:type="dxa"/>
            <w:shd w:val="clear" w:color="auto" w:fill="0F4761"/>
            <w:vAlign w:val="center"/>
          </w:tcPr>
          <w:p>
            <w:pPr>
              <w:pStyle w:val="TableHeading"/>
              <w:jc w:val="left"/>
            </w:pPr>
            <w:r>
              <w:rPr>
                <w:color w:val="FFFFFF"/>
              </w:rPr>
              <w:t xml:space="preserve">Deliverables</w:t>
            </w:r>
          </w:p>
        </w:tc>
        <w:tc>
          <w:tcPr>
            <w:tcW w:w="1915" w:type="dxa"/>
            <w:shd w:val="clear" w:color="auto" w:fill="0F4761"/>
            <w:vAlign w:val="center"/>
          </w:tcPr>
          <w:p>
            <w:pPr>
              <w:pStyle w:val="TableHeading"/>
              <w:jc w:val="left"/>
            </w:pPr>
            <w:r>
              <w:rPr>
                <w:color w:val="FFFFFF"/>
              </w:rPr>
              <w:t xml:space="preserve">Exit</w:t>
            </w:r>
          </w:p>
        </w:tc>
      </w:tr>
      <w:tr>
        <w:trPr>
          <w:cantSplit/>
        </w:trPr>
        <w:tc>
          <w:tcPr>
            <w:tcW w:w="1501" w:type="dxa"/>
            <w:vAlign w:val="top"/>
          </w:tcPr>
          <w:p>
            <w:pPr>
              <w:pStyle w:val="TableText"/>
              <w:jc w:val="left"/>
            </w:pPr>
            <w:r>
              <w:t xml:space="preserve">Discovery</w:t>
            </w:r>
          </w:p>
        </w:tc>
        <w:tc>
          <w:tcPr>
            <w:tcW w:w="3125" w:type="dxa"/>
            <w:vAlign w:val="top"/>
          </w:tcPr>
          <w:p>
            <w:pPr>
              <w:pStyle w:val="TableText"/>
              <w:jc w:val="left"/>
            </w:pPr>
            <w:r>
              <w:t xml:space="preserve">TASCO core integration path (catalogue, rating, issuance); data mapping (VETC accounts, partner lists, TASCO policy book); legal confirmations; channel contracts; pilot design with a control group; voice vendor selection support</w:t>
            </w:r>
          </w:p>
        </w:tc>
        <w:tc>
          <w:tcPr>
            <w:tcW w:w="2486" w:type="dxa"/>
            <w:vAlign w:val="top"/>
          </w:tcPr>
          <w:p>
            <w:pPr>
              <w:pStyle w:val="TableText"/>
              <w:jc w:val="left"/>
            </w:pPr>
            <w:r>
              <w:t xml:space="preserve">Discovery report; signed integration specifications; pilot plan; baselined KPIs (TGP-BUS-01)</w:t>
            </w:r>
          </w:p>
        </w:tc>
        <w:tc>
          <w:tcPr>
            <w:tcW w:w="1915" w:type="dxa"/>
            <w:vAlign w:val="top"/>
          </w:tcPr>
          <w:p>
            <w:pPr>
              <w:pStyle w:val="TableText"/>
              <w:jc w:val="left"/>
            </w:pPr>
            <w:r>
              <w:t xml:space="preserve">Steering committee sign-off</w:t>
            </w:r>
          </w:p>
        </w:tc>
      </w:tr>
      <w:tr>
        <w:trPr>
          <w:cantSplit/>
        </w:trPr>
        <w:tc>
          <w:tcPr>
            <w:tcW w:w="1501" w:type="dxa"/>
            <w:shd w:val="clear" w:color="auto" w:fill="F4F7FB"/>
            <w:vAlign w:val="top"/>
          </w:tcPr>
          <w:p>
            <w:pPr>
              <w:pStyle w:val="TableText"/>
              <w:jc w:val="left"/>
            </w:pPr>
            <w:r>
              <w:t xml:space="preserve">Build and integrate</w:t>
            </w:r>
          </w:p>
        </w:tc>
        <w:tc>
          <w:tcPr>
            <w:tcW w:w="3125" w:type="dxa"/>
            <w:shd w:val="clear" w:color="auto" w:fill="F4F7FB"/>
            <w:vAlign w:val="top"/>
          </w:tcPr>
          <w:p>
            <w:pPr>
              <w:pStyle w:val="TableText"/>
              <w:jc w:val="left"/>
            </w:pPr>
            <w:r>
              <w:t xml:space="preserve">Four two-week sprints: TASCO core and data; VETC wallet and app; channels and voice; partner and hardening. Each ends with a demonstration on the integration sandboxes</w:t>
            </w:r>
          </w:p>
        </w:tc>
        <w:tc>
          <w:tcPr>
            <w:tcW w:w="2486" w:type="dxa"/>
            <w:shd w:val="clear" w:color="auto" w:fill="F4F7FB"/>
            <w:vAlign w:val="top"/>
          </w:tcPr>
          <w:p>
            <w:pPr>
              <w:pStyle w:val="TableText"/>
              <w:jc w:val="left"/>
            </w:pPr>
            <w:r>
              <w:t xml:space="preserve">Integrated build; rules configured with TASCO’s product team</w:t>
            </w:r>
          </w:p>
        </w:tc>
        <w:tc>
          <w:tcPr>
            <w:tcW w:w="1915" w:type="dxa"/>
            <w:shd w:val="clear" w:color="auto" w:fill="F4F7FB"/>
            <w:vAlign w:val="top"/>
          </w:tcPr>
          <w:p>
            <w:pPr>
              <w:pStyle w:val="TableText"/>
              <w:jc w:val="left"/>
            </w:pPr>
            <w:r>
              <w:t xml:space="preserve">End-to-end demonstration on sandboxes</w:t>
            </w:r>
          </w:p>
        </w:tc>
      </w:tr>
      <w:tr>
        <w:trPr>
          <w:cantSplit/>
        </w:trPr>
        <w:tc>
          <w:tcPr>
            <w:tcW w:w="1501" w:type="dxa"/>
            <w:vAlign w:val="top"/>
          </w:tcPr>
          <w:p>
            <w:pPr>
              <w:pStyle w:val="TableText"/>
              <w:jc w:val="left"/>
            </w:pPr>
            <w:r>
              <w:t xml:space="preserve">Test and go-live</w:t>
            </w:r>
          </w:p>
        </w:tc>
        <w:tc>
          <w:tcPr>
            <w:tcW w:w="3125" w:type="dxa"/>
            <w:vAlign w:val="top"/>
          </w:tcPr>
          <w:p>
            <w:pPr>
              <w:pStyle w:val="TableText"/>
              <w:jc w:val="left"/>
            </w:pPr>
            <w:r>
              <w:t xml:space="preserve">System integration, UAT, security testing, rehearsed cut-over; pilot of 50,000 to 100,000 vehicles</w:t>
            </w:r>
          </w:p>
        </w:tc>
        <w:tc>
          <w:tcPr>
            <w:tcW w:w="2486" w:type="dxa"/>
            <w:vAlign w:val="top"/>
          </w:tcPr>
          <w:p>
            <w:pPr>
              <w:pStyle w:val="TableText"/>
              <w:jc w:val="left"/>
            </w:pPr>
            <w:r>
              <w:t xml:space="preserve">Production release; runbooks; trained users; pilot dashboard; security test report; test-case workbook</w:t>
            </w:r>
          </w:p>
        </w:tc>
        <w:tc>
          <w:tcPr>
            <w:tcW w:w="1915" w:type="dxa"/>
            <w:vAlign w:val="top"/>
          </w:tcPr>
          <w:p>
            <w:pPr>
              <w:pStyle w:val="TableText"/>
              <w:jc w:val="left"/>
            </w:pPr>
            <w:r>
              <w:t xml:space="preserve">UAT sign-off; go-live</w:t>
            </w:r>
          </w:p>
        </w:tc>
      </w:tr>
      <w:tr>
        <w:trPr>
          <w:cantSplit/>
        </w:trPr>
        <w:tc>
          <w:tcPr>
            <w:tcW w:w="1501" w:type="dxa"/>
            <w:shd w:val="clear" w:color="auto" w:fill="F4F7FB"/>
            <w:vAlign w:val="top"/>
          </w:tcPr>
          <w:p>
            <w:pPr>
              <w:pStyle w:val="TableText"/>
              <w:jc w:val="left"/>
            </w:pPr>
            <w:r>
              <w:t xml:space="preserve">Hypercare</w:t>
            </w:r>
          </w:p>
        </w:tc>
        <w:tc>
          <w:tcPr>
            <w:tcW w:w="3125" w:type="dxa"/>
            <w:shd w:val="clear" w:color="auto" w:fill="F4F7FB"/>
            <w:vAlign w:val="top"/>
          </w:tcPr>
          <w:p>
            <w:pPr>
              <w:pStyle w:val="TableText"/>
              <w:jc w:val="left"/>
            </w:pPr>
            <w:r>
              <w:t xml:space="preserve">Delivery team on hand for the first four weeks of live operation, including on-call cover over Tết</w:t>
            </w:r>
          </w:p>
        </w:tc>
        <w:tc>
          <w:tcPr>
            <w:tcW w:w="2486" w:type="dxa"/>
            <w:shd w:val="clear" w:color="auto" w:fill="F4F7FB"/>
            <w:vAlign w:val="top"/>
          </w:tcPr>
          <w:p>
            <w:pPr>
              <w:pStyle w:val="TableText"/>
              <w:jc w:val="left"/>
            </w:pPr>
            <w:r>
              <w:t xml:space="preserve">Hypercare report</w:t>
            </w:r>
          </w:p>
        </w:tc>
        <w:tc>
          <w:tcPr>
            <w:tcW w:w="1915" w:type="dxa"/>
            <w:shd w:val="clear" w:color="auto" w:fill="F4F7FB"/>
            <w:vAlign w:val="top"/>
          </w:tcPr>
          <w:p>
            <w:pPr>
              <w:pStyle w:val="TableText"/>
              <w:jc w:val="left"/>
            </w:pPr>
            <w:r>
              <w:t xml:space="preserve">Four weeks within service levels</w:t>
            </w:r>
          </w:p>
        </w:tc>
      </w:tr>
      <w:tr>
        <w:trPr>
          <w:cantSplit/>
        </w:trPr>
        <w:tc>
          <w:tcPr>
            <w:tcW w:w="1501" w:type="dxa"/>
            <w:vAlign w:val="top"/>
          </w:tcPr>
          <w:p>
            <w:pPr>
              <w:pStyle w:val="TableText"/>
              <w:jc w:val="left"/>
            </w:pPr>
            <w:r>
              <w:t xml:space="preserve">Scale phase (optional)</w:t>
            </w:r>
          </w:p>
        </w:tc>
        <w:tc>
          <w:tcPr>
            <w:tcW w:w="3125" w:type="dxa"/>
            <w:vAlign w:val="top"/>
          </w:tcPr>
          <w:p>
            <w:pPr>
              <w:pStyle w:val="TableText"/>
              <w:jc w:val="left"/>
            </w:pPr>
            <w:r>
              <w:t xml:space="preserve">Ten priced modules, S1 to S10: full base, VETC sign-on and live events, TASCO app and website, Zalo Mini App, claims integration, inspection and fleet, further partners, data warehouse, calibration and testing, full-scale assurance</w:t>
            </w:r>
          </w:p>
        </w:tc>
        <w:tc>
          <w:tcPr>
            <w:tcW w:w="2486" w:type="dxa"/>
            <w:vAlign w:val="top"/>
          </w:tcPr>
          <w:p>
            <w:pPr>
              <w:pStyle w:val="TableText"/>
              <w:jc w:val="left"/>
            </w:pPr>
            <w:r>
              <w:t xml:space="preserve">Scaled platform; new front doors on the same journeys; fleet portal</w:t>
            </w:r>
          </w:p>
        </w:tc>
        <w:tc>
          <w:tcPr>
            <w:tcW w:w="1915" w:type="dxa"/>
            <w:vAlign w:val="top"/>
          </w:tcPr>
          <w:p>
            <w:pPr>
              <w:pStyle w:val="TableText"/>
              <w:jc w:val="left"/>
            </w:pPr>
            <w:r>
              <w:t xml:space="preserve">KPI review against the base case</w:t>
            </w:r>
          </w:p>
        </w:tc>
      </w:tr>
      <w:tr>
        <w:trPr>
          <w:cantSplit/>
        </w:trPr>
        <w:tc>
          <w:tcPr>
            <w:tcW w:w="1501" w:type="dxa"/>
            <w:shd w:val="clear" w:color="auto" w:fill="F4F7FB"/>
            <w:vAlign w:val="top"/>
          </w:tcPr>
          <w:p>
            <w:pPr>
              <w:pStyle w:val="TableText"/>
              <w:jc w:val="left"/>
            </w:pPr>
            <w:r>
              <w:t xml:space="preserve">Managed service (optional)</w:t>
            </w:r>
          </w:p>
        </w:tc>
        <w:tc>
          <w:tcPr>
            <w:tcW w:w="3125" w:type="dxa"/>
            <w:shd w:val="clear" w:color="auto" w:fill="F4F7FB"/>
            <w:vAlign w:val="top"/>
          </w:tcPr>
          <w:p>
            <w:pPr>
              <w:pStyle w:val="TableText"/>
              <w:jc w:val="left"/>
            </w:pPr>
            <w:r>
              <w:t xml:space="preserve">Support, monitoring, security patching, rule-change support, monthly releases</w:t>
            </w:r>
          </w:p>
        </w:tc>
        <w:tc>
          <w:tcPr>
            <w:tcW w:w="2486" w:type="dxa"/>
            <w:shd w:val="clear" w:color="auto" w:fill="F4F7FB"/>
            <w:vAlign w:val="top"/>
          </w:tcPr>
          <w:p>
            <w:pPr>
              <w:pStyle w:val="TableText"/>
              <w:jc w:val="left"/>
            </w:pPr>
            <w:r>
              <w:t xml:space="preserve">Monthly service report; quarterly business review</w:t>
            </w:r>
          </w:p>
        </w:tc>
        <w:tc>
          <w:tcPr>
            <w:tcW w:w="1915" w:type="dxa"/>
            <w:shd w:val="clear" w:color="auto" w:fill="F4F7FB"/>
            <w:vAlign w:val="top"/>
          </w:tcPr>
          <w:p>
            <w:pPr>
              <w:pStyle w:val="TableText"/>
              <w:jc w:val="left"/>
            </w:pPr>
            <w:r>
              <w:t xml:space="preserve">Service levels met</w:t>
            </w:r>
          </w:p>
        </w:tc>
      </w:tr>
    </w:tbl>
    <w:p>
      <w:pPr>
        <w:pStyle w:val="Heading2"/>
      </w:pPr>
      <w:bookmarkStart w:id="14" w:name="_Toc300000010"/>
      <w:r>
        <w:t xml:space="preserve">MVP scope</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410"/>
        <w:gridCol w:w="3617"/>
      </w:tblGrid>
      <w:tr>
        <w:trPr>
          <w:cantSplit/>
          <w:tblHeader/>
        </w:trPr>
        <w:tc>
          <w:tcPr>
            <w:tcW w:w="5410" w:type="dxa"/>
            <w:shd w:val="clear" w:color="auto" w:fill="0F4761"/>
            <w:vAlign w:val="center"/>
          </w:tcPr>
          <w:p>
            <w:pPr>
              <w:pStyle w:val="TableHeading"/>
              <w:jc w:val="left"/>
            </w:pPr>
            <w:r>
              <w:rPr>
                <w:color w:val="FFFFFF"/>
              </w:rPr>
              <w:t xml:space="preserve">In scope for the MVP</w:t>
            </w:r>
          </w:p>
        </w:tc>
        <w:tc>
          <w:tcPr>
            <w:tcW w:w="3617" w:type="dxa"/>
            <w:shd w:val="clear" w:color="auto" w:fill="0F4761"/>
            <w:vAlign w:val="center"/>
          </w:tcPr>
          <w:p>
            <w:pPr>
              <w:pStyle w:val="TableHeading"/>
              <w:jc w:val="left"/>
            </w:pPr>
            <w:r>
              <w:rPr>
                <w:color w:val="FFFFFF"/>
              </w:rPr>
              <w:t xml:space="preserve">Not in the MVP (scale phase or later)</w:t>
            </w:r>
          </w:p>
        </w:tc>
      </w:tr>
      <w:tr>
        <w:trPr>
          <w:cantSplit/>
        </w:trPr>
        <w:tc>
          <w:tcPr>
            <w:tcW w:w="5410" w:type="dxa"/>
            <w:vAlign w:val="top"/>
          </w:tcPr>
          <w:p>
            <w:pPr>
              <w:pStyle w:val="TableText"/>
              <w:jc w:val="left"/>
            </w:pPr>
            <w:r>
              <w:t xml:space="preserve">TASCO core: catalogue sync, live rating, bind and issue, daily policy extract</w:t>
            </w:r>
          </w:p>
        </w:tc>
        <w:tc>
          <w:tcPr>
            <w:tcW w:w="3617" w:type="dxa"/>
            <w:vAlign w:val="top"/>
          </w:tcPr>
          <w:p>
            <w:pPr>
              <w:pStyle w:val="TableText"/>
              <w:jc w:val="left"/>
            </w:pPr>
            <w:r>
              <w:t xml:space="preserve">Claims system-to-system integration (first notice handled by queue in the MVP)</w:t>
            </w:r>
          </w:p>
        </w:tc>
      </w:tr>
      <w:tr>
        <w:trPr>
          <w:cantSplit/>
        </w:trPr>
        <w:tc>
          <w:tcPr>
            <w:tcW w:w="5410" w:type="dxa"/>
            <w:shd w:val="clear" w:color="auto" w:fill="F4F7FB"/>
            <w:vAlign w:val="top"/>
          </w:tcPr>
          <w:p>
            <w:pPr>
              <w:pStyle w:val="TableText"/>
              <w:jc w:val="left"/>
            </w:pPr>
            <w:r>
              <w:t xml:space="preserve">VETC: initial data load and daily changes, tag-activation events, app web view with signed links, push, wallet debit and refund, reconciliation</w:t>
            </w:r>
          </w:p>
        </w:tc>
        <w:tc>
          <w:tcPr>
            <w:tcW w:w="3617" w:type="dxa"/>
            <w:shd w:val="clear" w:color="auto" w:fill="F4F7FB"/>
            <w:vAlign w:val="top"/>
          </w:tcPr>
          <w:p>
            <w:pPr>
              <w:pStyle w:val="TableText"/>
              <w:jc w:val="left"/>
            </w:pPr>
            <w:r>
              <w:t xml:space="preserve">VETC single sign-on and live feed of all VETC events (S2)</w:t>
            </w:r>
          </w:p>
        </w:tc>
      </w:tr>
      <w:tr>
        <w:trPr>
          <w:cantSplit/>
        </w:trPr>
        <w:tc>
          <w:tcPr>
            <w:tcW w:w="5410" w:type="dxa"/>
            <w:vAlign w:val="top"/>
          </w:tcPr>
          <w:p>
            <w:pPr>
              <w:pStyle w:val="TableText"/>
              <w:jc w:val="left"/>
            </w:pPr>
            <w:r>
              <w:t xml:space="preserve">Zalo ZNS from TASCO’s existing verified Official Account, and SMS brandname, for approved templates</w:t>
            </w:r>
          </w:p>
        </w:tc>
        <w:tc>
          <w:tcPr>
            <w:tcW w:w="3617" w:type="dxa"/>
            <w:vAlign w:val="top"/>
          </w:tcPr>
          <w:p>
            <w:pPr>
              <w:pStyle w:val="TableText"/>
              <w:jc w:val="left"/>
            </w:pPr>
            <w:r>
              <w:t xml:space="preserve">Additional messaging channels</w:t>
            </w:r>
          </w:p>
        </w:tc>
      </w:tr>
      <w:tr>
        <w:trPr>
          <w:cantSplit/>
        </w:trPr>
        <w:tc>
          <w:tcPr>
            <w:tcW w:w="5410" w:type="dxa"/>
            <w:shd w:val="clear" w:color="auto" w:fill="F4F7FB"/>
            <w:vAlign w:val="top"/>
          </w:tcPr>
          <w:p>
            <w:pPr>
              <w:pStyle w:val="TableText"/>
              <w:jc w:val="left"/>
            </w:pPr>
            <w:r>
              <w:t xml:space="preserve">One voice AI vendor, Vietnamese script, plate-first verification, telesales handoff</w:t>
            </w:r>
          </w:p>
        </w:tc>
        <w:tc>
          <w:tcPr>
            <w:tcW w:w="3617" w:type="dxa"/>
            <w:shd w:val="clear" w:color="auto" w:fill="F4F7FB"/>
            <w:vAlign w:val="top"/>
          </w:tcPr>
          <w:p>
            <w:pPr>
              <w:pStyle w:val="TableText"/>
              <w:jc w:val="left"/>
            </w:pPr>
            <w:r>
              <w:t xml:space="preserve">Multiple voice vendors, outbound voice at full scale</w:t>
            </w:r>
          </w:p>
        </w:tc>
      </w:tr>
      <w:tr>
        <w:trPr>
          <w:cantSplit/>
        </w:trPr>
        <w:tc>
          <w:tcPr>
            <w:tcW w:w="5410" w:type="dxa"/>
            <w:vAlign w:val="top"/>
          </w:tcPr>
          <w:p>
            <w:pPr>
              <w:pStyle w:val="TableText"/>
              <w:jc w:val="left"/>
            </w:pPr>
            <w:r>
              <w:t xml:space="preserve">Journeys: renewal, conquest, new vehicle, lapsed recovery, cross-sell</w:t>
            </w:r>
          </w:p>
        </w:tc>
        <w:tc>
          <w:tcPr>
            <w:tcW w:w="3617" w:type="dxa"/>
            <w:vAlign w:val="top"/>
          </w:tcPr>
          <w:p>
            <w:pPr>
              <w:pStyle w:val="TableText"/>
              <w:jc w:val="left"/>
            </w:pPr>
            <w:r>
              <w:t xml:space="preserve">A/B testing framework, machine-learning score calibration</w:t>
            </w:r>
          </w:p>
        </w:tc>
      </w:tr>
      <w:tr>
        <w:trPr>
          <w:cantSplit/>
        </w:trPr>
        <w:tc>
          <w:tcPr>
            <w:tcW w:w="5410" w:type="dxa"/>
            <w:shd w:val="clear" w:color="auto" w:fill="F4F7FB"/>
            <w:vAlign w:val="top"/>
          </w:tcPr>
          <w:p>
            <w:pPr>
              <w:pStyle w:val="TableText"/>
              <w:jc w:val="left"/>
            </w:pPr>
            <w:r>
              <w:t xml:space="preserve">Products: TNDS (one to three years), personal accident cover per seat, physical damage cover with inspection</w:t>
            </w:r>
          </w:p>
        </w:tc>
        <w:tc>
          <w:tcPr>
            <w:tcW w:w="3617" w:type="dxa"/>
            <w:shd w:val="clear" w:color="auto" w:fill="F4F7FB"/>
            <w:vAlign w:val="top"/>
          </w:tcPr>
          <w:p>
            <w:pPr>
              <w:pStyle w:val="TableText"/>
              <w:jc w:val="left"/>
            </w:pPr>
            <w:r>
              <w:t xml:space="preserve">Further products</w:t>
            </w:r>
          </w:p>
        </w:tc>
      </w:tr>
      <w:tr>
        <w:trPr>
          <w:cantSplit/>
        </w:trPr>
        <w:tc>
          <w:tcPr>
            <w:tcW w:w="5410" w:type="dxa"/>
            <w:vAlign w:val="top"/>
          </w:tcPr>
          <w:p>
            <w:pPr>
              <w:pStyle w:val="TableText"/>
              <w:jc w:val="left"/>
            </w:pPr>
            <w:r>
              <w:t xml:space="preserve">Tasco360 live on the partner API as the first partner (or another partner chosen in discovery)</w:t>
            </w:r>
          </w:p>
        </w:tc>
        <w:tc>
          <w:tcPr>
            <w:tcW w:w="3617" w:type="dxa"/>
            <w:vAlign w:val="top"/>
          </w:tcPr>
          <w:p>
            <w:pPr>
              <w:pStyle w:val="TableText"/>
              <w:jc w:val="left"/>
            </w:pPr>
            <w:r>
              <w:t xml:space="preserve">Further partners and partner self-onboarding (S7)</w:t>
            </w:r>
          </w:p>
        </w:tc>
      </w:tr>
      <w:tr>
        <w:trPr>
          <w:cantSplit/>
        </w:trPr>
        <w:tc>
          <w:tcPr>
            <w:tcW w:w="5410" w:type="dxa"/>
            <w:shd w:val="clear" w:color="auto" w:fill="F4F7FB"/>
            <w:vAlign w:val="top"/>
          </w:tcPr>
          <w:p>
            <w:pPr>
              <w:pStyle w:val="TableText"/>
              <w:jc w:val="left"/>
            </w:pPr>
            <w:r>
              <w:t xml:space="preserve">Staff console (Vietnamese and English) and customer app (Vietnamese) in TASCO’s brand, with TASCO’s official contacts</w:t>
            </w:r>
          </w:p>
        </w:tc>
        <w:tc>
          <w:tcPr>
            <w:tcW w:w="3617" w:type="dxa"/>
            <w:shd w:val="clear" w:color="auto" w:fill="F4F7FB"/>
            <w:vAlign w:val="top"/>
          </w:tcPr>
          <w:p>
            <w:pPr>
              <w:pStyle w:val="TableText"/>
              <w:jc w:val="left"/>
            </w:pPr>
            <w:r>
              <w:t xml:space="preserve">Fleet portal and consolidated invoicing (S6)</w:t>
            </w:r>
          </w:p>
        </w:tc>
      </w:tr>
      <w:tr>
        <w:trPr>
          <w:cantSplit/>
        </w:trPr>
        <w:tc>
          <w:tcPr>
            <w:tcW w:w="5410" w:type="dxa"/>
            <w:vAlign w:val="top"/>
          </w:tcPr>
          <w:p>
            <w:pPr>
              <w:pStyle w:val="TableText"/>
              <w:jc w:val="left"/>
            </w:pPr>
            <w:r>
              <w:t xml:space="preserve">Customer journeys ready for TASCO’s app and website, tested against a sandbox of TASCO’s payment gateway</w:t>
            </w:r>
          </w:p>
        </w:tc>
        <w:tc>
          <w:tcPr>
            <w:tcW w:w="3617" w:type="dxa"/>
            <w:vAlign w:val="top"/>
          </w:tcPr>
          <w:p>
            <w:pPr>
              <w:pStyle w:val="TableText"/>
              <w:jc w:val="left"/>
            </w:pPr>
            <w:r>
              <w:t xml:space="preserve">Live in TASCO’s app and website (S3) and as a Zalo Mini App (S4)</w:t>
            </w:r>
          </w:p>
        </w:tc>
      </w:tr>
      <w:tr>
        <w:trPr>
          <w:cantSplit/>
        </w:trPr>
        <w:tc>
          <w:tcPr>
            <w:tcW w:w="5410" w:type="dxa"/>
            <w:shd w:val="clear" w:color="auto" w:fill="F4F7FB"/>
            <w:vAlign w:val="top"/>
          </w:tcPr>
          <w:p>
            <w:pPr>
              <w:pStyle w:val="TableText"/>
              <w:jc w:val="left"/>
            </w:pPr>
            <w:r>
              <w:t xml:space="preserve">Production hardening, security testing, runbooks, training, cut-over and four weeks of hypercare</w:t>
            </w:r>
          </w:p>
        </w:tc>
        <w:tc>
          <w:tcPr>
            <w:tcW w:w="3617" w:type="dxa"/>
            <w:shd w:val="clear" w:color="auto" w:fill="F4F7FB"/>
            <w:vAlign w:val="top"/>
          </w:tcPr>
          <w:p>
            <w:pPr>
              <w:pStyle w:val="TableText"/>
              <w:jc w:val="left"/>
            </w:pPr>
            <w:r>
              <w:t xml:space="preserve">Data warehouse feed</w:t>
            </w:r>
          </w:p>
        </w:tc>
      </w:tr>
      <w:tr>
        <w:trPr>
          <w:cantSplit/>
        </w:trPr>
        <w:tc>
          <w:tcPr>
            <w:tcW w:w="5410" w:type="dxa"/>
            <w:vAlign w:val="top"/>
          </w:tcPr>
          <w:p>
            <w:pPr>
              <w:pStyle w:val="TableText"/>
              <w:jc w:val="left"/>
            </w:pPr>
            <w:r>
              <w:t xml:space="preserve">Pilot cohort of 50,000 to 100,000 vehicles with a control group</w:t>
            </w:r>
          </w:p>
        </w:tc>
        <w:tc>
          <w:tcPr>
            <w:tcW w:w="3617" w:type="dxa"/>
            <w:vAlign w:val="top"/>
          </w:tcPr>
          <w:p>
            <w:pPr>
              <w:pStyle w:val="TableText"/>
              <w:jc w:val="left"/>
            </w:pPr>
            <w:r>
              <w:t xml:space="preserve">Full 6 million vehicle base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Timeline and milestones</w:t>
      </w:r>
      <w:bookmarkEnd w:id="15"/>
    </w:p>
    <w:p>
      <w:pPr>
        <w:pStyle w:val="FirstParagraph"/>
      </w:pPr>
      <w:r>
        <w:t xml:space="preserve">The plan assumes contract signature by 30 October 2026 and a start on 2 November 2026. Week 13 falls in late January 2027, just before Tết. We propose a controlled soft launch to the first part of the cohort in week 13, a change freeze with 24-hour on-call cover over the holiday, and a ramp-up to the full pilot cohort after Tết. The detailed plan is in TGP-DEL-01 Project Plan.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236"/>
        <w:gridCol w:w="728"/>
        <w:gridCol w:w="1746"/>
        <w:gridCol w:w="4317"/>
      </w:tblGrid>
      <w:tr>
        <w:trPr>
          <w:cantSplit/>
          <w:tblHeader/>
        </w:trPr>
        <w:tc>
          <w:tcPr>
            <w:tcW w:w="2236" w:type="dxa"/>
            <w:shd w:val="clear" w:color="auto" w:fill="0F4761"/>
            <w:vAlign w:val="center"/>
          </w:tcPr>
          <w:p>
            <w:pPr>
              <w:pStyle w:val="TableHeading"/>
              <w:jc w:val="left"/>
            </w:pPr>
            <w:r>
              <w:rPr>
                <w:color w:val="FFFFFF"/>
              </w:rPr>
              <w:t xml:space="preserve">Milestone</w:t>
            </w:r>
          </w:p>
        </w:tc>
        <w:tc>
          <w:tcPr>
            <w:tcW w:w="728" w:type="dxa"/>
            <w:shd w:val="clear" w:color="auto" w:fill="0F4761"/>
            <w:vAlign w:val="center"/>
          </w:tcPr>
          <w:p>
            <w:pPr>
              <w:pStyle w:val="TableHeading"/>
              <w:jc w:val="left"/>
            </w:pPr>
            <w:r>
              <w:rPr>
                <w:color w:val="FFFFFF"/>
              </w:rPr>
              <w:t xml:space="preserve">Week</w:t>
            </w:r>
          </w:p>
        </w:tc>
        <w:tc>
          <w:tcPr>
            <w:tcW w:w="1746" w:type="dxa"/>
            <w:shd w:val="clear" w:color="auto" w:fill="0F4761"/>
            <w:vAlign w:val="center"/>
          </w:tcPr>
          <w:p>
            <w:pPr>
              <w:pStyle w:val="TableHeading"/>
              <w:jc w:val="left"/>
            </w:pPr>
            <w:r>
              <w:rPr>
                <w:color w:val="FFFFFF"/>
              </w:rPr>
              <w:t xml:space="preserve">Date (indicative)</w:t>
            </w:r>
          </w:p>
        </w:tc>
        <w:tc>
          <w:tcPr>
            <w:tcW w:w="4317" w:type="dxa"/>
            <w:shd w:val="clear" w:color="auto" w:fill="0F4761"/>
            <w:vAlign w:val="center"/>
          </w:tcPr>
          <w:p>
            <w:pPr>
              <w:pStyle w:val="TableHeading"/>
              <w:jc w:val="left"/>
            </w:pPr>
            <w:r>
              <w:rPr>
                <w:color w:val="FFFFFF"/>
              </w:rPr>
              <w:t xml:space="preserve">Evidence</w:t>
            </w:r>
          </w:p>
        </w:tc>
      </w:tr>
      <w:tr>
        <w:trPr>
          <w:cantSplit/>
        </w:trPr>
        <w:tc>
          <w:tcPr>
            <w:tcW w:w="2236" w:type="dxa"/>
            <w:vAlign w:val="top"/>
          </w:tcPr>
          <w:p>
            <w:pPr>
              <w:pStyle w:val="TableText"/>
              <w:jc w:val="left"/>
            </w:pPr>
            <w:r>
              <w:t xml:space="preserve">M0 Mobilisation</w:t>
            </w:r>
          </w:p>
        </w:tc>
        <w:tc>
          <w:tcPr>
            <w:tcW w:w="728" w:type="dxa"/>
            <w:vAlign w:val="top"/>
          </w:tcPr>
          <w:p>
            <w:pPr>
              <w:pStyle w:val="TableText"/>
              <w:jc w:val="left"/>
            </w:pPr>
            <w:r>
              <w:t xml:space="preserve">0</w:t>
            </w:r>
          </w:p>
        </w:tc>
        <w:tc>
          <w:tcPr>
            <w:tcW w:w="1746" w:type="dxa"/>
            <w:vAlign w:val="top"/>
          </w:tcPr>
          <w:p>
            <w:pPr>
              <w:pStyle w:val="TableText"/>
              <w:jc w:val="left"/>
            </w:pPr>
            <w:r>
              <w:t xml:space="preserve">30/10/2026</w:t>
            </w:r>
          </w:p>
        </w:tc>
        <w:tc>
          <w:tcPr>
            <w:tcW w:w="4317" w:type="dxa"/>
            <w:vAlign w:val="top"/>
          </w:tcPr>
          <w:p>
            <w:pPr>
              <w:pStyle w:val="TableText"/>
              <w:jc w:val="left"/>
            </w:pPr>
            <w:r>
              <w:t xml:space="preserve">Contract signed; team onboarded</w:t>
            </w:r>
          </w:p>
        </w:tc>
      </w:tr>
      <w:tr>
        <w:trPr>
          <w:cantSplit/>
        </w:trPr>
        <w:tc>
          <w:tcPr>
            <w:tcW w:w="2236" w:type="dxa"/>
            <w:shd w:val="clear" w:color="auto" w:fill="F4F7FB"/>
            <w:vAlign w:val="top"/>
          </w:tcPr>
          <w:p>
            <w:pPr>
              <w:pStyle w:val="TableText"/>
              <w:jc w:val="left"/>
            </w:pPr>
            <w:r>
              <w:t xml:space="preserve">M1 Discovery complete</w:t>
            </w:r>
          </w:p>
        </w:tc>
        <w:tc>
          <w:tcPr>
            <w:tcW w:w="728" w:type="dxa"/>
            <w:shd w:val="clear" w:color="auto" w:fill="F4F7FB"/>
            <w:vAlign w:val="top"/>
          </w:tcPr>
          <w:p>
            <w:pPr>
              <w:pStyle w:val="TableText"/>
              <w:jc w:val="left"/>
            </w:pPr>
            <w:r>
              <w:t xml:space="preserve">2</w:t>
            </w:r>
          </w:p>
        </w:tc>
        <w:tc>
          <w:tcPr>
            <w:tcW w:w="1746" w:type="dxa"/>
            <w:shd w:val="clear" w:color="auto" w:fill="F4F7FB"/>
            <w:vAlign w:val="top"/>
          </w:tcPr>
          <w:p>
            <w:pPr>
              <w:pStyle w:val="TableText"/>
              <w:jc w:val="left"/>
            </w:pPr>
            <w:r>
              <w:t xml:space="preserve">13/11/2026</w:t>
            </w:r>
          </w:p>
        </w:tc>
        <w:tc>
          <w:tcPr>
            <w:tcW w:w="4317" w:type="dxa"/>
            <w:shd w:val="clear" w:color="auto" w:fill="F4F7FB"/>
            <w:vAlign w:val="top"/>
          </w:tcPr>
          <w:p>
            <w:pPr>
              <w:pStyle w:val="TableText"/>
              <w:jc w:val="left"/>
            </w:pPr>
            <w:r>
              <w:t xml:space="preserve">Discovery report, integration specifications and pilot design signed off</w:t>
            </w:r>
          </w:p>
        </w:tc>
      </w:tr>
      <w:tr>
        <w:trPr>
          <w:cantSplit/>
        </w:trPr>
        <w:tc>
          <w:tcPr>
            <w:tcW w:w="2236" w:type="dxa"/>
            <w:vAlign w:val="top"/>
          </w:tcPr>
          <w:p>
            <w:pPr>
              <w:pStyle w:val="TableText"/>
              <w:jc w:val="left"/>
            </w:pPr>
            <w:r>
              <w:t xml:space="preserve">M2 Integrated build</w:t>
            </w:r>
          </w:p>
        </w:tc>
        <w:tc>
          <w:tcPr>
            <w:tcW w:w="728" w:type="dxa"/>
            <w:vAlign w:val="top"/>
          </w:tcPr>
          <w:p>
            <w:pPr>
              <w:pStyle w:val="TableText"/>
              <w:jc w:val="left"/>
            </w:pPr>
            <w:r>
              <w:t xml:space="preserve">10</w:t>
            </w:r>
          </w:p>
        </w:tc>
        <w:tc>
          <w:tcPr>
            <w:tcW w:w="1746" w:type="dxa"/>
            <w:vAlign w:val="top"/>
          </w:tcPr>
          <w:p>
            <w:pPr>
              <w:pStyle w:val="TableText"/>
              <w:jc w:val="left"/>
            </w:pPr>
            <w:r>
              <w:t xml:space="preserve">08/01/2027</w:t>
            </w:r>
          </w:p>
        </w:tc>
        <w:tc>
          <w:tcPr>
            <w:tcW w:w="4317" w:type="dxa"/>
            <w:vAlign w:val="top"/>
          </w:tcPr>
          <w:p>
            <w:pPr>
              <w:pStyle w:val="TableText"/>
              <w:jc w:val="left"/>
            </w:pPr>
            <w:r>
              <w:t xml:space="preserve">End-to-end demonstration on sandboxes: core rating and issuance, wallet debit, Zalo message, voice call</w:t>
            </w:r>
          </w:p>
        </w:tc>
      </w:tr>
      <w:tr>
        <w:trPr>
          <w:cantSplit/>
        </w:trPr>
        <w:tc>
          <w:tcPr>
            <w:tcW w:w="2236" w:type="dxa"/>
            <w:shd w:val="clear" w:color="auto" w:fill="F4F7FB"/>
            <w:vAlign w:val="top"/>
          </w:tcPr>
          <w:p>
            <w:pPr>
              <w:pStyle w:val="TableText"/>
              <w:jc w:val="left"/>
            </w:pPr>
            <w:r>
              <w:t xml:space="preserve">M3 Acceptance</w:t>
            </w:r>
          </w:p>
        </w:tc>
        <w:tc>
          <w:tcPr>
            <w:tcW w:w="728" w:type="dxa"/>
            <w:shd w:val="clear" w:color="auto" w:fill="F4F7FB"/>
            <w:vAlign w:val="top"/>
          </w:tcPr>
          <w:p>
            <w:pPr>
              <w:pStyle w:val="TableText"/>
              <w:jc w:val="left"/>
            </w:pPr>
            <w:r>
              <w:t xml:space="preserve">13</w:t>
            </w:r>
          </w:p>
        </w:tc>
        <w:tc>
          <w:tcPr>
            <w:tcW w:w="1746" w:type="dxa"/>
            <w:shd w:val="clear" w:color="auto" w:fill="F4F7FB"/>
            <w:vAlign w:val="top"/>
          </w:tcPr>
          <w:p>
            <w:pPr>
              <w:pStyle w:val="TableText"/>
              <w:jc w:val="left"/>
            </w:pPr>
            <w:r>
              <w:t xml:space="preserve">26/01/2027</w:t>
            </w:r>
          </w:p>
        </w:tc>
        <w:tc>
          <w:tcPr>
            <w:tcW w:w="4317" w:type="dxa"/>
            <w:shd w:val="clear" w:color="auto" w:fill="F4F7FB"/>
            <w:vAlign w:val="top"/>
          </w:tcPr>
          <w:p>
            <w:pPr>
              <w:pStyle w:val="TableText"/>
              <w:jc w:val="left"/>
            </w:pPr>
            <w:r>
              <w:t xml:space="preserve">UAT signed off; no open critical or high security findings</w:t>
            </w:r>
          </w:p>
        </w:tc>
      </w:tr>
      <w:tr>
        <w:trPr>
          <w:cantSplit/>
        </w:trPr>
        <w:tc>
          <w:tcPr>
            <w:tcW w:w="2236" w:type="dxa"/>
            <w:vAlign w:val="top"/>
          </w:tcPr>
          <w:p>
            <w:pPr>
              <w:pStyle w:val="TableText"/>
              <w:jc w:val="left"/>
            </w:pPr>
            <w:r>
              <w:t xml:space="preserve">M4 Pilot live and hypercare complete</w:t>
            </w:r>
          </w:p>
        </w:tc>
        <w:tc>
          <w:tcPr>
            <w:tcW w:w="728" w:type="dxa"/>
            <w:vAlign w:val="top"/>
          </w:tcPr>
          <w:p>
            <w:pPr>
              <w:pStyle w:val="TableText"/>
              <w:jc w:val="left"/>
            </w:pPr>
            <w:r>
              <w:t xml:space="preserve">17</w:t>
            </w:r>
          </w:p>
        </w:tc>
        <w:tc>
          <w:tcPr>
            <w:tcW w:w="1746" w:type="dxa"/>
            <w:vAlign w:val="top"/>
          </w:tcPr>
          <w:p>
            <w:pPr>
              <w:pStyle w:val="TableText"/>
              <w:jc w:val="left"/>
            </w:pPr>
            <w:r>
              <w:t xml:space="preserve">26/02/2027</w:t>
            </w:r>
          </w:p>
        </w:tc>
        <w:tc>
          <w:tcPr>
            <w:tcW w:w="4317" w:type="dxa"/>
            <w:vAlign w:val="top"/>
          </w:tcPr>
          <w:p>
            <w:pPr>
              <w:pStyle w:val="TableText"/>
              <w:jc w:val="left"/>
            </w:pPr>
            <w:r>
              <w:t xml:space="preserve">Pilot live; four weeks within service levels</w:t>
            </w:r>
          </w:p>
        </w:tc>
      </w:tr>
    </w:tbl>
    <w:p>
      <w:pPr>
        <w:pStyle w:val="BodyText"/>
        <w:spacing w:before="160"/>
      </w:pPr>
      <w:r>
        <w:t xml:space="preserve">The pilot read-out, with conversion measured against the control group, is planned about 12 weeks after go-live, in early May 2027.</w:t>
      </w:r>
    </w:p>
    <w:p>
      <w:pPr>
        <w:pStyle w:val="Heading2"/>
      </w:pPr>
      <w:bookmarkStart w:id="16" w:name="_Toc300000012"/>
      <w:r>
        <w:t xml:space="preserve">After the pilot</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57"/>
        <w:gridCol w:w="1686"/>
        <w:gridCol w:w="5184"/>
      </w:tblGrid>
      <w:tr>
        <w:trPr>
          <w:cantSplit/>
          <w:tblHeader/>
        </w:trPr>
        <w:tc>
          <w:tcPr>
            <w:tcW w:w="2157" w:type="dxa"/>
            <w:shd w:val="clear" w:color="auto" w:fill="0F4761"/>
            <w:vAlign w:val="center"/>
          </w:tcPr>
          <w:p>
            <w:pPr>
              <w:pStyle w:val="TableHeading"/>
              <w:jc w:val="left"/>
            </w:pPr>
            <w:r>
              <w:rPr>
                <w:color w:val="FFFFFF"/>
              </w:rPr>
              <w:t xml:space="preserve">Period (indicative)</w:t>
            </w:r>
          </w:p>
        </w:tc>
        <w:tc>
          <w:tcPr>
            <w:tcW w:w="1686" w:type="dxa"/>
            <w:shd w:val="clear" w:color="auto" w:fill="0F4761"/>
            <w:vAlign w:val="center"/>
          </w:tcPr>
          <w:p>
            <w:pPr>
              <w:pStyle w:val="TableHeading"/>
              <w:jc w:val="left"/>
            </w:pPr>
            <w:r>
              <w:rPr>
                <w:color w:val="FFFFFF"/>
              </w:rPr>
              <w:t xml:space="preserve">Release</w:t>
            </w:r>
          </w:p>
        </w:tc>
        <w:tc>
          <w:tcPr>
            <w:tcW w:w="5184" w:type="dxa"/>
            <w:shd w:val="clear" w:color="auto" w:fill="0F4761"/>
            <w:vAlign w:val="center"/>
          </w:tcPr>
          <w:p>
            <w:pPr>
              <w:pStyle w:val="TableHeading"/>
              <w:jc w:val="left"/>
            </w:pPr>
            <w:r>
              <w:rPr>
                <w:color w:val="FFFFFF"/>
              </w:rPr>
              <w:t xml:space="preserve">Content</w:t>
            </w:r>
          </w:p>
        </w:tc>
      </w:tr>
      <w:tr>
        <w:trPr>
          <w:cantSplit/>
        </w:trPr>
        <w:tc>
          <w:tcPr>
            <w:tcW w:w="2157" w:type="dxa"/>
            <w:vAlign w:val="top"/>
          </w:tcPr>
          <w:p>
            <w:pPr>
              <w:pStyle w:val="TableText"/>
              <w:jc w:val="left"/>
            </w:pPr>
            <w:r>
              <w:t xml:space="preserve">27 January to 26 February 2027</w:t>
            </w:r>
          </w:p>
        </w:tc>
        <w:tc>
          <w:tcPr>
            <w:tcW w:w="1686" w:type="dxa"/>
            <w:vAlign w:val="top"/>
          </w:tcPr>
          <w:p>
            <w:pPr>
              <w:pStyle w:val="TableText"/>
              <w:jc w:val="left"/>
            </w:pPr>
            <w:r>
              <w:t xml:space="preserve">MVP live, hypercare</w:t>
            </w:r>
          </w:p>
        </w:tc>
        <w:tc>
          <w:tcPr>
            <w:tcW w:w="5184" w:type="dxa"/>
            <w:vAlign w:val="top"/>
          </w:tcPr>
          <w:p>
            <w:pPr>
              <w:pStyle w:val="TableText"/>
              <w:jc w:val="left"/>
            </w:pPr>
            <w:r>
              <w:t xml:space="preserve">Pilot in the VETC app; Zalo ZNS from TASCO’s Official Account; voice assistant; Tasco360 on the partner API</w:t>
            </w:r>
          </w:p>
        </w:tc>
      </w:tr>
      <w:tr>
        <w:trPr>
          <w:cantSplit/>
        </w:trPr>
        <w:tc>
          <w:tcPr>
            <w:tcW w:w="2157" w:type="dxa"/>
            <w:shd w:val="clear" w:color="auto" w:fill="F4F7FB"/>
            <w:vAlign w:val="top"/>
          </w:tcPr>
          <w:p>
            <w:pPr>
              <w:pStyle w:val="TableText"/>
              <w:jc w:val="left"/>
            </w:pPr>
            <w:r>
              <w:t xml:space="preserve">March 2027 (optional)</w:t>
            </w:r>
          </w:p>
        </w:tc>
        <w:tc>
          <w:tcPr>
            <w:tcW w:w="1686" w:type="dxa"/>
            <w:shd w:val="clear" w:color="auto" w:fill="F4F7FB"/>
            <w:vAlign w:val="top"/>
          </w:tcPr>
          <w:p>
            <w:pPr>
              <w:pStyle w:val="TableText"/>
              <w:jc w:val="left"/>
            </w:pPr>
            <w:r>
              <w:t xml:space="preserve">S3 TASCO app and website</w:t>
            </w:r>
          </w:p>
        </w:tc>
        <w:tc>
          <w:tcPr>
            <w:tcW w:w="5184" w:type="dxa"/>
            <w:shd w:val="clear" w:color="auto" w:fill="F4F7FB"/>
            <w:vAlign w:val="top"/>
          </w:tcPr>
          <w:p>
            <w:pPr>
              <w:pStyle w:val="TableText"/>
              <w:jc w:val="left"/>
            </w:pPr>
            <w:r>
              <w:t xml:space="preserve">The same journeys in TASCO’s app and website with TASCO’s payment gateway</w:t>
            </w:r>
          </w:p>
        </w:tc>
      </w:tr>
      <w:tr>
        <w:trPr>
          <w:cantSplit/>
        </w:trPr>
        <w:tc>
          <w:tcPr>
            <w:tcW w:w="2157" w:type="dxa"/>
            <w:vAlign w:val="top"/>
          </w:tcPr>
          <w:p>
            <w:pPr>
              <w:pStyle w:val="TableText"/>
              <w:jc w:val="left"/>
            </w:pPr>
            <w:r>
              <w:t xml:space="preserve">Early May 2027</w:t>
            </w:r>
          </w:p>
        </w:tc>
        <w:tc>
          <w:tcPr>
            <w:tcW w:w="1686" w:type="dxa"/>
            <w:vAlign w:val="top"/>
          </w:tcPr>
          <w:p>
            <w:pPr>
              <w:pStyle w:val="TableText"/>
              <w:jc w:val="left"/>
            </w:pPr>
            <w:r>
              <w:t xml:space="preserve">Pilot read-out</w:t>
            </w:r>
          </w:p>
        </w:tc>
        <w:tc>
          <w:tcPr>
            <w:tcW w:w="5184" w:type="dxa"/>
            <w:vAlign w:val="top"/>
          </w:tcPr>
          <w:p>
            <w:pPr>
              <w:pStyle w:val="TableText"/>
              <w:jc w:val="left"/>
            </w:pPr>
            <w:r>
              <w:t xml:space="preserve">Conversion against the control group; decision to scale</w:t>
            </w:r>
          </w:p>
        </w:tc>
      </w:tr>
      <w:tr>
        <w:trPr>
          <w:cantSplit/>
        </w:trPr>
        <w:tc>
          <w:tcPr>
            <w:tcW w:w="2157" w:type="dxa"/>
            <w:shd w:val="clear" w:color="auto" w:fill="F4F7FB"/>
            <w:vAlign w:val="top"/>
          </w:tcPr>
          <w:p>
            <w:pPr>
              <w:pStyle w:val="TableText"/>
              <w:jc w:val="left"/>
            </w:pPr>
            <w:r>
              <w:t xml:space="preserve">May to July 2027</w:t>
            </w:r>
          </w:p>
        </w:tc>
        <w:tc>
          <w:tcPr>
            <w:tcW w:w="1686" w:type="dxa"/>
            <w:shd w:val="clear" w:color="auto" w:fill="F4F7FB"/>
            <w:vAlign w:val="top"/>
          </w:tcPr>
          <w:p>
            <w:pPr>
              <w:pStyle w:val="TableText"/>
              <w:jc w:val="left"/>
            </w:pPr>
            <w:r>
              <w:t xml:space="preserve">Scale wave 1</w:t>
            </w:r>
          </w:p>
        </w:tc>
        <w:tc>
          <w:tcPr>
            <w:tcW w:w="5184" w:type="dxa"/>
            <w:shd w:val="clear" w:color="auto" w:fill="F4F7FB"/>
            <w:vAlign w:val="top"/>
          </w:tcPr>
          <w:p>
            <w:pPr>
              <w:pStyle w:val="TableText"/>
              <w:jc w:val="left"/>
            </w:pPr>
            <w:r>
              <w:t xml:space="preserve">Full base in province waves (S1); VETC sign-on and live events (S2); Zalo Mini App (S4); score calibration (S9)</w:t>
            </w:r>
          </w:p>
        </w:tc>
      </w:tr>
      <w:tr>
        <w:trPr>
          <w:cantSplit/>
        </w:trPr>
        <w:tc>
          <w:tcPr>
            <w:tcW w:w="2157" w:type="dxa"/>
            <w:vAlign w:val="top"/>
          </w:tcPr>
          <w:p>
            <w:pPr>
              <w:pStyle w:val="TableText"/>
              <w:jc w:val="left"/>
            </w:pPr>
            <w:r>
              <w:t xml:space="preserve">August to October 2027</w:t>
            </w:r>
          </w:p>
        </w:tc>
        <w:tc>
          <w:tcPr>
            <w:tcW w:w="1686" w:type="dxa"/>
            <w:vAlign w:val="top"/>
          </w:tcPr>
          <w:p>
            <w:pPr>
              <w:pStyle w:val="TableText"/>
              <w:jc w:val="left"/>
            </w:pPr>
            <w:r>
              <w:t xml:space="preserve">Scale wave 2</w:t>
            </w:r>
          </w:p>
        </w:tc>
        <w:tc>
          <w:tcPr>
            <w:tcW w:w="5184" w:type="dxa"/>
            <w:vAlign w:val="top"/>
          </w:tcPr>
          <w:p>
            <w:pPr>
              <w:pStyle w:val="TableText"/>
              <w:jc w:val="left"/>
            </w:pPr>
            <w:r>
              <w:t xml:space="preserve">Claims integration (S5); inspection booking and fleet portal (S6); further partners (S7); data warehouse (S8); full-scale assurance (S10)</w:t>
            </w:r>
          </w:p>
        </w:tc>
      </w:tr>
    </w:tbl>
    <w:p>
      <w:pPr>
        <w:spacing w:before="0" w:after="0" w:line="20" w:lineRule="exact"/>
        <w:rPr>
          <w:sz w:val="2"/>
        </w:rPr>
        <w:sectPr>
          <w:footerReference w:type="default" r:id="rId14"/>
          <w:headerReference w:type="first" r:id="rId15"/>
          <w:footerReference w:type="first" r:id="rId16"/>
          <w:pgSz w:w="11907" w:h="16839" w:code="9"/>
          <w:pgMar w:top="1440" w:right="1440" w:bottom="1440" w:left="1440" w:header="1134" w:footer="0" w:gutter="0"/>
          <w:cols w:space="720"/>
          <w:docGrid w:linePitch="360"/>
        </w:sect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7" w:name="_Toc300000013"/>
      <w:r>
        <w:rPr>
          <w:rStyle w:val="BookTitle"/>
          <w:bCs w:val="0"/>
          <w:i w:val="0"/>
          <w:iCs w:val="0"/>
          <w:spacing w:val="0"/>
        </w:rPr>
        <w:t xml:space="preserve">Team and effort</w:t>
      </w:r>
      <w:bookmarkEnd w:id="17"/>
    </w:p>
    <w:p>
      <w:pPr>
        <w:pStyle w:val="Heading2"/>
      </w:pPr>
      <w:bookmarkStart w:id="18" w:name="_Toc300000014"/>
      <w:r>
        <w:t xml:space="preserve">MVP team</w:t>
      </w:r>
      <w:bookmarkEnd w:id="18"/>
    </w:p>
    <w:p>
      <w:pPr>
        <w:pStyle w:val="FirstParagraph"/>
      </w:pPr>
      <w:r>
        <w:t xml:space="preserve">The team is small and senior, with an engagement manager accountable to TASCO for the whole delivery. The business analyst also acts as insurance subject-matter expert and works alongside TASCO’s product owner. Discovery and go-live are run on site in Hà Nội; build sprints are delivered from our offshore centre with daily overlap during Vietnam business hours. Effort is in person-days.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338"/>
        <w:gridCol w:w="2013"/>
        <w:gridCol w:w="1279"/>
        <w:gridCol w:w="1890"/>
        <w:gridCol w:w="2013"/>
        <w:gridCol w:w="1426"/>
      </w:tblGrid>
      <w:tr>
        <w:trPr>
          <w:cantSplit/>
          <w:tblHeader/>
        </w:trPr>
        <w:tc>
          <w:tcPr>
            <w:tcW w:w="5338" w:type="dxa"/>
            <w:shd w:val="clear" w:color="auto" w:fill="0F4761"/>
            <w:vAlign w:val="center"/>
          </w:tcPr>
          <w:p>
            <w:pPr>
              <w:pStyle w:val="TableHeading"/>
              <w:jc w:val="left"/>
            </w:pPr>
            <w:r>
              <w:rPr>
                <w:color w:val="FFFFFF"/>
              </w:rPr>
              <w:t xml:space="preserve">Role</w:t>
            </w:r>
          </w:p>
        </w:tc>
        <w:tc>
          <w:tcPr>
            <w:tcW w:w="2013" w:type="dxa"/>
            <w:shd w:val="clear" w:color="auto" w:fill="0F4761"/>
            <w:vAlign w:val="center"/>
          </w:tcPr>
          <w:p>
            <w:pPr>
              <w:pStyle w:val="TableHeading"/>
              <w:jc w:val="right"/>
            </w:pPr>
            <w:r>
              <w:rPr>
                <w:color w:val="FFFFFF"/>
              </w:rPr>
              <w:t xml:space="preserve">Discovery</w:t>
            </w:r>
          </w:p>
        </w:tc>
        <w:tc>
          <w:tcPr>
            <w:tcW w:w="1279" w:type="dxa"/>
            <w:shd w:val="clear" w:color="auto" w:fill="0F4761"/>
            <w:vAlign w:val="center"/>
          </w:tcPr>
          <w:p>
            <w:pPr>
              <w:pStyle w:val="TableHeading"/>
              <w:jc w:val="right"/>
            </w:pPr>
            <w:r>
              <w:rPr>
                <w:color w:val="FFFFFF"/>
              </w:rPr>
              <w:t xml:space="preserve">Build</w:t>
            </w:r>
          </w:p>
        </w:tc>
        <w:tc>
          <w:tcPr>
            <w:tcW w:w="1890" w:type="dxa"/>
            <w:shd w:val="clear" w:color="auto" w:fill="0F4761"/>
            <w:vAlign w:val="center"/>
          </w:tcPr>
          <w:p>
            <w:pPr>
              <w:pStyle w:val="TableHeading"/>
              <w:jc w:val="right"/>
            </w:pPr>
            <w:r>
              <w:rPr>
                <w:color w:val="FFFFFF"/>
              </w:rPr>
              <w:t xml:space="preserve">Test and go-live</w:t>
            </w:r>
          </w:p>
        </w:tc>
        <w:tc>
          <w:tcPr>
            <w:tcW w:w="2013" w:type="dxa"/>
            <w:shd w:val="clear" w:color="auto" w:fill="0F4761"/>
            <w:vAlign w:val="center"/>
          </w:tcPr>
          <w:p>
            <w:pPr>
              <w:pStyle w:val="TableHeading"/>
              <w:jc w:val="right"/>
            </w:pPr>
            <w:r>
              <w:rPr>
                <w:color w:val="FFFFFF"/>
              </w:rPr>
              <w:t xml:space="preserve">Hypercare</w:t>
            </w:r>
          </w:p>
        </w:tc>
        <w:tc>
          <w:tcPr>
            <w:tcW w:w="1426" w:type="dxa"/>
            <w:shd w:val="clear" w:color="auto" w:fill="0F4761"/>
            <w:vAlign w:val="center"/>
          </w:tcPr>
          <w:p>
            <w:pPr>
              <w:pStyle w:val="TableHeading"/>
              <w:jc w:val="right"/>
            </w:pPr>
            <w:r>
              <w:rPr>
                <w:color w:val="FFFFFF"/>
              </w:rPr>
              <w:t xml:space="preserve">Total</w:t>
            </w:r>
          </w:p>
        </w:tc>
      </w:tr>
      <w:tr>
        <w:trPr>
          <w:cantSplit/>
        </w:trPr>
        <w:tc>
          <w:tcPr>
            <w:tcW w:w="5338" w:type="dxa"/>
            <w:vAlign w:val="top"/>
          </w:tcPr>
          <w:p>
            <w:pPr>
              <w:pStyle w:val="TableText"/>
              <w:jc w:val="left"/>
            </w:pPr>
            <w:r>
              <w:t xml:space="preserve">Engagement manager</w:t>
            </w:r>
          </w:p>
        </w:tc>
        <w:tc>
          <w:tcPr>
            <w:tcW w:w="2013" w:type="dxa"/>
            <w:vAlign w:val="top"/>
          </w:tcPr>
          <w:p>
            <w:pPr>
              <w:pStyle w:val="TableText"/>
              <w:jc w:val="right"/>
            </w:pPr>
            <w:r>
              <w:t xml:space="preserve">5</w:t>
            </w:r>
          </w:p>
        </w:tc>
        <w:tc>
          <w:tcPr>
            <w:tcW w:w="1279" w:type="dxa"/>
            <w:vAlign w:val="top"/>
          </w:tcPr>
          <w:p>
            <w:pPr>
              <w:pStyle w:val="TableText"/>
              <w:jc w:val="right"/>
            </w:pPr>
            <w:r>
              <w:t xml:space="preserve">20</w:t>
            </w:r>
          </w:p>
        </w:tc>
        <w:tc>
          <w:tcPr>
            <w:tcW w:w="1890" w:type="dxa"/>
            <w:vAlign w:val="top"/>
          </w:tcPr>
          <w:p>
            <w:pPr>
              <w:pStyle w:val="TableText"/>
              <w:jc w:val="right"/>
            </w:pPr>
            <w:r>
              <w:t xml:space="preserve">7.5</w:t>
            </w:r>
          </w:p>
        </w:tc>
        <w:tc>
          <w:tcPr>
            <w:tcW w:w="2013" w:type="dxa"/>
            <w:vAlign w:val="top"/>
          </w:tcPr>
          <w:p>
            <w:pPr>
              <w:pStyle w:val="TableText"/>
              <w:jc w:val="right"/>
            </w:pPr>
            <w:r>
              <w:t xml:space="preserve">2</w:t>
            </w:r>
          </w:p>
        </w:tc>
        <w:tc>
          <w:tcPr>
            <w:tcW w:w="1426" w:type="dxa"/>
            <w:vAlign w:val="top"/>
          </w:tcPr>
          <w:p>
            <w:pPr>
              <w:pStyle w:val="TableText"/>
              <w:jc w:val="right"/>
            </w:pPr>
            <w:r>
              <w:t xml:space="preserve">34.5</w:t>
            </w:r>
          </w:p>
        </w:tc>
      </w:tr>
      <w:tr>
        <w:trPr>
          <w:cantSplit/>
        </w:trPr>
        <w:tc>
          <w:tcPr>
            <w:tcW w:w="5338" w:type="dxa"/>
            <w:shd w:val="clear" w:color="auto" w:fill="F4F7FB"/>
            <w:vAlign w:val="top"/>
          </w:tcPr>
          <w:p>
            <w:pPr>
              <w:pStyle w:val="TableText"/>
              <w:jc w:val="left"/>
            </w:pPr>
            <w:r>
              <w:t xml:space="preserve">Solution architect</w:t>
            </w:r>
          </w:p>
        </w:tc>
        <w:tc>
          <w:tcPr>
            <w:tcW w:w="2013" w:type="dxa"/>
            <w:shd w:val="clear" w:color="auto" w:fill="F4F7FB"/>
            <w:vAlign w:val="top"/>
          </w:tcPr>
          <w:p>
            <w:pPr>
              <w:pStyle w:val="TableText"/>
              <w:jc w:val="right"/>
            </w:pPr>
            <w:r>
              <w:t xml:space="preserve">10</w:t>
            </w:r>
          </w:p>
        </w:tc>
        <w:tc>
          <w:tcPr>
            <w:tcW w:w="1279" w:type="dxa"/>
            <w:shd w:val="clear" w:color="auto" w:fill="F4F7FB"/>
            <w:vAlign w:val="top"/>
          </w:tcPr>
          <w:p>
            <w:pPr>
              <w:pStyle w:val="TableText"/>
              <w:jc w:val="right"/>
            </w:pPr>
            <w:r>
              <w:t xml:space="preserve">20</w:t>
            </w:r>
          </w:p>
        </w:tc>
        <w:tc>
          <w:tcPr>
            <w:tcW w:w="1890" w:type="dxa"/>
            <w:shd w:val="clear" w:color="auto" w:fill="F4F7FB"/>
            <w:vAlign w:val="top"/>
          </w:tcPr>
          <w:p>
            <w:pPr>
              <w:pStyle w:val="TableText"/>
              <w:jc w:val="right"/>
            </w:pPr>
            <w:r>
              <w:t xml:space="preserve">3.75</w:t>
            </w:r>
          </w:p>
        </w:tc>
        <w:tc>
          <w:tcPr>
            <w:tcW w:w="2013" w:type="dxa"/>
            <w:shd w:val="clear" w:color="auto" w:fill="F4F7FB"/>
            <w:vAlign w:val="top"/>
          </w:tcPr>
          <w:p>
            <w:pPr>
              <w:pStyle w:val="TableText"/>
            </w:pPr>
          </w:p>
        </w:tc>
        <w:tc>
          <w:tcPr>
            <w:tcW w:w="1426" w:type="dxa"/>
            <w:shd w:val="clear" w:color="auto" w:fill="F4F7FB"/>
            <w:vAlign w:val="top"/>
          </w:tcPr>
          <w:p>
            <w:pPr>
              <w:pStyle w:val="TableText"/>
              <w:jc w:val="right"/>
            </w:pPr>
            <w:r>
              <w:t xml:space="preserve">33.75</w:t>
            </w:r>
          </w:p>
        </w:tc>
      </w:tr>
      <w:tr>
        <w:trPr>
          <w:cantSplit/>
        </w:trPr>
        <w:tc>
          <w:tcPr>
            <w:tcW w:w="5338" w:type="dxa"/>
            <w:vAlign w:val="top"/>
          </w:tcPr>
          <w:p>
            <w:pPr>
              <w:pStyle w:val="TableText"/>
              <w:jc w:val="left"/>
            </w:pPr>
            <w:r>
              <w:t xml:space="preserve">Business analyst and insurance SME</w:t>
            </w:r>
          </w:p>
        </w:tc>
        <w:tc>
          <w:tcPr>
            <w:tcW w:w="2013" w:type="dxa"/>
            <w:vAlign w:val="top"/>
          </w:tcPr>
          <w:p>
            <w:pPr>
              <w:pStyle w:val="TableText"/>
              <w:jc w:val="right"/>
            </w:pPr>
            <w:r>
              <w:t xml:space="preserve">10</w:t>
            </w:r>
          </w:p>
        </w:tc>
        <w:tc>
          <w:tcPr>
            <w:tcW w:w="1279" w:type="dxa"/>
            <w:vAlign w:val="top"/>
          </w:tcPr>
          <w:p>
            <w:pPr>
              <w:pStyle w:val="TableText"/>
              <w:jc w:val="right"/>
            </w:pPr>
            <w:r>
              <w:t xml:space="preserve">40</w:t>
            </w:r>
          </w:p>
        </w:tc>
        <w:tc>
          <w:tcPr>
            <w:tcW w:w="1890" w:type="dxa"/>
            <w:vAlign w:val="top"/>
          </w:tcPr>
          <w:p>
            <w:pPr>
              <w:pStyle w:val="TableText"/>
              <w:jc w:val="right"/>
            </w:pPr>
            <w:r>
              <w:t xml:space="preserve">15</w:t>
            </w:r>
          </w:p>
        </w:tc>
        <w:tc>
          <w:tcPr>
            <w:tcW w:w="2013" w:type="dxa"/>
            <w:vAlign w:val="top"/>
          </w:tcPr>
          <w:p>
            <w:pPr>
              <w:pStyle w:val="TableText"/>
              <w:jc w:val="right"/>
            </w:pPr>
            <w:r>
              <w:t xml:space="preserve">5</w:t>
            </w:r>
          </w:p>
        </w:tc>
        <w:tc>
          <w:tcPr>
            <w:tcW w:w="1426" w:type="dxa"/>
            <w:vAlign w:val="top"/>
          </w:tcPr>
          <w:p>
            <w:pPr>
              <w:pStyle w:val="TableText"/>
              <w:jc w:val="right"/>
            </w:pPr>
            <w:r>
              <w:t xml:space="preserve">70</w:t>
            </w:r>
          </w:p>
        </w:tc>
      </w:tr>
      <w:tr>
        <w:trPr>
          <w:cantSplit/>
        </w:trPr>
        <w:tc>
          <w:tcPr>
            <w:tcW w:w="5338" w:type="dxa"/>
            <w:shd w:val="clear" w:color="auto" w:fill="F4F7FB"/>
            <w:vAlign w:val="top"/>
          </w:tcPr>
          <w:p>
            <w:pPr>
              <w:pStyle w:val="TableText"/>
              <w:jc w:val="left"/>
            </w:pPr>
            <w:r>
              <w:t xml:space="preserve">UX and conversation designer</w:t>
            </w:r>
          </w:p>
        </w:tc>
        <w:tc>
          <w:tcPr>
            <w:tcW w:w="2013" w:type="dxa"/>
            <w:shd w:val="clear" w:color="auto" w:fill="F4F7FB"/>
            <w:vAlign w:val="top"/>
          </w:tcPr>
          <w:p>
            <w:pPr>
              <w:pStyle w:val="TableText"/>
              <w:jc w:val="right"/>
            </w:pPr>
            <w:r>
              <w:t xml:space="preserve">5</w:t>
            </w:r>
          </w:p>
        </w:tc>
        <w:tc>
          <w:tcPr>
            <w:tcW w:w="1279" w:type="dxa"/>
            <w:shd w:val="clear" w:color="auto" w:fill="F4F7FB"/>
            <w:vAlign w:val="top"/>
          </w:tcPr>
          <w:p>
            <w:pPr>
              <w:pStyle w:val="TableText"/>
              <w:jc w:val="right"/>
            </w:pPr>
            <w:r>
              <w:t xml:space="preserve">10</w:t>
            </w:r>
          </w:p>
        </w:tc>
        <w:tc>
          <w:tcPr>
            <w:tcW w:w="1890" w:type="dxa"/>
            <w:shd w:val="clear" w:color="auto" w:fill="F4F7FB"/>
            <w:vAlign w:val="top"/>
          </w:tcPr>
          <w:p>
            <w:pPr>
              <w:pStyle w:val="TableText"/>
            </w:pPr>
          </w:p>
        </w:tc>
        <w:tc>
          <w:tcPr>
            <w:tcW w:w="2013" w:type="dxa"/>
            <w:shd w:val="clear" w:color="auto" w:fill="F4F7FB"/>
            <w:vAlign w:val="top"/>
          </w:tcPr>
          <w:p>
            <w:pPr>
              <w:pStyle w:val="TableText"/>
            </w:pPr>
          </w:p>
        </w:tc>
        <w:tc>
          <w:tcPr>
            <w:tcW w:w="1426" w:type="dxa"/>
            <w:shd w:val="clear" w:color="auto" w:fill="F4F7FB"/>
            <w:vAlign w:val="top"/>
          </w:tcPr>
          <w:p>
            <w:pPr>
              <w:pStyle w:val="TableText"/>
              <w:jc w:val="right"/>
            </w:pPr>
            <w:r>
              <w:t xml:space="preserve">15</w:t>
            </w:r>
          </w:p>
        </w:tc>
      </w:tr>
      <w:tr>
        <w:trPr>
          <w:cantSplit/>
        </w:trPr>
        <w:tc>
          <w:tcPr>
            <w:tcW w:w="5338" w:type="dxa"/>
            <w:vAlign w:val="top"/>
          </w:tcPr>
          <w:p>
            <w:pPr>
              <w:pStyle w:val="TableText"/>
              <w:jc w:val="left"/>
            </w:pPr>
            <w:r>
              <w:t xml:space="preserve">Senior engineer (integration lead)</w:t>
            </w:r>
          </w:p>
        </w:tc>
        <w:tc>
          <w:tcPr>
            <w:tcW w:w="2013" w:type="dxa"/>
            <w:vAlign w:val="top"/>
          </w:tcPr>
          <w:p>
            <w:pPr>
              <w:pStyle w:val="TableText"/>
              <w:jc w:val="right"/>
            </w:pPr>
            <w:r>
              <w:t xml:space="preserve">5</w:t>
            </w:r>
          </w:p>
        </w:tc>
        <w:tc>
          <w:tcPr>
            <w:tcW w:w="1279" w:type="dxa"/>
            <w:vAlign w:val="top"/>
          </w:tcPr>
          <w:p>
            <w:pPr>
              <w:pStyle w:val="TableText"/>
              <w:jc w:val="right"/>
            </w:pPr>
            <w:r>
              <w:t xml:space="preserve">40</w:t>
            </w:r>
          </w:p>
        </w:tc>
        <w:tc>
          <w:tcPr>
            <w:tcW w:w="1890" w:type="dxa"/>
            <w:vAlign w:val="top"/>
          </w:tcPr>
          <w:p>
            <w:pPr>
              <w:pStyle w:val="TableText"/>
              <w:jc w:val="right"/>
            </w:pPr>
            <w:r>
              <w:t xml:space="preserve">15</w:t>
            </w:r>
          </w:p>
        </w:tc>
        <w:tc>
          <w:tcPr>
            <w:tcW w:w="2013" w:type="dxa"/>
            <w:vAlign w:val="top"/>
          </w:tcPr>
          <w:p>
            <w:pPr>
              <w:pStyle w:val="TableText"/>
              <w:jc w:val="right"/>
            </w:pPr>
            <w:r>
              <w:t xml:space="preserve">10</w:t>
            </w:r>
          </w:p>
        </w:tc>
        <w:tc>
          <w:tcPr>
            <w:tcW w:w="1426" w:type="dxa"/>
            <w:vAlign w:val="top"/>
          </w:tcPr>
          <w:p>
            <w:pPr>
              <w:pStyle w:val="TableText"/>
              <w:jc w:val="right"/>
            </w:pPr>
            <w:r>
              <w:t xml:space="preserve">70</w:t>
            </w:r>
          </w:p>
        </w:tc>
      </w:tr>
      <w:tr>
        <w:trPr>
          <w:cantSplit/>
        </w:trPr>
        <w:tc>
          <w:tcPr>
            <w:tcW w:w="5338" w:type="dxa"/>
            <w:shd w:val="clear" w:color="auto" w:fill="F4F7FB"/>
            <w:vAlign w:val="top"/>
          </w:tcPr>
          <w:p>
            <w:pPr>
              <w:pStyle w:val="TableText"/>
              <w:jc w:val="left"/>
            </w:pPr>
            <w:r>
              <w:t xml:space="preserve">Engineers (backend and frontend)</w:t>
            </w:r>
          </w:p>
        </w:tc>
        <w:tc>
          <w:tcPr>
            <w:tcW w:w="2013" w:type="dxa"/>
            <w:shd w:val="clear" w:color="auto" w:fill="F4F7FB"/>
            <w:vAlign w:val="top"/>
          </w:tcPr>
          <w:p>
            <w:pPr>
              <w:pStyle w:val="TableText"/>
            </w:pPr>
          </w:p>
        </w:tc>
        <w:tc>
          <w:tcPr>
            <w:tcW w:w="1279" w:type="dxa"/>
            <w:shd w:val="clear" w:color="auto" w:fill="F4F7FB"/>
            <w:vAlign w:val="top"/>
          </w:tcPr>
          <w:p>
            <w:pPr>
              <w:pStyle w:val="TableText"/>
              <w:jc w:val="right"/>
            </w:pPr>
            <w:r>
              <w:t xml:space="preserve">80</w:t>
            </w:r>
          </w:p>
        </w:tc>
        <w:tc>
          <w:tcPr>
            <w:tcW w:w="1890" w:type="dxa"/>
            <w:shd w:val="clear" w:color="auto" w:fill="F4F7FB"/>
            <w:vAlign w:val="top"/>
          </w:tcPr>
          <w:p>
            <w:pPr>
              <w:pStyle w:val="TableText"/>
              <w:jc w:val="right"/>
            </w:pPr>
            <w:r>
              <w:t xml:space="preserve">15</w:t>
            </w:r>
          </w:p>
        </w:tc>
        <w:tc>
          <w:tcPr>
            <w:tcW w:w="2013" w:type="dxa"/>
            <w:shd w:val="clear" w:color="auto" w:fill="F4F7FB"/>
            <w:vAlign w:val="top"/>
          </w:tcPr>
          <w:p>
            <w:pPr>
              <w:pStyle w:val="TableText"/>
              <w:jc w:val="right"/>
            </w:pPr>
            <w:r>
              <w:t xml:space="preserve">10</w:t>
            </w:r>
          </w:p>
        </w:tc>
        <w:tc>
          <w:tcPr>
            <w:tcW w:w="1426" w:type="dxa"/>
            <w:shd w:val="clear" w:color="auto" w:fill="F4F7FB"/>
            <w:vAlign w:val="top"/>
          </w:tcPr>
          <w:p>
            <w:pPr>
              <w:pStyle w:val="TableText"/>
              <w:jc w:val="right"/>
            </w:pPr>
            <w:r>
              <w:t xml:space="preserve">105</w:t>
            </w:r>
          </w:p>
        </w:tc>
      </w:tr>
      <w:tr>
        <w:trPr>
          <w:cantSplit/>
        </w:trPr>
        <w:tc>
          <w:tcPr>
            <w:tcW w:w="5338" w:type="dxa"/>
            <w:vAlign w:val="top"/>
          </w:tcPr>
          <w:p>
            <w:pPr>
              <w:pStyle w:val="TableText"/>
              <w:jc w:val="left"/>
            </w:pPr>
            <w:r>
              <w:t xml:space="preserve">QA engineer</w:t>
            </w:r>
          </w:p>
        </w:tc>
        <w:tc>
          <w:tcPr>
            <w:tcW w:w="2013" w:type="dxa"/>
            <w:vAlign w:val="top"/>
          </w:tcPr>
          <w:p>
            <w:pPr>
              <w:pStyle w:val="TableText"/>
            </w:pPr>
          </w:p>
        </w:tc>
        <w:tc>
          <w:tcPr>
            <w:tcW w:w="1279" w:type="dxa"/>
            <w:vAlign w:val="top"/>
          </w:tcPr>
          <w:p>
            <w:pPr>
              <w:pStyle w:val="TableText"/>
              <w:jc w:val="right"/>
            </w:pPr>
            <w:r>
              <w:t xml:space="preserve">40</w:t>
            </w:r>
          </w:p>
        </w:tc>
        <w:tc>
          <w:tcPr>
            <w:tcW w:w="1890" w:type="dxa"/>
            <w:vAlign w:val="top"/>
          </w:tcPr>
          <w:p>
            <w:pPr>
              <w:pStyle w:val="TableText"/>
              <w:jc w:val="right"/>
            </w:pPr>
            <w:r>
              <w:t xml:space="preserve">22.5</w:t>
            </w:r>
          </w:p>
        </w:tc>
        <w:tc>
          <w:tcPr>
            <w:tcW w:w="2013" w:type="dxa"/>
            <w:vAlign w:val="top"/>
          </w:tcPr>
          <w:p>
            <w:pPr>
              <w:pStyle w:val="TableText"/>
            </w:pPr>
          </w:p>
        </w:tc>
        <w:tc>
          <w:tcPr>
            <w:tcW w:w="1426" w:type="dxa"/>
            <w:vAlign w:val="top"/>
          </w:tcPr>
          <w:p>
            <w:pPr>
              <w:pStyle w:val="TableText"/>
              <w:jc w:val="right"/>
            </w:pPr>
            <w:r>
              <w:t xml:space="preserve">62.5</w:t>
            </w:r>
          </w:p>
        </w:tc>
      </w:tr>
      <w:tr>
        <w:trPr>
          <w:cantSplit/>
        </w:trPr>
        <w:tc>
          <w:tcPr>
            <w:tcW w:w="5338" w:type="dxa"/>
            <w:shd w:val="clear" w:color="auto" w:fill="F4F7FB"/>
            <w:vAlign w:val="top"/>
          </w:tcPr>
          <w:p>
            <w:pPr>
              <w:pStyle w:val="TableText"/>
              <w:jc w:val="left"/>
            </w:pPr>
            <w:r>
              <w:t xml:space="preserve">DevSecOps engineer</w:t>
            </w:r>
          </w:p>
        </w:tc>
        <w:tc>
          <w:tcPr>
            <w:tcW w:w="2013" w:type="dxa"/>
            <w:shd w:val="clear" w:color="auto" w:fill="F4F7FB"/>
            <w:vAlign w:val="top"/>
          </w:tcPr>
          <w:p>
            <w:pPr>
              <w:pStyle w:val="TableText"/>
            </w:pPr>
          </w:p>
        </w:tc>
        <w:tc>
          <w:tcPr>
            <w:tcW w:w="1279" w:type="dxa"/>
            <w:shd w:val="clear" w:color="auto" w:fill="F4F7FB"/>
            <w:vAlign w:val="top"/>
          </w:tcPr>
          <w:p>
            <w:pPr>
              <w:pStyle w:val="TableText"/>
              <w:jc w:val="right"/>
            </w:pPr>
            <w:r>
              <w:t xml:space="preserve">20</w:t>
            </w:r>
          </w:p>
        </w:tc>
        <w:tc>
          <w:tcPr>
            <w:tcW w:w="1890" w:type="dxa"/>
            <w:shd w:val="clear" w:color="auto" w:fill="F4F7FB"/>
            <w:vAlign w:val="top"/>
          </w:tcPr>
          <w:p>
            <w:pPr>
              <w:pStyle w:val="TableText"/>
              <w:jc w:val="right"/>
            </w:pPr>
            <w:r>
              <w:t xml:space="preserve">7.5</w:t>
            </w:r>
          </w:p>
        </w:tc>
        <w:tc>
          <w:tcPr>
            <w:tcW w:w="2013" w:type="dxa"/>
            <w:shd w:val="clear" w:color="auto" w:fill="F4F7FB"/>
            <w:vAlign w:val="top"/>
          </w:tcPr>
          <w:p>
            <w:pPr>
              <w:pStyle w:val="TableText"/>
              <w:jc w:val="right"/>
            </w:pPr>
            <w:r>
              <w:t xml:space="preserve">5</w:t>
            </w:r>
          </w:p>
        </w:tc>
        <w:tc>
          <w:tcPr>
            <w:tcW w:w="1426" w:type="dxa"/>
            <w:shd w:val="clear" w:color="auto" w:fill="F4F7FB"/>
            <w:vAlign w:val="top"/>
          </w:tcPr>
          <w:p>
            <w:pPr>
              <w:pStyle w:val="TableText"/>
              <w:jc w:val="right"/>
            </w:pPr>
            <w:r>
              <w:t xml:space="preserve">32.5</w:t>
            </w:r>
          </w:p>
        </w:tc>
      </w:tr>
      <w:tr>
        <w:trPr>
          <w:cantSplit/>
        </w:trPr>
        <w:tc>
          <w:tcPr>
            <w:tcW w:w="5338" w:type="dxa"/>
            <w:vAlign w:val="top"/>
          </w:tcPr>
          <w:p>
            <w:pPr>
              <w:pStyle w:val="TableText"/>
              <w:jc w:val="left"/>
            </w:pPr>
            <w:r>
              <w:t xml:space="preserve">Total</w:t>
            </w:r>
          </w:p>
        </w:tc>
        <w:tc>
          <w:tcPr>
            <w:tcW w:w="2013" w:type="dxa"/>
            <w:vAlign w:val="top"/>
          </w:tcPr>
          <w:p>
            <w:pPr>
              <w:pStyle w:val="TableText"/>
              <w:jc w:val="right"/>
            </w:pPr>
            <w:r>
              <w:t xml:space="preserve">35</w:t>
            </w:r>
          </w:p>
        </w:tc>
        <w:tc>
          <w:tcPr>
            <w:tcW w:w="1279" w:type="dxa"/>
            <w:vAlign w:val="top"/>
          </w:tcPr>
          <w:p>
            <w:pPr>
              <w:pStyle w:val="TableText"/>
              <w:jc w:val="right"/>
            </w:pPr>
            <w:r>
              <w:t xml:space="preserve">270</w:t>
            </w:r>
          </w:p>
        </w:tc>
        <w:tc>
          <w:tcPr>
            <w:tcW w:w="1890" w:type="dxa"/>
            <w:vAlign w:val="top"/>
          </w:tcPr>
          <w:p>
            <w:pPr>
              <w:pStyle w:val="TableText"/>
              <w:jc w:val="right"/>
            </w:pPr>
            <w:r>
              <w:t xml:space="preserve">86.25</w:t>
            </w:r>
          </w:p>
        </w:tc>
        <w:tc>
          <w:tcPr>
            <w:tcW w:w="2013" w:type="dxa"/>
            <w:vAlign w:val="top"/>
          </w:tcPr>
          <w:p>
            <w:pPr>
              <w:pStyle w:val="TableText"/>
              <w:jc w:val="right"/>
            </w:pPr>
            <w:r>
              <w:t xml:space="preserve">32</w:t>
            </w:r>
          </w:p>
        </w:tc>
        <w:tc>
          <w:tcPr>
            <w:tcW w:w="1426" w:type="dxa"/>
            <w:vAlign w:val="top"/>
          </w:tcPr>
          <w:p>
            <w:pPr>
              <w:pStyle w:val="TableText"/>
              <w:jc w:val="right"/>
            </w:pPr>
            <w:r>
              <w:t xml:space="preserve">423.25</w:t>
            </w:r>
          </w:p>
        </w:tc>
      </w:tr>
      <w:tr>
        <w:trPr>
          <w:cantSplit/>
        </w:trPr>
        <w:tc>
          <w:tcPr>
            <w:tcW w:w="5338" w:type="dxa"/>
            <w:shd w:val="clear" w:color="auto" w:fill="F4F7FB"/>
            <w:vAlign w:val="top"/>
          </w:tcPr>
          <w:p>
            <w:pPr>
              <w:pStyle w:val="TableText"/>
              <w:jc w:val="left"/>
            </w:pPr>
            <w:r>
              <w:t xml:space="preserve">Duration</w:t>
            </w:r>
          </w:p>
        </w:tc>
        <w:tc>
          <w:tcPr>
            <w:tcW w:w="2013" w:type="dxa"/>
            <w:shd w:val="clear" w:color="auto" w:fill="F4F7FB"/>
            <w:vAlign w:val="top"/>
          </w:tcPr>
          <w:p>
            <w:pPr>
              <w:pStyle w:val="TableText"/>
              <w:jc w:val="right"/>
            </w:pPr>
            <w:r>
              <w:t xml:space="preserve">2 weeks</w:t>
            </w:r>
          </w:p>
        </w:tc>
        <w:tc>
          <w:tcPr>
            <w:tcW w:w="1279" w:type="dxa"/>
            <w:shd w:val="clear" w:color="auto" w:fill="F4F7FB"/>
            <w:vAlign w:val="top"/>
          </w:tcPr>
          <w:p>
            <w:pPr>
              <w:pStyle w:val="TableText"/>
              <w:jc w:val="right"/>
            </w:pPr>
            <w:r>
              <w:t xml:space="preserve">8 weeks</w:t>
            </w:r>
          </w:p>
        </w:tc>
        <w:tc>
          <w:tcPr>
            <w:tcW w:w="1890" w:type="dxa"/>
            <w:shd w:val="clear" w:color="auto" w:fill="F4F7FB"/>
            <w:vAlign w:val="top"/>
          </w:tcPr>
          <w:p>
            <w:pPr>
              <w:pStyle w:val="TableText"/>
              <w:jc w:val="right"/>
            </w:pPr>
            <w:r>
              <w:t xml:space="preserve">3 weeks</w:t>
            </w:r>
          </w:p>
        </w:tc>
        <w:tc>
          <w:tcPr>
            <w:tcW w:w="2013" w:type="dxa"/>
            <w:shd w:val="clear" w:color="auto" w:fill="F4F7FB"/>
            <w:vAlign w:val="top"/>
          </w:tcPr>
          <w:p>
            <w:pPr>
              <w:pStyle w:val="TableText"/>
              <w:jc w:val="right"/>
            </w:pPr>
            <w:r>
              <w:t xml:space="preserve">4 weeks</w:t>
            </w:r>
          </w:p>
        </w:tc>
        <w:tc>
          <w:tcPr>
            <w:tcW w:w="1426" w:type="dxa"/>
            <w:shd w:val="clear" w:color="auto" w:fill="F4F7FB"/>
            <w:vAlign w:val="top"/>
          </w:tcPr>
          <w:p>
            <w:pPr>
              <w:pStyle w:val="TableText"/>
              <w:jc w:val="right"/>
            </w:pPr>
            <w:r>
              <w:t xml:space="preserve">17 weeks</w:t>
            </w:r>
          </w:p>
        </w:tc>
      </w:tr>
    </w:tbl>
    <w:p>
      <w:pPr>
        <w:spacing w:before="0" w:after="0" w:line="20" w:lineRule="exact"/>
        <w:rPr>
          <w:sz w:val="2"/>
        </w:rPr>
        <w:sectPr>
          <w:footerReference w:type="default" r:id="rIdFooterLandscape"/>
          <w:headerReference w:type="first" r:id="rId15"/>
          <w:footerReference w:type="first" r:id="rId16"/>
          <w:pgSz w:w="16839" w:h="11907" w:code="9" w:orient="landscape"/>
          <w:pgMar w:top="1440" w:right="1440" w:bottom="1440" w:left="1440" w:header="1134" w:footer="0" w:gutter="0"/>
          <w:cols w:space="720"/>
          <w:docGrid w:linePitch="360"/>
        </w:sectPr>
      </w:pPr>
    </w:p>
    <w:p>
      <w:pPr>
        <w:pStyle w:val="BodyText"/>
        <w:spacing w:before="160"/>
      </w:pPr>
      <w:r>
        <w:t xml:space="preserve">Because the platform already exists, effort goes to integration, data onboarding, configuration, hardening and the pilot, not to building the console, the customer app or the business logic.</w:t>
      </w:r>
    </w:p>
    <w:p>
      <w:pPr>
        <w:pStyle w:val="Heading2"/>
      </w:pPr>
      <w:bookmarkStart w:id="19" w:name="_Toc300000015"/>
      <w:r>
        <w:t xml:space="preserve">After the MVP</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9"/>
        <w:gridCol w:w="7558"/>
      </w:tblGrid>
      <w:tr>
        <w:trPr>
          <w:cantSplit/>
          <w:tblHeader/>
        </w:trPr>
        <w:tc>
          <w:tcPr>
            <w:tcW w:w="1469" w:type="dxa"/>
            <w:shd w:val="clear" w:color="auto" w:fill="0F4761"/>
            <w:vAlign w:val="center"/>
          </w:tcPr>
          <w:p>
            <w:pPr>
              <w:pStyle w:val="TableHeading"/>
              <w:jc w:val="left"/>
            </w:pPr>
            <w:r>
              <w:rPr>
                <w:color w:val="FFFFFF"/>
              </w:rPr>
              <w:t xml:space="preserve">Stage</w:t>
            </w:r>
          </w:p>
        </w:tc>
        <w:tc>
          <w:tcPr>
            <w:tcW w:w="7558" w:type="dxa"/>
            <w:shd w:val="clear" w:color="auto" w:fill="0F4761"/>
            <w:vAlign w:val="center"/>
          </w:tcPr>
          <w:p>
            <w:pPr>
              <w:pStyle w:val="TableHeading"/>
              <w:jc w:val="left"/>
            </w:pPr>
            <w:r>
              <w:rPr>
                <w:color w:val="FFFFFF"/>
              </w:rPr>
              <w:t xml:space="preserve">Basis</w:t>
            </w:r>
          </w:p>
        </w:tc>
      </w:tr>
      <w:tr>
        <w:trPr>
          <w:cantSplit/>
        </w:trPr>
        <w:tc>
          <w:tcPr>
            <w:tcW w:w="1469" w:type="dxa"/>
            <w:vAlign w:val="top"/>
          </w:tcPr>
          <w:p>
            <w:pPr>
              <w:pStyle w:val="TableText"/>
              <w:jc w:val="left"/>
            </w:pPr>
            <w:r>
              <w:t xml:space="preserve">Scale phase</w:t>
            </w:r>
          </w:p>
        </w:tc>
        <w:tc>
          <w:tcPr>
            <w:tcW w:w="7558" w:type="dxa"/>
            <w:vAlign w:val="top"/>
          </w:tcPr>
          <w:p>
            <w:pPr>
              <w:pStyle w:val="TableText"/>
              <w:jc w:val="left"/>
            </w:pPr>
            <w:r>
              <w:t xml:space="preserve">Ten modules, S1 to S10, capped at 566 person-days in total over about six months</w:t>
            </w:r>
          </w:p>
        </w:tc>
      </w:tr>
      <w:tr>
        <w:trPr>
          <w:cantSplit/>
        </w:trPr>
        <w:tc>
          <w:tcPr>
            <w:tcW w:w="1469" w:type="dxa"/>
            <w:shd w:val="clear" w:color="auto" w:fill="F4F7FB"/>
            <w:vAlign w:val="top"/>
          </w:tcPr>
          <w:p>
            <w:pPr>
              <w:pStyle w:val="TableText"/>
              <w:jc w:val="left"/>
            </w:pPr>
            <w:r>
              <w:t xml:space="preserve">Managed service</w:t>
            </w:r>
          </w:p>
        </w:tc>
        <w:tc>
          <w:tcPr>
            <w:tcW w:w="7558" w:type="dxa"/>
            <w:shd w:val="clear" w:color="auto" w:fill="F4F7FB"/>
            <w:vAlign w:val="top"/>
          </w:tcPr>
          <w:p>
            <w:pPr>
              <w:pStyle w:val="TableText"/>
              <w:jc w:val="left"/>
            </w:pPr>
            <w:r>
              <w:t xml:space="preserve">Fixed monthly fee including 40 hours of minor enhancements a month; larger changes drawn from the enhancement pool at the rate card</w:t>
            </w:r>
          </w:p>
        </w:tc>
      </w:tr>
    </w:tbl>
    <w:p>
      <w:pPr>
        <w:pStyle w:val="Heading2"/>
      </w:pPr>
      <w:bookmarkStart w:id="20" w:name="_Toc300000016"/>
      <w:r>
        <w:t xml:space="preserve">What we need from TASCO and VETC</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82"/>
        <w:gridCol w:w="6545"/>
      </w:tblGrid>
      <w:tr>
        <w:trPr>
          <w:cantSplit/>
          <w:tblHeader/>
        </w:trPr>
        <w:tc>
          <w:tcPr>
            <w:tcW w:w="2482" w:type="dxa"/>
            <w:shd w:val="clear" w:color="auto" w:fill="0F4761"/>
            <w:vAlign w:val="center"/>
          </w:tcPr>
          <w:p>
            <w:pPr>
              <w:pStyle w:val="TableHeading"/>
              <w:jc w:val="left"/>
            </w:pPr>
            <w:r>
              <w:rPr>
                <w:color w:val="FFFFFF"/>
              </w:rPr>
              <w:t xml:space="preserve">Role</w:t>
            </w:r>
          </w:p>
        </w:tc>
        <w:tc>
          <w:tcPr>
            <w:tcW w:w="6545" w:type="dxa"/>
            <w:shd w:val="clear" w:color="auto" w:fill="0F4761"/>
            <w:vAlign w:val="center"/>
          </w:tcPr>
          <w:p>
            <w:pPr>
              <w:pStyle w:val="TableHeading"/>
              <w:jc w:val="left"/>
            </w:pPr>
            <w:r>
              <w:rPr>
                <w:color w:val="FFFFFF"/>
              </w:rPr>
              <w:t xml:space="preserve">Commitment</w:t>
            </w:r>
          </w:p>
        </w:tc>
      </w:tr>
      <w:tr>
        <w:trPr>
          <w:cantSplit/>
        </w:trPr>
        <w:tc>
          <w:tcPr>
            <w:tcW w:w="2482" w:type="dxa"/>
            <w:vAlign w:val="top"/>
          </w:tcPr>
          <w:p>
            <w:pPr>
              <w:pStyle w:val="TableText"/>
              <w:jc w:val="left"/>
            </w:pPr>
            <w:r>
              <w:t xml:space="preserve">TASCO product owner</w:t>
            </w:r>
          </w:p>
        </w:tc>
        <w:tc>
          <w:tcPr>
            <w:tcW w:w="6545" w:type="dxa"/>
            <w:vAlign w:val="top"/>
          </w:tcPr>
          <w:p>
            <w:pPr>
              <w:pStyle w:val="TableText"/>
              <w:jc w:val="left"/>
            </w:pPr>
            <w:r>
              <w:t xml:space="preserve">About half time throughout; decisions on scope, rules and acceptance</w:t>
            </w:r>
          </w:p>
        </w:tc>
      </w:tr>
      <w:tr>
        <w:trPr>
          <w:cantSplit/>
        </w:trPr>
        <w:tc>
          <w:tcPr>
            <w:tcW w:w="2482" w:type="dxa"/>
            <w:shd w:val="clear" w:color="auto" w:fill="F4F7FB"/>
            <w:vAlign w:val="top"/>
          </w:tcPr>
          <w:p>
            <w:pPr>
              <w:pStyle w:val="TableText"/>
              <w:jc w:val="left"/>
            </w:pPr>
            <w:r>
              <w:t xml:space="preserve">TASCO core system lead</w:t>
            </w:r>
          </w:p>
        </w:tc>
        <w:tc>
          <w:tcPr>
            <w:tcW w:w="6545" w:type="dxa"/>
            <w:shd w:val="clear" w:color="auto" w:fill="F4F7FB"/>
            <w:vAlign w:val="top"/>
          </w:tcPr>
          <w:p>
            <w:pPr>
              <w:pStyle w:val="TableText"/>
              <w:jc w:val="left"/>
            </w:pPr>
            <w:r>
              <w:t xml:space="preserve">Interface specifications, sandbox, support during integration testing</w:t>
            </w:r>
          </w:p>
        </w:tc>
      </w:tr>
      <w:tr>
        <w:trPr>
          <w:cantSplit/>
        </w:trPr>
        <w:tc>
          <w:tcPr>
            <w:tcW w:w="2482" w:type="dxa"/>
            <w:vAlign w:val="top"/>
          </w:tcPr>
          <w:p>
            <w:pPr>
              <w:pStyle w:val="TableText"/>
              <w:jc w:val="left"/>
            </w:pPr>
            <w:r>
              <w:t xml:space="preserve">VETC data and integration lead</w:t>
            </w:r>
          </w:p>
        </w:tc>
        <w:tc>
          <w:tcPr>
            <w:tcW w:w="6545" w:type="dxa"/>
            <w:vAlign w:val="top"/>
          </w:tcPr>
          <w:p>
            <w:pPr>
              <w:pStyle w:val="TableText"/>
              <w:jc w:val="left"/>
            </w:pPr>
            <w:r>
              <w:t xml:space="preserve">Data extract, events, app, push and wallet interfaces; about half time in discovery and build</w:t>
            </w:r>
          </w:p>
        </w:tc>
      </w:tr>
      <w:tr>
        <w:trPr>
          <w:cantSplit/>
        </w:trPr>
        <w:tc>
          <w:tcPr>
            <w:tcW w:w="2482" w:type="dxa"/>
            <w:shd w:val="clear" w:color="auto" w:fill="F4F7FB"/>
            <w:vAlign w:val="top"/>
          </w:tcPr>
          <w:p>
            <w:pPr>
              <w:pStyle w:val="TableText"/>
              <w:jc w:val="left"/>
            </w:pPr>
            <w:r>
              <w:t xml:space="preserve">TASCO compliance and legal</w:t>
            </w:r>
          </w:p>
        </w:tc>
        <w:tc>
          <w:tcPr>
            <w:tcW w:w="6545" w:type="dxa"/>
            <w:shd w:val="clear" w:color="auto" w:fill="F4F7FB"/>
            <w:vAlign w:val="top"/>
          </w:tcPr>
          <w:p>
            <w:pPr>
              <w:pStyle w:val="TableText"/>
              <w:jc w:val="left"/>
            </w:pPr>
            <w:r>
              <w:t xml:space="preserve">Confirmation of regulatory positions; approval of customer wording and the voice script; sign-offs within five business days</w:t>
            </w:r>
          </w:p>
        </w:tc>
      </w:tr>
      <w:tr>
        <w:trPr>
          <w:cantSplit/>
        </w:trPr>
        <w:tc>
          <w:tcPr>
            <w:tcW w:w="2482" w:type="dxa"/>
            <w:vAlign w:val="top"/>
          </w:tcPr>
          <w:p>
            <w:pPr>
              <w:pStyle w:val="TableText"/>
              <w:jc w:val="left"/>
            </w:pPr>
            <w:r>
              <w:t xml:space="preserve">TASCO telesales lead and agents</w:t>
            </w:r>
          </w:p>
        </w:tc>
        <w:tc>
          <w:tcPr>
            <w:tcW w:w="6545" w:type="dxa"/>
            <w:vAlign w:val="top"/>
          </w:tcPr>
          <w:p>
            <w:pPr>
              <w:pStyle w:val="TableText"/>
              <w:jc w:val="left"/>
            </w:pPr>
            <w:r>
              <w:t xml:space="preserve">UAT and pilot participation</w:t>
            </w:r>
          </w:p>
        </w:tc>
      </w:tr>
      <w:tr>
        <w:trPr>
          <w:cantSplit/>
        </w:trPr>
        <w:tc>
          <w:tcPr>
            <w:tcW w:w="2482" w:type="dxa"/>
            <w:shd w:val="clear" w:color="auto" w:fill="F4F7FB"/>
            <w:vAlign w:val="top"/>
          </w:tcPr>
          <w:p>
            <w:pPr>
              <w:pStyle w:val="TableText"/>
              <w:jc w:val="left"/>
            </w:pPr>
            <w:r>
              <w:t xml:space="preserve">TASCO IT security</w:t>
            </w:r>
          </w:p>
        </w:tc>
        <w:tc>
          <w:tcPr>
            <w:tcW w:w="6545" w:type="dxa"/>
            <w:shd w:val="clear" w:color="auto" w:fill="F4F7FB"/>
            <w:vAlign w:val="top"/>
          </w:tcPr>
          <w:p>
            <w:pPr>
              <w:pStyle w:val="TableText"/>
              <w:jc w:val="left"/>
            </w:pPr>
            <w:r>
              <w:t xml:space="preserve">Security requirements, access approvals, penetration test scope</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Commercial options and prices</w:t>
      </w:r>
      <w:bookmarkEnd w:id="21"/>
    </w:p>
    <w:p>
      <w:pPr>
        <w:pStyle w:val="Heading2"/>
      </w:pPr>
      <w:bookmarkStart w:id="22" w:name="_Toc300000018"/>
      <w:r>
        <w:t xml:space="preserve">MVP price</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789"/>
        <w:gridCol w:w="1238"/>
      </w:tblGrid>
      <w:tr>
        <w:trPr>
          <w:cantSplit/>
          <w:tblHeader/>
        </w:trPr>
        <w:tc>
          <w:tcPr>
            <w:tcW w:w="7789" w:type="dxa"/>
            <w:shd w:val="clear" w:color="auto" w:fill="0F4761"/>
            <w:vAlign w:val="center"/>
          </w:tcPr>
          <w:p>
            <w:pPr>
              <w:pStyle w:val="TableHeading"/>
              <w:jc w:val="left"/>
            </w:pPr>
            <w:r>
              <w:rPr>
                <w:color w:val="FFFFFF"/>
              </w:rPr>
              <w:t xml:space="preserve">Item</w:t>
            </w:r>
          </w:p>
        </w:tc>
        <w:tc>
          <w:tcPr>
            <w:tcW w:w="1238" w:type="dxa"/>
            <w:shd w:val="clear" w:color="auto" w:fill="0F4761"/>
            <w:vAlign w:val="center"/>
          </w:tcPr>
          <w:p>
            <w:pPr>
              <w:pStyle w:val="TableHeading"/>
              <w:jc w:val="right"/>
            </w:pPr>
            <w:r>
              <w:rPr>
                <w:color w:val="FFFFFF"/>
              </w:rPr>
              <w:t xml:space="preserve">USD</w:t>
            </w:r>
          </w:p>
        </w:tc>
      </w:tr>
      <w:tr>
        <w:trPr>
          <w:cantSplit/>
        </w:trPr>
        <w:tc>
          <w:tcPr>
            <w:tcW w:w="7789" w:type="dxa"/>
            <w:vAlign w:val="top"/>
          </w:tcPr>
          <w:p>
            <w:pPr>
              <w:pStyle w:val="TableText"/>
              <w:jc w:val="left"/>
            </w:pPr>
            <w:r>
              <w:t xml:space="preserve">Delivery effort at the standard rate card (423.25 person-days)</w:t>
            </w:r>
          </w:p>
        </w:tc>
        <w:tc>
          <w:tcPr>
            <w:tcW w:w="1238" w:type="dxa"/>
            <w:vAlign w:val="top"/>
          </w:tcPr>
          <w:p>
            <w:pPr>
              <w:pStyle w:val="TableText"/>
              <w:jc w:val="right"/>
            </w:pPr>
            <w:r>
              <w:t xml:space="preserve">107,485</w:t>
            </w:r>
          </w:p>
        </w:tc>
      </w:tr>
      <w:tr>
        <w:trPr>
          <w:cantSplit/>
        </w:trPr>
        <w:tc>
          <w:tcPr>
            <w:tcW w:w="7789" w:type="dxa"/>
            <w:shd w:val="clear" w:color="auto" w:fill="F4F7FB"/>
            <w:vAlign w:val="top"/>
          </w:tcPr>
          <w:p>
            <w:pPr>
              <w:pStyle w:val="TableText"/>
              <w:jc w:val="left"/>
            </w:pPr>
            <w:r>
              <w:t xml:space="preserve">Accelerator credit for reuse of the existing TASCO Growth Platform</w:t>
            </w:r>
          </w:p>
        </w:tc>
        <w:tc>
          <w:tcPr>
            <w:tcW w:w="1238" w:type="dxa"/>
            <w:shd w:val="clear" w:color="auto" w:fill="F4F7FB"/>
            <w:vAlign w:val="top"/>
          </w:tcPr>
          <w:p>
            <w:pPr>
              <w:pStyle w:val="TableText"/>
              <w:jc w:val="right"/>
            </w:pPr>
            <w:r>
              <w:t xml:space="preserve">(12,685)</w:t>
            </w:r>
          </w:p>
        </w:tc>
      </w:tr>
      <w:tr>
        <w:trPr>
          <w:cantSplit/>
        </w:trPr>
        <w:tc>
          <w:tcPr>
            <w:tcW w:w="7789" w:type="dxa"/>
            <w:vAlign w:val="top"/>
          </w:tcPr>
          <w:p>
            <w:pPr>
              <w:pStyle w:val="TableText"/>
              <w:jc w:val="left"/>
            </w:pPr>
            <w:r>
              <w:t xml:space="preserve">MVP fixed price (Option A)</w:t>
            </w:r>
          </w:p>
        </w:tc>
        <w:tc>
          <w:tcPr>
            <w:tcW w:w="1238" w:type="dxa"/>
            <w:vAlign w:val="top"/>
          </w:tcPr>
          <w:p>
            <w:pPr>
              <w:pStyle w:val="TableText"/>
              <w:jc w:val="right"/>
            </w:pPr>
            <w:r>
              <w:t xml:space="preserve">94,800</w:t>
            </w:r>
          </w:p>
        </w:tc>
      </w:tr>
      <w:tr>
        <w:trPr>
          <w:cantSplit/>
        </w:trPr>
        <w:tc>
          <w:tcPr>
            <w:tcW w:w="7789" w:type="dxa"/>
            <w:shd w:val="clear" w:color="auto" w:fill="F4F7FB"/>
            <w:vAlign w:val="top"/>
          </w:tcPr>
          <w:p>
            <w:pPr>
              <w:pStyle w:val="TableText"/>
              <w:jc w:val="left"/>
            </w:pPr>
            <w:r>
              <w:t xml:space="preserve">Perpetual licence for TASCO’s use, including source code</w:t>
            </w:r>
          </w:p>
        </w:tc>
        <w:tc>
          <w:tcPr>
            <w:tcW w:w="1238" w:type="dxa"/>
            <w:shd w:val="clear" w:color="auto" w:fill="F4F7FB"/>
            <w:vAlign w:val="top"/>
          </w:tcPr>
          <w:p>
            <w:pPr>
              <w:pStyle w:val="TableText"/>
              <w:jc w:val="right"/>
            </w:pPr>
            <w:r>
              <w:t xml:space="preserve">Included</w:t>
            </w:r>
          </w:p>
        </w:tc>
      </w:tr>
      <w:tr>
        <w:trPr>
          <w:cantSplit/>
        </w:trPr>
        <w:tc>
          <w:tcPr>
            <w:tcW w:w="7789" w:type="dxa"/>
            <w:vAlign w:val="top"/>
          </w:tcPr>
          <w:p>
            <w:pPr>
              <w:pStyle w:val="TableText"/>
              <w:jc w:val="left"/>
            </w:pPr>
            <w:r>
              <w:t xml:space="preserve">Up to three on-site visits to Hà Nội (discovery, UAT and go-live)</w:t>
            </w:r>
          </w:p>
        </w:tc>
        <w:tc>
          <w:tcPr>
            <w:tcW w:w="1238" w:type="dxa"/>
            <w:vAlign w:val="top"/>
          </w:tcPr>
          <w:p>
            <w:pPr>
              <w:pStyle w:val="TableText"/>
              <w:jc w:val="right"/>
            </w:pPr>
            <w:r>
              <w:t xml:space="preserve">Included</w:t>
            </w:r>
          </w:p>
        </w:tc>
      </w:tr>
      <w:tr>
        <w:trPr>
          <w:cantSplit/>
        </w:trPr>
        <w:tc>
          <w:tcPr>
            <w:tcW w:w="7789" w:type="dxa"/>
            <w:shd w:val="clear" w:color="auto" w:fill="F4F7FB"/>
            <w:vAlign w:val="top"/>
          </w:tcPr>
          <w:p>
            <w:pPr>
              <w:pStyle w:val="TableText"/>
              <w:jc w:val="left"/>
            </w:pPr>
            <w:r>
              <w:t xml:space="preserve">90-day warranty from go-live</w:t>
            </w:r>
          </w:p>
        </w:tc>
        <w:tc>
          <w:tcPr>
            <w:tcW w:w="1238" w:type="dxa"/>
            <w:shd w:val="clear" w:color="auto" w:fill="F4F7FB"/>
            <w:vAlign w:val="top"/>
          </w:tcPr>
          <w:p>
            <w:pPr>
              <w:pStyle w:val="TableText"/>
              <w:jc w:val="right"/>
            </w:pPr>
            <w:r>
              <w:t xml:space="preserve">Included</w:t>
            </w:r>
          </w:p>
        </w:tc>
      </w:tr>
      <w:tr>
        <w:trPr>
          <w:cantSplit/>
        </w:trPr>
        <w:tc>
          <w:tcPr>
            <w:tcW w:w="7789" w:type="dxa"/>
            <w:vAlign w:val="top"/>
          </w:tcPr>
          <w:p>
            <w:pPr>
              <w:pStyle w:val="TableText"/>
              <w:jc w:val="left"/>
            </w:pPr>
            <w:r>
              <w:t xml:space="preserve">Change reserve held by TASCO, used only with TASCO’s approval</w:t>
            </w:r>
          </w:p>
        </w:tc>
        <w:tc>
          <w:tcPr>
            <w:tcW w:w="1238" w:type="dxa"/>
            <w:vAlign w:val="top"/>
          </w:tcPr>
          <w:p>
            <w:pPr>
              <w:pStyle w:val="TableText"/>
              <w:jc w:val="right"/>
            </w:pPr>
            <w:r>
              <w:t xml:space="preserve">5,200</w:t>
            </w:r>
          </w:p>
        </w:tc>
      </w:tr>
      <w:tr>
        <w:trPr>
          <w:cantSplit/>
        </w:trPr>
        <w:tc>
          <w:tcPr>
            <w:tcW w:w="7789" w:type="dxa"/>
            <w:shd w:val="clear" w:color="auto" w:fill="F4F7FB"/>
            <w:vAlign w:val="top"/>
          </w:tcPr>
          <w:p>
            <w:pPr>
              <w:pStyle w:val="TableText"/>
              <w:jc w:val="left"/>
            </w:pPr>
            <w:r>
              <w:t xml:space="preserve">Total within TASCO’s MVP budget</w:t>
            </w:r>
          </w:p>
        </w:tc>
        <w:tc>
          <w:tcPr>
            <w:tcW w:w="1238" w:type="dxa"/>
            <w:shd w:val="clear" w:color="auto" w:fill="F4F7FB"/>
            <w:vAlign w:val="top"/>
          </w:tcPr>
          <w:p>
            <w:pPr>
              <w:pStyle w:val="TableText"/>
              <w:jc w:val="right"/>
            </w:pPr>
            <w:r>
              <w:t xml:space="preserve">100,000</w:t>
            </w:r>
          </w:p>
        </w:tc>
      </w:tr>
    </w:tbl>
    <w:p>
      <w:pPr>
        <w:pStyle w:val="BodyText"/>
        <w:spacing w:before="160"/>
      </w:pPr>
      <w:r>
        <w:t xml:space="preserve">The MVP fixed price is about VND 2.46 billion.</w:t>
      </w:r>
    </w:p>
    <w:p>
      <w:pPr>
        <w:pStyle w:val="Heading2"/>
      </w:pPr>
      <w:bookmarkStart w:id="23" w:name="_Toc300000019"/>
      <w:r>
        <w:t xml:space="preserve">Option B: shared outcome</w:t>
      </w:r>
      <w:bookmarkEnd w:id="23"/>
    </w:p>
    <w:p>
      <w:pPr>
        <w:pStyle w:val="FirstParagraph"/>
      </w:pPr>
      <w:r>
        <w:t xml:space="preserve">Both options deliver the same scope and timeline. Option B lowers the fixed price and links part of the cost to results.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86"/>
        <w:gridCol w:w="5575"/>
        <w:gridCol w:w="1366"/>
      </w:tblGrid>
      <w:tr>
        <w:trPr>
          <w:cantSplit/>
          <w:tblHeader/>
        </w:trPr>
        <w:tc>
          <w:tcPr>
            <w:tcW w:w="2086" w:type="dxa"/>
            <w:shd w:val="clear" w:color="auto" w:fill="0F4761"/>
            <w:vAlign w:val="center"/>
          </w:tcPr>
          <w:p>
            <w:pPr>
              <w:pStyle w:val="TableHeading"/>
              <w:jc w:val="left"/>
            </w:pPr>
            <w:r>
              <w:rPr>
                <w:color w:val="FFFFFF"/>
              </w:rPr>
              <w:t xml:space="preserve">Component</w:t>
            </w:r>
          </w:p>
        </w:tc>
        <w:tc>
          <w:tcPr>
            <w:tcW w:w="5575" w:type="dxa"/>
            <w:shd w:val="clear" w:color="auto" w:fill="0F4761"/>
            <w:vAlign w:val="center"/>
          </w:tcPr>
          <w:p>
            <w:pPr>
              <w:pStyle w:val="TableHeading"/>
              <w:jc w:val="left"/>
            </w:pPr>
            <w:r>
              <w:rPr>
                <w:color w:val="FFFFFF"/>
              </w:rPr>
              <w:t xml:space="preserve">Basis</w:t>
            </w:r>
          </w:p>
        </w:tc>
        <w:tc>
          <w:tcPr>
            <w:tcW w:w="1366" w:type="dxa"/>
            <w:shd w:val="clear" w:color="auto" w:fill="0F4761"/>
            <w:vAlign w:val="center"/>
          </w:tcPr>
          <w:p>
            <w:pPr>
              <w:pStyle w:val="TableHeading"/>
              <w:jc w:val="left"/>
            </w:pPr>
            <w:r>
              <w:rPr>
                <w:color w:val="FFFFFF"/>
              </w:rPr>
              <w:t xml:space="preserve">Price</w:t>
            </w:r>
          </w:p>
        </w:tc>
      </w:tr>
      <w:tr>
        <w:trPr>
          <w:cantSplit/>
        </w:trPr>
        <w:tc>
          <w:tcPr>
            <w:tcW w:w="2086" w:type="dxa"/>
            <w:vAlign w:val="top"/>
          </w:tcPr>
          <w:p>
            <w:pPr>
              <w:pStyle w:val="TableText"/>
              <w:jc w:val="left"/>
            </w:pPr>
            <w:r>
              <w:t xml:space="preserve">MVP fixed price</w:t>
            </w:r>
          </w:p>
        </w:tc>
        <w:tc>
          <w:tcPr>
            <w:tcW w:w="5575" w:type="dxa"/>
            <w:vAlign w:val="top"/>
          </w:tcPr>
          <w:p>
            <w:pPr>
              <w:pStyle w:val="TableText"/>
              <w:jc w:val="left"/>
            </w:pPr>
            <w:r>
              <w:t xml:space="preserve">Same scope and timeline as Option A</w:t>
            </w:r>
          </w:p>
        </w:tc>
        <w:tc>
          <w:tcPr>
            <w:tcW w:w="1366" w:type="dxa"/>
            <w:vAlign w:val="top"/>
          </w:tcPr>
          <w:p>
            <w:pPr>
              <w:pStyle w:val="TableText"/>
              <w:jc w:val="left"/>
            </w:pPr>
            <w:r>
              <w:t xml:space="preserve">USD 74,800</w:t>
            </w:r>
          </w:p>
        </w:tc>
      </w:tr>
      <w:tr>
        <w:trPr>
          <w:cantSplit/>
        </w:trPr>
        <w:tc>
          <w:tcPr>
            <w:tcW w:w="2086" w:type="dxa"/>
            <w:shd w:val="clear" w:color="auto" w:fill="F4F7FB"/>
            <w:vAlign w:val="top"/>
          </w:tcPr>
          <w:p>
            <w:pPr>
              <w:pStyle w:val="TableText"/>
              <w:jc w:val="left"/>
            </w:pPr>
            <w:r>
              <w:t xml:space="preserve">Technology service fee</w:t>
            </w:r>
          </w:p>
        </w:tc>
        <w:tc>
          <w:tcPr>
            <w:tcW w:w="5575" w:type="dxa"/>
            <w:shd w:val="clear" w:color="auto" w:fill="F4F7FB"/>
            <w:vAlign w:val="top"/>
          </w:tcPr>
          <w:p>
            <w:pPr>
              <w:pStyle w:val="TableText"/>
              <w:jc w:val="left"/>
            </w:pPr>
            <w:r>
              <w:t xml:space="preserve">VND 10,000 per policy issued digitally through the platform (own channels and partner API) for 12 months after go-live, invoiced quarterly from audited transaction records</w:t>
            </w:r>
          </w:p>
        </w:tc>
        <w:tc>
          <w:tcPr>
            <w:tcW w:w="1366" w:type="dxa"/>
            <w:shd w:val="clear" w:color="auto" w:fill="F4F7FB"/>
            <w:vAlign w:val="top"/>
          </w:tcPr>
          <w:p>
            <w:pPr>
              <w:pStyle w:val="TableText"/>
              <w:jc w:val="left"/>
            </w:pPr>
            <w:r>
              <w:t xml:space="preserve">Capped at USD 50,000</w:t>
            </w:r>
          </w:p>
        </w:tc>
      </w:tr>
      <w:tr>
        <w:trPr>
          <w:cantSplit/>
        </w:trPr>
        <w:tc>
          <w:tcPr>
            <w:tcW w:w="2086" w:type="dxa"/>
            <w:vAlign w:val="top"/>
          </w:tcPr>
          <w:p>
            <w:pPr>
              <w:pStyle w:val="TableText"/>
              <w:jc w:val="left"/>
            </w:pPr>
            <w:r>
              <w:t xml:space="preserve">Scale phase and managed service</w:t>
            </w:r>
          </w:p>
        </w:tc>
        <w:tc>
          <w:tcPr>
            <w:tcW w:w="5575" w:type="dxa"/>
            <w:vAlign w:val="top"/>
          </w:tcPr>
          <w:p>
            <w:pPr>
              <w:pStyle w:val="TableText"/>
              <w:jc w:val="left"/>
            </w:pPr>
            <w:r>
              <w:t xml:space="preserve">As Option A</w:t>
            </w:r>
          </w:p>
        </w:tc>
        <w:tc>
          <w:tcPr>
            <w:tcW w:w="1366" w:type="dxa"/>
            <w:vAlign w:val="top"/>
          </w:tcPr>
          <w:p>
            <w:pPr>
              <w:pStyle w:val="TableText"/>
              <w:jc w:val="left"/>
            </w:pPr>
            <w:r>
              <w:t xml:space="preserve">As Option A</w:t>
            </w:r>
          </w:p>
        </w:tc>
      </w:tr>
    </w:tbl>
    <w:p>
      <w:pPr>
        <w:pStyle w:val="BodyText"/>
        <w:spacing w:before="160"/>
      </w:pPr>
      <w:r>
        <w:t xml:space="preserve">Option B costs TASCO more than Option A only if more than 52,000 policies are issued through the platform in the 12 months after go-live (USD 20,000 × 26,000 ÷ VND 10,000). That is well above the expected pilot volume, so the option mainly suits a fast roll-out.</w:t>
      </w:r>
    </w:p>
    <w:p>
      <w:pPr>
        <w:pStyle w:val="BodyText"/>
      </w:pPr>
      <w:r>
        <w:t xml:space="preserve">The fee must be structured as a technology service fee per processed transaction, not as insurance commission or brokerage. Under the Law on Insurance Business 08/2022/QH15, commission may be paid only to licensed intermediaries. The fee must not be passed on to customers or affect the premium. This structure is to be confirmed by TASCO legal.</w:t>
      </w:r>
    </w:p>
    <w:p>
      <w:pPr>
        <w:pStyle w:val="Heading2"/>
      </w:pPr>
      <w:bookmarkStart w:id="24" w:name="_Toc300000020"/>
      <w:r>
        <w:t xml:space="preserve">After the MVP (optional, priced now for transparency)</w:t>
      </w:r>
      <w:bookmarkEnd w:id="2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08"/>
        <w:gridCol w:w="3030"/>
        <w:gridCol w:w="1641"/>
        <w:gridCol w:w="1582"/>
        <w:gridCol w:w="1066"/>
      </w:tblGrid>
      <w:tr>
        <w:trPr>
          <w:cantSplit/>
          <w:tblHeader/>
        </w:trPr>
        <w:tc>
          <w:tcPr>
            <w:tcW w:w="1708" w:type="dxa"/>
            <w:shd w:val="clear" w:color="auto" w:fill="0F4761"/>
            <w:vAlign w:val="center"/>
          </w:tcPr>
          <w:p>
            <w:pPr>
              <w:pStyle w:val="TableHeading"/>
              <w:jc w:val="left"/>
            </w:pPr>
            <w:r>
              <w:rPr>
                <w:color w:val="FFFFFF"/>
              </w:rPr>
              <w:t xml:space="preserve">Module</w:t>
            </w:r>
          </w:p>
        </w:tc>
        <w:tc>
          <w:tcPr>
            <w:tcW w:w="3030" w:type="dxa"/>
            <w:shd w:val="clear" w:color="auto" w:fill="0F4761"/>
            <w:vAlign w:val="center"/>
          </w:tcPr>
          <w:p>
            <w:pPr>
              <w:pStyle w:val="TableHeading"/>
              <w:jc w:val="left"/>
            </w:pPr>
            <w:r>
              <w:rPr>
                <w:color w:val="FFFFFF"/>
              </w:rPr>
              <w:t xml:space="preserve">Scope</w:t>
            </w:r>
          </w:p>
        </w:tc>
        <w:tc>
          <w:tcPr>
            <w:tcW w:w="1641" w:type="dxa"/>
            <w:shd w:val="clear" w:color="auto" w:fill="0F4761"/>
            <w:vAlign w:val="center"/>
          </w:tcPr>
          <w:p>
            <w:pPr>
              <w:pStyle w:val="TableHeading"/>
              <w:jc w:val="left"/>
            </w:pPr>
            <w:r>
              <w:rPr>
                <w:color w:val="FFFFFF"/>
              </w:rPr>
              <w:t xml:space="preserve">Reuses</w:t>
            </w:r>
          </w:p>
        </w:tc>
        <w:tc>
          <w:tcPr>
            <w:tcW w:w="1582" w:type="dxa"/>
            <w:shd w:val="clear" w:color="auto" w:fill="0F4761"/>
            <w:vAlign w:val="center"/>
          </w:tcPr>
          <w:p>
            <w:pPr>
              <w:pStyle w:val="TableHeading"/>
              <w:jc w:val="right"/>
            </w:pPr>
            <w:r>
              <w:rPr>
                <w:color w:val="FFFFFF"/>
              </w:rPr>
              <w:t xml:space="preserve">Person-days</w:t>
            </w:r>
          </w:p>
        </w:tc>
        <w:tc>
          <w:tcPr>
            <w:tcW w:w="1066" w:type="dxa"/>
            <w:shd w:val="clear" w:color="auto" w:fill="0F4761"/>
            <w:vAlign w:val="center"/>
          </w:tcPr>
          <w:p>
            <w:pPr>
              <w:pStyle w:val="TableHeading"/>
              <w:jc w:val="right"/>
            </w:pPr>
            <w:r>
              <w:rPr>
                <w:color w:val="FFFFFF"/>
              </w:rPr>
              <w:t xml:space="preserve">USD</w:t>
            </w:r>
          </w:p>
        </w:tc>
      </w:tr>
      <w:tr>
        <w:trPr>
          <w:cantSplit/>
        </w:trPr>
        <w:tc>
          <w:tcPr>
            <w:tcW w:w="1708" w:type="dxa"/>
            <w:vAlign w:val="top"/>
          </w:tcPr>
          <w:p>
            <w:pPr>
              <w:pStyle w:val="TableText"/>
              <w:jc w:val="left"/>
            </w:pPr>
            <w:r>
              <w:t xml:space="preserve">S1 Full base roll-out</w:t>
            </w:r>
          </w:p>
        </w:tc>
        <w:tc>
          <w:tcPr>
            <w:tcW w:w="3030" w:type="dxa"/>
            <w:vAlign w:val="top"/>
          </w:tcPr>
          <w:p>
            <w:pPr>
              <w:pStyle w:val="TableText"/>
              <w:jc w:val="left"/>
            </w:pPr>
            <w:r>
              <w:t xml:space="preserve">6 million vehicles in province waves, with a capacity test before each wave</w:t>
            </w:r>
          </w:p>
        </w:tc>
        <w:tc>
          <w:tcPr>
            <w:tcW w:w="1641" w:type="dxa"/>
            <w:vAlign w:val="top"/>
          </w:tcPr>
          <w:p>
            <w:pPr>
              <w:pStyle w:val="TableText"/>
              <w:jc w:val="left"/>
            </w:pPr>
            <w:r>
              <w:t xml:space="preserve">VETC data feed; MVP platform</w:t>
            </w:r>
          </w:p>
        </w:tc>
        <w:tc>
          <w:tcPr>
            <w:tcW w:w="1582" w:type="dxa"/>
            <w:vAlign w:val="top"/>
          </w:tcPr>
          <w:p>
            <w:pPr>
              <w:pStyle w:val="TableText"/>
              <w:jc w:val="right"/>
            </w:pPr>
            <w:r>
              <w:t xml:space="preserve">90</w:t>
            </w:r>
          </w:p>
        </w:tc>
        <w:tc>
          <w:tcPr>
            <w:tcW w:w="1066" w:type="dxa"/>
            <w:vAlign w:val="top"/>
          </w:tcPr>
          <w:p>
            <w:pPr>
              <w:pStyle w:val="TableText"/>
              <w:jc w:val="right"/>
            </w:pPr>
            <w:r>
              <w:t xml:space="preserve">22,500</w:t>
            </w:r>
          </w:p>
        </w:tc>
      </w:tr>
      <w:tr>
        <w:trPr>
          <w:cantSplit/>
        </w:trPr>
        <w:tc>
          <w:tcPr>
            <w:tcW w:w="1708" w:type="dxa"/>
            <w:shd w:val="clear" w:color="auto" w:fill="F4F7FB"/>
            <w:vAlign w:val="top"/>
          </w:tcPr>
          <w:p>
            <w:pPr>
              <w:pStyle w:val="TableText"/>
              <w:jc w:val="left"/>
            </w:pPr>
            <w:r>
              <w:t xml:space="preserve">S2 VETC sign-on and live events</w:t>
            </w:r>
          </w:p>
        </w:tc>
        <w:tc>
          <w:tcPr>
            <w:tcW w:w="3030" w:type="dxa"/>
            <w:shd w:val="clear" w:color="auto" w:fill="F4F7FB"/>
            <w:vAlign w:val="top"/>
          </w:tcPr>
          <w:p>
            <w:pPr>
              <w:pStyle w:val="TableText"/>
              <w:jc w:val="left"/>
            </w:pPr>
            <w:r>
              <w:t xml:space="preserve">VETC single sign-on; trips, inspections and top-ups as live events</w:t>
            </w:r>
          </w:p>
        </w:tc>
        <w:tc>
          <w:tcPr>
            <w:tcW w:w="1641" w:type="dxa"/>
            <w:shd w:val="clear" w:color="auto" w:fill="F4F7FB"/>
            <w:vAlign w:val="top"/>
          </w:tcPr>
          <w:p>
            <w:pPr>
              <w:pStyle w:val="TableText"/>
              <w:jc w:val="left"/>
            </w:pPr>
            <w:r>
              <w:t xml:space="preserve">VETC identity and event stream</w:t>
            </w:r>
          </w:p>
        </w:tc>
        <w:tc>
          <w:tcPr>
            <w:tcW w:w="1582" w:type="dxa"/>
            <w:shd w:val="clear" w:color="auto" w:fill="F4F7FB"/>
            <w:vAlign w:val="top"/>
          </w:tcPr>
          <w:p>
            <w:pPr>
              <w:pStyle w:val="TableText"/>
              <w:jc w:val="right"/>
            </w:pPr>
            <w:r>
              <w:t xml:space="preserve">70</w:t>
            </w:r>
          </w:p>
        </w:tc>
        <w:tc>
          <w:tcPr>
            <w:tcW w:w="1066" w:type="dxa"/>
            <w:shd w:val="clear" w:color="auto" w:fill="F4F7FB"/>
            <w:vAlign w:val="top"/>
          </w:tcPr>
          <w:p>
            <w:pPr>
              <w:pStyle w:val="TableText"/>
              <w:jc w:val="right"/>
            </w:pPr>
            <w:r>
              <w:t xml:space="preserve">17,500</w:t>
            </w:r>
          </w:p>
        </w:tc>
      </w:tr>
      <w:tr>
        <w:trPr>
          <w:cantSplit/>
        </w:trPr>
        <w:tc>
          <w:tcPr>
            <w:tcW w:w="1708" w:type="dxa"/>
            <w:vAlign w:val="top"/>
          </w:tcPr>
          <w:p>
            <w:pPr>
              <w:pStyle w:val="TableText"/>
              <w:jc w:val="left"/>
            </w:pPr>
            <w:r>
              <w:t xml:space="preserve">S3 TASCO app and website</w:t>
            </w:r>
          </w:p>
        </w:tc>
        <w:tc>
          <w:tcPr>
            <w:tcW w:w="3030" w:type="dxa"/>
            <w:vAlign w:val="top"/>
          </w:tcPr>
          <w:p>
            <w:pPr>
              <w:pStyle w:val="TableText"/>
              <w:jc w:val="left"/>
            </w:pPr>
            <w:r>
              <w:t xml:space="preserve">The same journeys inside TASCO’s app and e.baohiemtasco.vn, TASCO account sign-in, TASCO payment gateway</w:t>
            </w:r>
          </w:p>
        </w:tc>
        <w:tc>
          <w:tcPr>
            <w:tcW w:w="1641" w:type="dxa"/>
            <w:vAlign w:val="top"/>
          </w:tcPr>
          <w:p>
            <w:pPr>
              <w:pStyle w:val="TableText"/>
              <w:jc w:val="left"/>
            </w:pPr>
            <w:r>
              <w:t xml:space="preserve">TASCO app, website and payment gateway</w:t>
            </w:r>
          </w:p>
        </w:tc>
        <w:tc>
          <w:tcPr>
            <w:tcW w:w="1582" w:type="dxa"/>
            <w:vAlign w:val="top"/>
          </w:tcPr>
          <w:p>
            <w:pPr>
              <w:pStyle w:val="TableText"/>
              <w:jc w:val="right"/>
            </w:pPr>
            <w:r>
              <w:t xml:space="preserve">26</w:t>
            </w:r>
          </w:p>
        </w:tc>
        <w:tc>
          <w:tcPr>
            <w:tcW w:w="1066" w:type="dxa"/>
            <w:vAlign w:val="top"/>
          </w:tcPr>
          <w:p>
            <w:pPr>
              <w:pStyle w:val="TableText"/>
              <w:jc w:val="right"/>
            </w:pPr>
            <w:r>
              <w:t xml:space="preserve">6,500</w:t>
            </w:r>
          </w:p>
        </w:tc>
      </w:tr>
      <w:tr>
        <w:trPr>
          <w:cantSplit/>
        </w:trPr>
        <w:tc>
          <w:tcPr>
            <w:tcW w:w="1708" w:type="dxa"/>
            <w:shd w:val="clear" w:color="auto" w:fill="F4F7FB"/>
            <w:vAlign w:val="top"/>
          </w:tcPr>
          <w:p>
            <w:pPr>
              <w:pStyle w:val="TableText"/>
              <w:jc w:val="left"/>
            </w:pPr>
            <w:r>
              <w:t xml:space="preserve">S4 Zalo Mini App</w:t>
            </w:r>
          </w:p>
        </w:tc>
        <w:tc>
          <w:tcPr>
            <w:tcW w:w="3030" w:type="dxa"/>
            <w:shd w:val="clear" w:color="auto" w:fill="F4F7FB"/>
            <w:vAlign w:val="top"/>
          </w:tcPr>
          <w:p>
            <w:pPr>
              <w:pStyle w:val="TableText"/>
              <w:jc w:val="left"/>
            </w:pPr>
            <w:r>
              <w:t xml:space="preserve">The same journeys as a Zalo Mini App with Zalo sign-in</w:t>
            </w:r>
          </w:p>
        </w:tc>
        <w:tc>
          <w:tcPr>
            <w:tcW w:w="1641" w:type="dxa"/>
            <w:shd w:val="clear" w:color="auto" w:fill="F4F7FB"/>
            <w:vAlign w:val="top"/>
          </w:tcPr>
          <w:p>
            <w:pPr>
              <w:pStyle w:val="TableText"/>
              <w:jc w:val="left"/>
            </w:pPr>
            <w:r>
              <w:t xml:space="preserve">TASCO’s verified Zalo Official Account</w:t>
            </w:r>
          </w:p>
        </w:tc>
        <w:tc>
          <w:tcPr>
            <w:tcW w:w="1582" w:type="dxa"/>
            <w:shd w:val="clear" w:color="auto" w:fill="F4F7FB"/>
            <w:vAlign w:val="top"/>
          </w:tcPr>
          <w:p>
            <w:pPr>
              <w:pStyle w:val="TableText"/>
              <w:jc w:val="right"/>
            </w:pPr>
            <w:r>
              <w:t xml:space="preserve">40</w:t>
            </w:r>
          </w:p>
        </w:tc>
        <w:tc>
          <w:tcPr>
            <w:tcW w:w="1066" w:type="dxa"/>
            <w:shd w:val="clear" w:color="auto" w:fill="F4F7FB"/>
            <w:vAlign w:val="top"/>
          </w:tcPr>
          <w:p>
            <w:pPr>
              <w:pStyle w:val="TableText"/>
              <w:jc w:val="right"/>
            </w:pPr>
            <w:r>
              <w:t xml:space="preserve">10,000</w:t>
            </w:r>
          </w:p>
        </w:tc>
      </w:tr>
      <w:tr>
        <w:trPr>
          <w:cantSplit/>
        </w:trPr>
        <w:tc>
          <w:tcPr>
            <w:tcW w:w="1708" w:type="dxa"/>
            <w:vAlign w:val="top"/>
          </w:tcPr>
          <w:p>
            <w:pPr>
              <w:pStyle w:val="TableText"/>
              <w:jc w:val="left"/>
            </w:pPr>
            <w:r>
              <w:t xml:space="preserve">S5 Claims integration</w:t>
            </w:r>
          </w:p>
        </w:tc>
        <w:tc>
          <w:tcPr>
            <w:tcW w:w="3030" w:type="dxa"/>
            <w:vAlign w:val="top"/>
          </w:tcPr>
          <w:p>
            <w:pPr>
              <w:pStyle w:val="TableText"/>
              <w:jc w:val="left"/>
            </w:pPr>
            <w:r>
              <w:t xml:space="preserve">First notice of loss passed system to system to TASCO core</w:t>
            </w:r>
          </w:p>
        </w:tc>
        <w:tc>
          <w:tcPr>
            <w:tcW w:w="1641" w:type="dxa"/>
            <w:vAlign w:val="top"/>
          </w:tcPr>
          <w:p>
            <w:pPr>
              <w:pStyle w:val="TableText"/>
              <w:jc w:val="left"/>
            </w:pPr>
            <w:r>
              <w:t xml:space="preserve">TASCO core claims</w:t>
            </w:r>
          </w:p>
        </w:tc>
        <w:tc>
          <w:tcPr>
            <w:tcW w:w="1582" w:type="dxa"/>
            <w:vAlign w:val="top"/>
          </w:tcPr>
          <w:p>
            <w:pPr>
              <w:pStyle w:val="TableText"/>
              <w:jc w:val="right"/>
            </w:pPr>
            <w:r>
              <w:t xml:space="preserve">60</w:t>
            </w:r>
          </w:p>
        </w:tc>
        <w:tc>
          <w:tcPr>
            <w:tcW w:w="1066" w:type="dxa"/>
            <w:vAlign w:val="top"/>
          </w:tcPr>
          <w:p>
            <w:pPr>
              <w:pStyle w:val="TableText"/>
              <w:jc w:val="right"/>
            </w:pPr>
            <w:r>
              <w:t xml:space="preserve">15,000</w:t>
            </w:r>
          </w:p>
        </w:tc>
      </w:tr>
      <w:tr>
        <w:trPr>
          <w:cantSplit/>
        </w:trPr>
        <w:tc>
          <w:tcPr>
            <w:tcW w:w="1708" w:type="dxa"/>
            <w:shd w:val="clear" w:color="auto" w:fill="F4F7FB"/>
            <w:vAlign w:val="top"/>
          </w:tcPr>
          <w:p>
            <w:pPr>
              <w:pStyle w:val="TableText"/>
              <w:jc w:val="left"/>
            </w:pPr>
            <w:r>
              <w:t xml:space="preserve">S6 Inspection and fleet</w:t>
            </w:r>
          </w:p>
        </w:tc>
        <w:tc>
          <w:tcPr>
            <w:tcW w:w="3030" w:type="dxa"/>
            <w:shd w:val="clear" w:color="auto" w:fill="F4F7FB"/>
            <w:vAlign w:val="top"/>
          </w:tcPr>
          <w:p>
            <w:pPr>
              <w:pStyle w:val="TableText"/>
              <w:jc w:val="left"/>
            </w:pPr>
            <w:r>
              <w:t xml:space="preserve">Inspection booking; fleet portal with consolidated invoicing</w:t>
            </w:r>
          </w:p>
        </w:tc>
        <w:tc>
          <w:tcPr>
            <w:tcW w:w="1641" w:type="dxa"/>
            <w:shd w:val="clear" w:color="auto" w:fill="F4F7FB"/>
            <w:vAlign w:val="top"/>
          </w:tcPr>
          <w:p>
            <w:pPr>
              <w:pStyle w:val="TableText"/>
              <w:jc w:val="left"/>
            </w:pPr>
            <w:r>
              <w:t xml:space="preserve">VETC inspection service</w:t>
            </w:r>
          </w:p>
        </w:tc>
        <w:tc>
          <w:tcPr>
            <w:tcW w:w="1582" w:type="dxa"/>
            <w:shd w:val="clear" w:color="auto" w:fill="F4F7FB"/>
            <w:vAlign w:val="top"/>
          </w:tcPr>
          <w:p>
            <w:pPr>
              <w:pStyle w:val="TableText"/>
              <w:jc w:val="right"/>
            </w:pPr>
            <w:r>
              <w:t xml:space="preserve">90</w:t>
            </w:r>
          </w:p>
        </w:tc>
        <w:tc>
          <w:tcPr>
            <w:tcW w:w="1066" w:type="dxa"/>
            <w:shd w:val="clear" w:color="auto" w:fill="F4F7FB"/>
            <w:vAlign w:val="top"/>
          </w:tcPr>
          <w:p>
            <w:pPr>
              <w:pStyle w:val="TableText"/>
              <w:jc w:val="right"/>
            </w:pPr>
            <w:r>
              <w:t xml:space="preserve">22,500</w:t>
            </w:r>
          </w:p>
        </w:tc>
      </w:tr>
      <w:tr>
        <w:trPr>
          <w:cantSplit/>
        </w:trPr>
        <w:tc>
          <w:tcPr>
            <w:tcW w:w="1708" w:type="dxa"/>
            <w:vAlign w:val="top"/>
          </w:tcPr>
          <w:p>
            <w:pPr>
              <w:pStyle w:val="TableText"/>
              <w:jc w:val="left"/>
            </w:pPr>
            <w:r>
              <w:t xml:space="preserve">S7 Further partners</w:t>
            </w:r>
          </w:p>
        </w:tc>
        <w:tc>
          <w:tcPr>
            <w:tcW w:w="3030" w:type="dxa"/>
            <w:vAlign w:val="top"/>
          </w:tcPr>
          <w:p>
            <w:pPr>
              <w:pStyle w:val="TableText"/>
              <w:jc w:val="left"/>
            </w:pPr>
            <w:r>
              <w:t xml:space="preserve">Partner waves and partner self-onboarding</w:t>
            </w:r>
          </w:p>
        </w:tc>
        <w:tc>
          <w:tcPr>
            <w:tcW w:w="1641" w:type="dxa"/>
            <w:vAlign w:val="top"/>
          </w:tcPr>
          <w:p>
            <w:pPr>
              <w:pStyle w:val="TableText"/>
              <w:jc w:val="left"/>
            </w:pPr>
            <w:r>
              <w:t xml:space="preserve">Partner API; Tasco360</w:t>
            </w:r>
          </w:p>
        </w:tc>
        <w:tc>
          <w:tcPr>
            <w:tcW w:w="1582" w:type="dxa"/>
            <w:vAlign w:val="top"/>
          </w:tcPr>
          <w:p>
            <w:pPr>
              <w:pStyle w:val="TableText"/>
              <w:jc w:val="right"/>
            </w:pPr>
            <w:r>
              <w:t xml:space="preserve">50</w:t>
            </w:r>
          </w:p>
        </w:tc>
        <w:tc>
          <w:tcPr>
            <w:tcW w:w="1066" w:type="dxa"/>
            <w:vAlign w:val="top"/>
          </w:tcPr>
          <w:p>
            <w:pPr>
              <w:pStyle w:val="TableText"/>
              <w:jc w:val="right"/>
            </w:pPr>
            <w:r>
              <w:t xml:space="preserve">12,500</w:t>
            </w:r>
          </w:p>
        </w:tc>
      </w:tr>
      <w:tr>
        <w:trPr>
          <w:cantSplit/>
        </w:trPr>
        <w:tc>
          <w:tcPr>
            <w:tcW w:w="1708" w:type="dxa"/>
            <w:shd w:val="clear" w:color="auto" w:fill="F4F7FB"/>
            <w:vAlign w:val="top"/>
          </w:tcPr>
          <w:p>
            <w:pPr>
              <w:pStyle w:val="TableText"/>
              <w:jc w:val="left"/>
            </w:pPr>
            <w:r>
              <w:t xml:space="preserve">S8 Data warehouse</w:t>
            </w:r>
          </w:p>
        </w:tc>
        <w:tc>
          <w:tcPr>
            <w:tcW w:w="3030" w:type="dxa"/>
            <w:shd w:val="clear" w:color="auto" w:fill="F4F7FB"/>
            <w:vAlign w:val="top"/>
          </w:tcPr>
          <w:p>
            <w:pPr>
              <w:pStyle w:val="TableText"/>
              <w:jc w:val="left"/>
            </w:pPr>
            <w:r>
              <w:t xml:space="preserve">Daily feed and management reporting</w:t>
            </w:r>
          </w:p>
        </w:tc>
        <w:tc>
          <w:tcPr>
            <w:tcW w:w="1641" w:type="dxa"/>
            <w:shd w:val="clear" w:color="auto" w:fill="F4F7FB"/>
            <w:vAlign w:val="top"/>
          </w:tcPr>
          <w:p>
            <w:pPr>
              <w:pStyle w:val="TableText"/>
              <w:jc w:val="left"/>
            </w:pPr>
            <w:r>
              <w:t xml:space="preserve">TASCO data warehouse</w:t>
            </w:r>
          </w:p>
        </w:tc>
        <w:tc>
          <w:tcPr>
            <w:tcW w:w="1582" w:type="dxa"/>
            <w:shd w:val="clear" w:color="auto" w:fill="F4F7FB"/>
            <w:vAlign w:val="top"/>
          </w:tcPr>
          <w:p>
            <w:pPr>
              <w:pStyle w:val="TableText"/>
              <w:jc w:val="right"/>
            </w:pPr>
            <w:r>
              <w:t xml:space="preserve">40</w:t>
            </w:r>
          </w:p>
        </w:tc>
        <w:tc>
          <w:tcPr>
            <w:tcW w:w="1066" w:type="dxa"/>
            <w:shd w:val="clear" w:color="auto" w:fill="F4F7FB"/>
            <w:vAlign w:val="top"/>
          </w:tcPr>
          <w:p>
            <w:pPr>
              <w:pStyle w:val="TableText"/>
              <w:jc w:val="right"/>
            </w:pPr>
            <w:r>
              <w:t xml:space="preserve">10,000</w:t>
            </w:r>
          </w:p>
        </w:tc>
      </w:tr>
      <w:tr>
        <w:trPr>
          <w:cantSplit/>
        </w:trPr>
        <w:tc>
          <w:tcPr>
            <w:tcW w:w="1708" w:type="dxa"/>
            <w:vAlign w:val="top"/>
          </w:tcPr>
          <w:p>
            <w:pPr>
              <w:pStyle w:val="TableText"/>
              <w:jc w:val="left"/>
            </w:pPr>
            <w:r>
              <w:t xml:space="preserve">S9 Calibration and testing</w:t>
            </w:r>
          </w:p>
        </w:tc>
        <w:tc>
          <w:tcPr>
            <w:tcW w:w="3030" w:type="dxa"/>
            <w:vAlign w:val="top"/>
          </w:tcPr>
          <w:p>
            <w:pPr>
              <w:pStyle w:val="TableText"/>
              <w:jc w:val="left"/>
            </w:pPr>
            <w:r>
              <w:t xml:space="preserve">Score calibration from pilot outcomes; A/B testing</w:t>
            </w:r>
          </w:p>
        </w:tc>
        <w:tc>
          <w:tcPr>
            <w:tcW w:w="1641" w:type="dxa"/>
            <w:vAlign w:val="top"/>
          </w:tcPr>
          <w:p>
            <w:pPr>
              <w:pStyle w:val="TableText"/>
              <w:jc w:val="left"/>
            </w:pPr>
            <w:r>
              <w:t xml:space="preserve">Pilot data</w:t>
            </w:r>
          </w:p>
        </w:tc>
        <w:tc>
          <w:tcPr>
            <w:tcW w:w="1582" w:type="dxa"/>
            <w:vAlign w:val="top"/>
          </w:tcPr>
          <w:p>
            <w:pPr>
              <w:pStyle w:val="TableText"/>
              <w:jc w:val="right"/>
            </w:pPr>
            <w:r>
              <w:t xml:space="preserve">60</w:t>
            </w:r>
          </w:p>
        </w:tc>
        <w:tc>
          <w:tcPr>
            <w:tcW w:w="1066" w:type="dxa"/>
            <w:vAlign w:val="top"/>
          </w:tcPr>
          <w:p>
            <w:pPr>
              <w:pStyle w:val="TableText"/>
              <w:jc w:val="right"/>
            </w:pPr>
            <w:r>
              <w:t xml:space="preserve">15,000</w:t>
            </w:r>
          </w:p>
        </w:tc>
      </w:tr>
      <w:tr>
        <w:trPr>
          <w:cantSplit/>
        </w:trPr>
        <w:tc>
          <w:tcPr>
            <w:tcW w:w="1708" w:type="dxa"/>
            <w:shd w:val="clear" w:color="auto" w:fill="F4F7FB"/>
            <w:vAlign w:val="top"/>
          </w:tcPr>
          <w:p>
            <w:pPr>
              <w:pStyle w:val="TableText"/>
              <w:jc w:val="left"/>
            </w:pPr>
            <w:r>
              <w:t xml:space="preserve">S10 Full-scale assurance</w:t>
            </w:r>
          </w:p>
        </w:tc>
        <w:tc>
          <w:tcPr>
            <w:tcW w:w="3030" w:type="dxa"/>
            <w:shd w:val="clear" w:color="auto" w:fill="F4F7FB"/>
            <w:vAlign w:val="top"/>
          </w:tcPr>
          <w:p>
            <w:pPr>
              <w:pStyle w:val="TableText"/>
              <w:jc w:val="left"/>
            </w:pPr>
            <w:r>
              <w:t xml:space="preserve">Performance and security retest at full scale</w:t>
            </w:r>
          </w:p>
        </w:tc>
        <w:tc>
          <w:tcPr>
            <w:tcW w:w="1641" w:type="dxa"/>
            <w:shd w:val="clear" w:color="auto" w:fill="F4F7FB"/>
            <w:vAlign w:val="top"/>
          </w:tcPr>
          <w:p>
            <w:pPr>
              <w:pStyle w:val="TableText"/>
              <w:jc w:val="left"/>
            </w:pPr>
            <w:r>
              <w:t xml:space="preserve">MVP test assets</w:t>
            </w:r>
          </w:p>
        </w:tc>
        <w:tc>
          <w:tcPr>
            <w:tcW w:w="1582" w:type="dxa"/>
            <w:shd w:val="clear" w:color="auto" w:fill="F4F7FB"/>
            <w:vAlign w:val="top"/>
          </w:tcPr>
          <w:p>
            <w:pPr>
              <w:pStyle w:val="TableText"/>
              <w:jc w:val="right"/>
            </w:pPr>
            <w:r>
              <w:t xml:space="preserve">40</w:t>
            </w:r>
          </w:p>
        </w:tc>
        <w:tc>
          <w:tcPr>
            <w:tcW w:w="1066" w:type="dxa"/>
            <w:shd w:val="clear" w:color="auto" w:fill="F4F7FB"/>
            <w:vAlign w:val="top"/>
          </w:tcPr>
          <w:p>
            <w:pPr>
              <w:pStyle w:val="TableText"/>
              <w:jc w:val="right"/>
            </w:pPr>
            <w:r>
              <w:t xml:space="preserve">10,000</w:t>
            </w:r>
          </w:p>
        </w:tc>
      </w:tr>
      <w:tr>
        <w:trPr>
          <w:cantSplit/>
        </w:trPr>
        <w:tc>
          <w:tcPr>
            <w:tcW w:w="1708" w:type="dxa"/>
            <w:vAlign w:val="top"/>
          </w:tcPr>
          <w:p>
            <w:pPr>
              <w:pStyle w:val="TableText"/>
              <w:jc w:val="left"/>
            </w:pPr>
            <w:r>
              <w:rPr>
                <w:b/>
                <w:bCs/>
              </w:rPr>
              <w:t xml:space="preserve">Total</w:t>
            </w:r>
          </w:p>
        </w:tc>
        <w:tc>
          <w:tcPr>
            <w:tcW w:w="3030" w:type="dxa"/>
            <w:vAlign w:val="top"/>
          </w:tcPr>
          <w:p>
            <w:pPr>
              <w:pStyle w:val="TableText"/>
            </w:pPr>
          </w:p>
        </w:tc>
        <w:tc>
          <w:tcPr>
            <w:tcW w:w="1641" w:type="dxa"/>
            <w:vAlign w:val="top"/>
          </w:tcPr>
          <w:p>
            <w:pPr>
              <w:pStyle w:val="TableText"/>
            </w:pPr>
          </w:p>
        </w:tc>
        <w:tc>
          <w:tcPr>
            <w:tcW w:w="1582" w:type="dxa"/>
            <w:vAlign w:val="top"/>
          </w:tcPr>
          <w:p>
            <w:pPr>
              <w:pStyle w:val="TableText"/>
              <w:jc w:val="right"/>
            </w:pPr>
            <w:r>
              <w:rPr>
                <w:b/>
                <w:bCs/>
              </w:rPr>
              <w:t xml:space="preserve">566</w:t>
            </w:r>
          </w:p>
        </w:tc>
        <w:tc>
          <w:tcPr>
            <w:tcW w:w="1066" w:type="dxa"/>
            <w:vAlign w:val="top"/>
          </w:tcPr>
          <w:p>
            <w:pPr>
              <w:pStyle w:val="TableText"/>
              <w:jc w:val="right"/>
            </w:pPr>
            <w:r>
              <w:rPr>
                <w:b/>
                <w:bCs/>
              </w:rPr>
              <w:t xml:space="preserve">141,500</w:t>
            </w:r>
          </w:p>
        </w:tc>
      </w:tr>
    </w:tbl>
    <w:p>
      <w:pPr>
        <w:pStyle w:val="BodyText"/>
        <w:spacing w:before="160"/>
      </w:pPr>
      <w:r>
        <w:t xml:space="preserve">Each module is priced on its own at a blended USD 250 per person-day and capped, so TASCO can take the modules in the order that suits it. Reuse keeps them small: the Zalo Mini App and TASCO’s app and website are new front doors on journeys that already exist, and partners such as Tasco360 use the partner API delivered in the MVP. S3 can start straight after go-live, at a fixed USD 6,500, if TASCO wants its own app and website live before the pilot read-out.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49"/>
        <w:gridCol w:w="4890"/>
        <w:gridCol w:w="2288"/>
      </w:tblGrid>
      <w:tr>
        <w:trPr>
          <w:cantSplit/>
          <w:tblHeader/>
        </w:trPr>
        <w:tc>
          <w:tcPr>
            <w:tcW w:w="1849" w:type="dxa"/>
            <w:shd w:val="clear" w:color="auto" w:fill="0F4761"/>
            <w:vAlign w:val="center"/>
          </w:tcPr>
          <w:p>
            <w:pPr>
              <w:pStyle w:val="TableHeading"/>
              <w:jc w:val="left"/>
            </w:pPr>
            <w:r>
              <w:rPr>
                <w:color w:val="FFFFFF"/>
              </w:rPr>
              <w:t xml:space="preserve">Service</w:t>
            </w:r>
          </w:p>
        </w:tc>
        <w:tc>
          <w:tcPr>
            <w:tcW w:w="4890" w:type="dxa"/>
            <w:shd w:val="clear" w:color="auto" w:fill="0F4761"/>
            <w:vAlign w:val="center"/>
          </w:tcPr>
          <w:p>
            <w:pPr>
              <w:pStyle w:val="TableHeading"/>
              <w:jc w:val="left"/>
            </w:pPr>
            <w:r>
              <w:rPr>
                <w:color w:val="FFFFFF"/>
              </w:rPr>
              <w:t xml:space="preserve">Basis</w:t>
            </w:r>
          </w:p>
        </w:tc>
        <w:tc>
          <w:tcPr>
            <w:tcW w:w="2288" w:type="dxa"/>
            <w:shd w:val="clear" w:color="auto" w:fill="0F4761"/>
            <w:vAlign w:val="center"/>
          </w:tcPr>
          <w:p>
            <w:pPr>
              <w:pStyle w:val="TableHeading"/>
              <w:jc w:val="right"/>
            </w:pPr>
            <w:r>
              <w:rPr>
                <w:color w:val="FFFFFF"/>
              </w:rPr>
              <w:t xml:space="preserve">Price (USD)</w:t>
            </w:r>
          </w:p>
        </w:tc>
      </w:tr>
      <w:tr>
        <w:trPr>
          <w:cantSplit/>
        </w:trPr>
        <w:tc>
          <w:tcPr>
            <w:tcW w:w="1849" w:type="dxa"/>
            <w:vAlign w:val="top"/>
          </w:tcPr>
          <w:p>
            <w:pPr>
              <w:pStyle w:val="TableText"/>
              <w:jc w:val="left"/>
            </w:pPr>
            <w:r>
              <w:t xml:space="preserve">Managed service</w:t>
            </w:r>
          </w:p>
        </w:tc>
        <w:tc>
          <w:tcPr>
            <w:tcW w:w="4890" w:type="dxa"/>
            <w:vAlign w:val="top"/>
          </w:tcPr>
          <w:p>
            <w:pPr>
              <w:pStyle w:val="TableText"/>
              <w:jc w:val="left"/>
            </w:pPr>
            <w:r>
              <w:t xml:space="preserve">Monthly, 12-month initial term, includes 40 hours of minor enhancements a month</w:t>
            </w:r>
          </w:p>
        </w:tc>
        <w:tc>
          <w:tcPr>
            <w:tcW w:w="2288" w:type="dxa"/>
            <w:vAlign w:val="top"/>
          </w:tcPr>
          <w:p>
            <w:pPr>
              <w:pStyle w:val="TableText"/>
              <w:jc w:val="right"/>
            </w:pPr>
            <w:r>
              <w:t xml:space="preserve">6,900 per month</w:t>
            </w:r>
          </w:p>
        </w:tc>
      </w:tr>
      <w:tr>
        <w:trPr>
          <w:cantSplit/>
        </w:trPr>
        <w:tc>
          <w:tcPr>
            <w:tcW w:w="1849" w:type="dxa"/>
            <w:shd w:val="clear" w:color="auto" w:fill="F4F7FB"/>
            <w:vAlign w:val="top"/>
          </w:tcPr>
          <w:p>
            <w:pPr>
              <w:pStyle w:val="TableText"/>
              <w:jc w:val="left"/>
            </w:pPr>
            <w:r>
              <w:t xml:space="preserve">Enhancement pool</w:t>
            </w:r>
          </w:p>
        </w:tc>
        <w:tc>
          <w:tcPr>
            <w:tcW w:w="4890" w:type="dxa"/>
            <w:shd w:val="clear" w:color="auto" w:fill="F4F7FB"/>
            <w:vAlign w:val="top"/>
          </w:tcPr>
          <w:p>
            <w:pPr>
              <w:pStyle w:val="TableText"/>
              <w:jc w:val="left"/>
            </w:pPr>
            <w:r>
              <w:t xml:space="preserve">Drawn down at the rate card by work order</w:t>
            </w:r>
          </w:p>
        </w:tc>
        <w:tc>
          <w:tcPr>
            <w:tcW w:w="2288" w:type="dxa"/>
            <w:shd w:val="clear" w:color="auto" w:fill="F4F7FB"/>
            <w:vAlign w:val="top"/>
          </w:tcPr>
          <w:p>
            <w:pPr>
              <w:pStyle w:val="TableText"/>
              <w:jc w:val="right"/>
            </w:pPr>
            <w:r>
              <w:t xml:space="preserve">48,000 per year (budgetary)</w:t>
            </w:r>
          </w:p>
        </w:tc>
      </w:tr>
    </w:tbl>
    <w:p>
      <w:pPr>
        <w:pStyle w:val="Heading2"/>
      </w:pPr>
      <w:bookmarkStart w:id="25" w:name="_Toc300000021"/>
      <w:r>
        <w:t xml:space="preserve">Rate card</w:t>
      </w:r>
      <w:bookmarkEnd w:id="25"/>
    </w:p>
    <w:p>
      <w:pPr>
        <w:pStyle w:val="FirstParagraph"/>
      </w:pPr>
      <w:r>
        <w:t xml:space="preserve">The rate card applies to change requests, the scale phase and the enhancement pool.</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810"/>
        <w:gridCol w:w="2217"/>
      </w:tblGrid>
      <w:tr>
        <w:trPr>
          <w:cantSplit/>
          <w:tblHeader/>
        </w:trPr>
        <w:tc>
          <w:tcPr>
            <w:tcW w:w="6810" w:type="dxa"/>
            <w:shd w:val="clear" w:color="auto" w:fill="0F4761"/>
            <w:vAlign w:val="center"/>
          </w:tcPr>
          <w:p>
            <w:pPr>
              <w:pStyle w:val="TableHeading"/>
              <w:jc w:val="left"/>
            </w:pPr>
            <w:r>
              <w:rPr>
                <w:color w:val="FFFFFF"/>
              </w:rPr>
              <w:t xml:space="preserve">Role</w:t>
            </w:r>
          </w:p>
        </w:tc>
        <w:tc>
          <w:tcPr>
            <w:tcW w:w="2217" w:type="dxa"/>
            <w:shd w:val="clear" w:color="auto" w:fill="0F4761"/>
            <w:vAlign w:val="center"/>
          </w:tcPr>
          <w:p>
            <w:pPr>
              <w:pStyle w:val="TableHeading"/>
              <w:jc w:val="right"/>
            </w:pPr>
            <w:r>
              <w:rPr>
                <w:color w:val="FFFFFF"/>
              </w:rPr>
              <w:t xml:space="preserve">Daily rate (USD)</w:t>
            </w:r>
          </w:p>
        </w:tc>
      </w:tr>
      <w:tr>
        <w:trPr>
          <w:cantSplit/>
        </w:trPr>
        <w:tc>
          <w:tcPr>
            <w:tcW w:w="6810" w:type="dxa"/>
            <w:vAlign w:val="top"/>
          </w:tcPr>
          <w:p>
            <w:pPr>
              <w:pStyle w:val="TableText"/>
              <w:jc w:val="left"/>
            </w:pPr>
            <w:r>
              <w:t xml:space="preserve">Engagement manager</w:t>
            </w:r>
          </w:p>
        </w:tc>
        <w:tc>
          <w:tcPr>
            <w:tcW w:w="2217" w:type="dxa"/>
            <w:vAlign w:val="top"/>
          </w:tcPr>
          <w:p>
            <w:pPr>
              <w:pStyle w:val="TableText"/>
              <w:jc w:val="right"/>
            </w:pPr>
            <w:r>
              <w:t xml:space="preserve">380</w:t>
            </w:r>
          </w:p>
        </w:tc>
      </w:tr>
      <w:tr>
        <w:trPr>
          <w:cantSplit/>
        </w:trPr>
        <w:tc>
          <w:tcPr>
            <w:tcW w:w="6810" w:type="dxa"/>
            <w:shd w:val="clear" w:color="auto" w:fill="F4F7FB"/>
            <w:vAlign w:val="top"/>
          </w:tcPr>
          <w:p>
            <w:pPr>
              <w:pStyle w:val="TableText"/>
              <w:jc w:val="left"/>
            </w:pPr>
            <w:r>
              <w:t xml:space="preserve">Solution architect</w:t>
            </w:r>
          </w:p>
        </w:tc>
        <w:tc>
          <w:tcPr>
            <w:tcW w:w="2217" w:type="dxa"/>
            <w:shd w:val="clear" w:color="auto" w:fill="F4F7FB"/>
            <w:vAlign w:val="top"/>
          </w:tcPr>
          <w:p>
            <w:pPr>
              <w:pStyle w:val="TableText"/>
              <w:jc w:val="right"/>
            </w:pPr>
            <w:r>
              <w:t xml:space="preserve">360</w:t>
            </w:r>
          </w:p>
        </w:tc>
      </w:tr>
      <w:tr>
        <w:trPr>
          <w:cantSplit/>
        </w:trPr>
        <w:tc>
          <w:tcPr>
            <w:tcW w:w="6810" w:type="dxa"/>
            <w:vAlign w:val="top"/>
          </w:tcPr>
          <w:p>
            <w:pPr>
              <w:pStyle w:val="TableText"/>
              <w:jc w:val="left"/>
            </w:pPr>
            <w:r>
              <w:t xml:space="preserve">Business analyst and insurance SME</w:t>
            </w:r>
          </w:p>
        </w:tc>
        <w:tc>
          <w:tcPr>
            <w:tcW w:w="2217" w:type="dxa"/>
            <w:vAlign w:val="top"/>
          </w:tcPr>
          <w:p>
            <w:pPr>
              <w:pStyle w:val="TableText"/>
              <w:jc w:val="right"/>
            </w:pPr>
            <w:r>
              <w:t xml:space="preserve">260</w:t>
            </w:r>
          </w:p>
        </w:tc>
      </w:tr>
      <w:tr>
        <w:trPr>
          <w:cantSplit/>
        </w:trPr>
        <w:tc>
          <w:tcPr>
            <w:tcW w:w="6810" w:type="dxa"/>
            <w:shd w:val="clear" w:color="auto" w:fill="F4F7FB"/>
            <w:vAlign w:val="top"/>
          </w:tcPr>
          <w:p>
            <w:pPr>
              <w:pStyle w:val="TableText"/>
              <w:jc w:val="left"/>
            </w:pPr>
            <w:r>
              <w:t xml:space="preserve">Senior engineer or DevSecOps engineer</w:t>
            </w:r>
          </w:p>
        </w:tc>
        <w:tc>
          <w:tcPr>
            <w:tcW w:w="2217" w:type="dxa"/>
            <w:shd w:val="clear" w:color="auto" w:fill="F4F7FB"/>
            <w:vAlign w:val="top"/>
          </w:tcPr>
          <w:p>
            <w:pPr>
              <w:pStyle w:val="TableText"/>
              <w:jc w:val="right"/>
            </w:pPr>
            <w:r>
              <w:t xml:space="preserve">260</w:t>
            </w:r>
          </w:p>
        </w:tc>
      </w:tr>
      <w:tr>
        <w:trPr>
          <w:cantSplit/>
        </w:trPr>
        <w:tc>
          <w:tcPr>
            <w:tcW w:w="6810" w:type="dxa"/>
            <w:vAlign w:val="top"/>
          </w:tcPr>
          <w:p>
            <w:pPr>
              <w:pStyle w:val="TableText"/>
              <w:jc w:val="left"/>
            </w:pPr>
            <w:r>
              <w:t xml:space="preserve">UX and conversation designer</w:t>
            </w:r>
          </w:p>
        </w:tc>
        <w:tc>
          <w:tcPr>
            <w:tcW w:w="2217" w:type="dxa"/>
            <w:vAlign w:val="top"/>
          </w:tcPr>
          <w:p>
            <w:pPr>
              <w:pStyle w:val="TableText"/>
              <w:jc w:val="right"/>
            </w:pPr>
            <w:r>
              <w:t xml:space="preserve">230</w:t>
            </w:r>
          </w:p>
        </w:tc>
      </w:tr>
      <w:tr>
        <w:trPr>
          <w:cantSplit/>
        </w:trPr>
        <w:tc>
          <w:tcPr>
            <w:tcW w:w="6810" w:type="dxa"/>
            <w:shd w:val="clear" w:color="auto" w:fill="F4F7FB"/>
            <w:vAlign w:val="top"/>
          </w:tcPr>
          <w:p>
            <w:pPr>
              <w:pStyle w:val="TableText"/>
              <w:jc w:val="left"/>
            </w:pPr>
            <w:r>
              <w:t xml:space="preserve">Engineer</w:t>
            </w:r>
          </w:p>
        </w:tc>
        <w:tc>
          <w:tcPr>
            <w:tcW w:w="2217" w:type="dxa"/>
            <w:shd w:val="clear" w:color="auto" w:fill="F4F7FB"/>
            <w:vAlign w:val="top"/>
          </w:tcPr>
          <w:p>
            <w:pPr>
              <w:pStyle w:val="TableText"/>
              <w:jc w:val="right"/>
            </w:pPr>
            <w:r>
              <w:t xml:space="preserve">210</w:t>
            </w:r>
          </w:p>
        </w:tc>
      </w:tr>
      <w:tr>
        <w:trPr>
          <w:cantSplit/>
        </w:trPr>
        <w:tc>
          <w:tcPr>
            <w:tcW w:w="6810" w:type="dxa"/>
            <w:vAlign w:val="top"/>
          </w:tcPr>
          <w:p>
            <w:pPr>
              <w:pStyle w:val="TableText"/>
              <w:jc w:val="left"/>
            </w:pPr>
            <w:r>
              <w:t xml:space="preserve">QA engineer</w:t>
            </w:r>
          </w:p>
        </w:tc>
        <w:tc>
          <w:tcPr>
            <w:tcW w:w="2217" w:type="dxa"/>
            <w:vAlign w:val="top"/>
          </w:tcPr>
          <w:p>
            <w:pPr>
              <w:pStyle w:val="TableText"/>
              <w:jc w:val="right"/>
            </w:pPr>
            <w:r>
              <w:t xml:space="preserve">190</w:t>
            </w:r>
          </w:p>
        </w:tc>
      </w:tr>
    </w:tbl>
    <w:p>
      <w:pPr>
        <w:pStyle w:val="Heading2"/>
      </w:pPr>
      <w:bookmarkStart w:id="26" w:name="_Toc300000022"/>
      <w:r>
        <w:t xml:space="preserve">Option comparison</w:t>
      </w:r>
      <w:bookmarkEnd w:id="2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477"/>
        <w:gridCol w:w="2734"/>
        <w:gridCol w:w="3816"/>
      </w:tblGrid>
      <w:tr>
        <w:trPr>
          <w:cantSplit/>
          <w:tblHeader/>
        </w:trPr>
        <w:tc>
          <w:tcPr>
            <w:tcW w:w="2477" w:type="dxa"/>
            <w:shd w:val="clear" w:color="auto" w:fill="0F4761"/>
            <w:vAlign w:val="center"/>
          </w:tcPr>
          <w:p>
            <w:pPr>
              <w:pStyle w:val="TableHeading"/>
              <w:jc w:val="left"/>
            </w:pPr>
            <w:r>
              <w:rPr>
                <w:color w:val="FFFFFF"/>
              </w:rPr>
              <w:t xml:space="preserve">Criterion</w:t>
            </w:r>
          </w:p>
        </w:tc>
        <w:tc>
          <w:tcPr>
            <w:tcW w:w="2734" w:type="dxa"/>
            <w:shd w:val="clear" w:color="auto" w:fill="0F4761"/>
            <w:vAlign w:val="center"/>
          </w:tcPr>
          <w:p>
            <w:pPr>
              <w:pStyle w:val="TableHeading"/>
              <w:jc w:val="left"/>
            </w:pPr>
            <w:r>
              <w:rPr>
                <w:color w:val="FFFFFF"/>
              </w:rPr>
              <w:t xml:space="preserve">Option A</w:t>
            </w:r>
          </w:p>
        </w:tc>
        <w:tc>
          <w:tcPr>
            <w:tcW w:w="3816" w:type="dxa"/>
            <w:shd w:val="clear" w:color="auto" w:fill="0F4761"/>
            <w:vAlign w:val="center"/>
          </w:tcPr>
          <w:p>
            <w:pPr>
              <w:pStyle w:val="TableHeading"/>
              <w:jc w:val="left"/>
            </w:pPr>
            <w:r>
              <w:rPr>
                <w:color w:val="FFFFFF"/>
              </w:rPr>
              <w:t xml:space="preserve">Option B</w:t>
            </w:r>
          </w:p>
        </w:tc>
      </w:tr>
      <w:tr>
        <w:trPr>
          <w:cantSplit/>
        </w:trPr>
        <w:tc>
          <w:tcPr>
            <w:tcW w:w="2477" w:type="dxa"/>
            <w:vAlign w:val="top"/>
          </w:tcPr>
          <w:p>
            <w:pPr>
              <w:pStyle w:val="TableText"/>
              <w:jc w:val="left"/>
            </w:pPr>
            <w:r>
              <w:t xml:space="preserve">Budget certainty for TASCO</w:t>
            </w:r>
          </w:p>
        </w:tc>
        <w:tc>
          <w:tcPr>
            <w:tcW w:w="2734" w:type="dxa"/>
            <w:vAlign w:val="top"/>
          </w:tcPr>
          <w:p>
            <w:pPr>
              <w:pStyle w:val="TableText"/>
              <w:jc w:val="left"/>
            </w:pPr>
            <w:r>
              <w:t xml:space="preserve">High: fixed price</w:t>
            </w:r>
          </w:p>
        </w:tc>
        <w:tc>
          <w:tcPr>
            <w:tcW w:w="3816" w:type="dxa"/>
            <w:vAlign w:val="top"/>
          </w:tcPr>
          <w:p>
            <w:pPr>
              <w:pStyle w:val="TableText"/>
              <w:jc w:val="left"/>
            </w:pPr>
            <w:r>
              <w:t xml:space="preserve">Medium: fee varies with volume, capped</w:t>
            </w:r>
          </w:p>
        </w:tc>
      </w:tr>
      <w:tr>
        <w:trPr>
          <w:cantSplit/>
        </w:trPr>
        <w:tc>
          <w:tcPr>
            <w:tcW w:w="2477" w:type="dxa"/>
            <w:shd w:val="clear" w:color="auto" w:fill="F4F7FB"/>
            <w:vAlign w:val="top"/>
          </w:tcPr>
          <w:p>
            <w:pPr>
              <w:pStyle w:val="TableText"/>
              <w:jc w:val="left"/>
            </w:pPr>
            <w:r>
              <w:t xml:space="preserve">Shared risk on outcomes</w:t>
            </w:r>
          </w:p>
        </w:tc>
        <w:tc>
          <w:tcPr>
            <w:tcW w:w="2734" w:type="dxa"/>
            <w:shd w:val="clear" w:color="auto" w:fill="F4F7FB"/>
            <w:vAlign w:val="top"/>
          </w:tcPr>
          <w:p>
            <w:pPr>
              <w:pStyle w:val="TableText"/>
              <w:jc w:val="left"/>
            </w:pPr>
            <w:r>
              <w:t xml:space="preserve">Low</w:t>
            </w:r>
          </w:p>
        </w:tc>
        <w:tc>
          <w:tcPr>
            <w:tcW w:w="3816" w:type="dxa"/>
            <w:shd w:val="clear" w:color="auto" w:fill="F4F7FB"/>
            <w:vAlign w:val="top"/>
          </w:tcPr>
          <w:p>
            <w:pPr>
              <w:pStyle w:val="TableText"/>
              <w:jc w:val="left"/>
            </w:pPr>
            <w:r>
              <w:t xml:space="preserve">Higher</w:t>
            </w:r>
          </w:p>
        </w:tc>
      </w:tr>
      <w:tr>
        <w:trPr>
          <w:cantSplit/>
        </w:trPr>
        <w:tc>
          <w:tcPr>
            <w:tcW w:w="2477" w:type="dxa"/>
            <w:vAlign w:val="top"/>
          </w:tcPr>
          <w:p>
            <w:pPr>
              <w:pStyle w:val="TableText"/>
              <w:jc w:val="left"/>
            </w:pPr>
            <w:r>
              <w:t xml:space="preserve">Upfront cost</w:t>
            </w:r>
          </w:p>
        </w:tc>
        <w:tc>
          <w:tcPr>
            <w:tcW w:w="2734" w:type="dxa"/>
            <w:vAlign w:val="top"/>
          </w:tcPr>
          <w:p>
            <w:pPr>
              <w:pStyle w:val="TableText"/>
              <w:jc w:val="left"/>
            </w:pPr>
            <w:r>
              <w:t xml:space="preserve">USD 94,800</w:t>
            </w:r>
          </w:p>
        </w:tc>
        <w:tc>
          <w:tcPr>
            <w:tcW w:w="3816" w:type="dxa"/>
            <w:vAlign w:val="top"/>
          </w:tcPr>
          <w:p>
            <w:pPr>
              <w:pStyle w:val="TableText"/>
              <w:jc w:val="left"/>
            </w:pPr>
            <w:r>
              <w:t xml:space="preserve">USD 74,800</w:t>
            </w:r>
          </w:p>
        </w:tc>
      </w:tr>
      <w:tr>
        <w:trPr>
          <w:cantSplit/>
        </w:trPr>
        <w:tc>
          <w:tcPr>
            <w:tcW w:w="2477" w:type="dxa"/>
            <w:shd w:val="clear" w:color="auto" w:fill="F4F7FB"/>
            <w:vAlign w:val="top"/>
          </w:tcPr>
          <w:p>
            <w:pPr>
              <w:pStyle w:val="TableText"/>
              <w:jc w:val="left"/>
            </w:pPr>
            <w:r>
              <w:t xml:space="preserve">Administration</w:t>
            </w:r>
          </w:p>
        </w:tc>
        <w:tc>
          <w:tcPr>
            <w:tcW w:w="2734" w:type="dxa"/>
            <w:shd w:val="clear" w:color="auto" w:fill="F4F7FB"/>
            <w:vAlign w:val="top"/>
          </w:tcPr>
          <w:p>
            <w:pPr>
              <w:pStyle w:val="TableText"/>
              <w:jc w:val="left"/>
            </w:pPr>
            <w:r>
              <w:t xml:space="preserve">Low</w:t>
            </w:r>
          </w:p>
        </w:tc>
        <w:tc>
          <w:tcPr>
            <w:tcW w:w="3816" w:type="dxa"/>
            <w:shd w:val="clear" w:color="auto" w:fill="F4F7FB"/>
            <w:vAlign w:val="top"/>
          </w:tcPr>
          <w:p>
            <w:pPr>
              <w:pStyle w:val="TableText"/>
              <w:jc w:val="left"/>
            </w:pPr>
            <w:r>
              <w:t xml:space="preserve">Quarterly reconciliation from audited order records</w:t>
            </w:r>
          </w:p>
        </w:tc>
      </w:tr>
      <w:tr>
        <w:trPr>
          <w:cantSplit/>
        </w:trPr>
        <w:tc>
          <w:tcPr>
            <w:tcW w:w="2477" w:type="dxa"/>
            <w:vAlign w:val="top"/>
          </w:tcPr>
          <w:p>
            <w:pPr>
              <w:pStyle w:val="TableText"/>
              <w:jc w:val="left"/>
            </w:pPr>
            <w:r>
              <w:t xml:space="preserve">Best when</w:t>
            </w:r>
          </w:p>
        </w:tc>
        <w:tc>
          <w:tcPr>
            <w:tcW w:w="2734" w:type="dxa"/>
            <w:vAlign w:val="top"/>
          </w:tcPr>
          <w:p>
            <w:pPr>
              <w:pStyle w:val="TableText"/>
              <w:jc w:val="left"/>
            </w:pPr>
            <w:r>
              <w:t xml:space="preserve">The budget is approved and certainty matters</w:t>
            </w:r>
          </w:p>
        </w:tc>
        <w:tc>
          <w:tcPr>
            <w:tcW w:w="3816" w:type="dxa"/>
            <w:vAlign w:val="top"/>
          </w:tcPr>
          <w:p>
            <w:pPr>
              <w:pStyle w:val="TableText"/>
              <w:jc w:val="left"/>
            </w:pPr>
            <w:r>
              <w:t xml:space="preserve">TASCO prefers to link cost to results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Payment milestones</w:t>
      </w:r>
      <w:bookmarkEnd w:id="2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50"/>
        <w:gridCol w:w="3959"/>
        <w:gridCol w:w="850"/>
        <w:gridCol w:w="1134"/>
        <w:gridCol w:w="1134"/>
      </w:tblGrid>
      <w:tr>
        <w:trPr>
          <w:cantSplit/>
          <w:tblHeader/>
        </w:trPr>
        <w:tc>
          <w:tcPr>
            <w:tcW w:w="1950" w:type="dxa"/>
            <w:shd w:val="clear" w:color="auto" w:fill="0F4761"/>
            <w:vAlign w:val="center"/>
          </w:tcPr>
          <w:p>
            <w:pPr>
              <w:pStyle w:val="TableHeading"/>
              <w:jc w:val="left"/>
            </w:pPr>
            <w:r>
              <w:rPr>
                <w:color w:val="FFFFFF"/>
              </w:rPr>
              <w:t xml:space="preserve">Milestone</w:t>
            </w:r>
          </w:p>
        </w:tc>
        <w:tc>
          <w:tcPr>
            <w:tcW w:w="3959" w:type="dxa"/>
            <w:shd w:val="clear" w:color="auto" w:fill="0F4761"/>
            <w:vAlign w:val="center"/>
          </w:tcPr>
          <w:p>
            <w:pPr>
              <w:pStyle w:val="TableHeading"/>
              <w:jc w:val="left"/>
            </w:pPr>
            <w:r>
              <w:rPr>
                <w:color w:val="FFFFFF"/>
              </w:rPr>
              <w:t xml:space="preserve">Trigger</w:t>
            </w:r>
          </w:p>
        </w:tc>
        <w:tc>
          <w:tcPr>
            <w:tcW w:w="850" w:type="dxa"/>
            <w:shd w:val="clear" w:color="auto" w:fill="0F4761"/>
            <w:vAlign w:val="center"/>
          </w:tcPr>
          <w:p>
            <w:pPr>
              <w:pStyle w:val="TableHeading"/>
              <w:jc w:val="right"/>
            </w:pPr>
            <w:r>
              <w:rPr>
                <w:color w:val="FFFFFF"/>
              </w:rPr>
              <w:t xml:space="preserve">Share</w:t>
            </w:r>
          </w:p>
        </w:tc>
        <w:tc>
          <w:tcPr>
            <w:tcW w:w="1134" w:type="dxa"/>
            <w:shd w:val="clear" w:color="auto" w:fill="0F4761"/>
            <w:vAlign w:val="center"/>
          </w:tcPr>
          <w:p>
            <w:pPr>
              <w:pStyle w:val="TableHeading"/>
              <w:jc w:val="right"/>
            </w:pPr>
            <w:r>
              <w:rPr>
                <w:color w:val="FFFFFF"/>
              </w:rPr>
              <w:t xml:space="preserve">Option A (USD)</w:t>
            </w:r>
          </w:p>
        </w:tc>
        <w:tc>
          <w:tcPr>
            <w:tcW w:w="1134" w:type="dxa"/>
            <w:shd w:val="clear" w:color="auto" w:fill="0F4761"/>
            <w:vAlign w:val="center"/>
          </w:tcPr>
          <w:p>
            <w:pPr>
              <w:pStyle w:val="TableHeading"/>
              <w:jc w:val="right"/>
            </w:pPr>
            <w:r>
              <w:rPr>
                <w:color w:val="FFFFFF"/>
              </w:rPr>
              <w:t xml:space="preserve">Option B (USD)</w:t>
            </w:r>
          </w:p>
        </w:tc>
      </w:tr>
      <w:tr>
        <w:trPr>
          <w:cantSplit/>
        </w:trPr>
        <w:tc>
          <w:tcPr>
            <w:tcW w:w="1950" w:type="dxa"/>
            <w:vAlign w:val="top"/>
          </w:tcPr>
          <w:p>
            <w:pPr>
              <w:pStyle w:val="TableText"/>
              <w:jc w:val="left"/>
            </w:pPr>
            <w:r>
              <w:t xml:space="preserve">M0 Mobilisation</w:t>
            </w:r>
          </w:p>
        </w:tc>
        <w:tc>
          <w:tcPr>
            <w:tcW w:w="3959" w:type="dxa"/>
            <w:vAlign w:val="top"/>
          </w:tcPr>
          <w:p>
            <w:pPr>
              <w:pStyle w:val="TableText"/>
              <w:jc w:val="left"/>
            </w:pPr>
            <w:r>
              <w:t xml:space="preserve">Contract signed, team onboarded (week 0)</w:t>
            </w:r>
          </w:p>
        </w:tc>
        <w:tc>
          <w:tcPr>
            <w:tcW w:w="850" w:type="dxa"/>
            <w:vAlign w:val="top"/>
          </w:tcPr>
          <w:p>
            <w:pPr>
              <w:pStyle w:val="TableText"/>
              <w:jc w:val="right"/>
            </w:pPr>
            <w:r>
              <w:t xml:space="preserve">15%</w:t>
            </w:r>
          </w:p>
        </w:tc>
        <w:tc>
          <w:tcPr>
            <w:tcW w:w="1134" w:type="dxa"/>
            <w:vAlign w:val="top"/>
          </w:tcPr>
          <w:p>
            <w:pPr>
              <w:pStyle w:val="TableText"/>
              <w:jc w:val="right"/>
            </w:pPr>
            <w:r>
              <w:t xml:space="preserve">14,220</w:t>
            </w:r>
          </w:p>
        </w:tc>
        <w:tc>
          <w:tcPr>
            <w:tcW w:w="1134" w:type="dxa"/>
            <w:vAlign w:val="top"/>
          </w:tcPr>
          <w:p>
            <w:pPr>
              <w:pStyle w:val="TableText"/>
              <w:jc w:val="right"/>
            </w:pPr>
            <w:r>
              <w:t xml:space="preserve">11,220</w:t>
            </w:r>
          </w:p>
        </w:tc>
      </w:tr>
      <w:tr>
        <w:trPr>
          <w:cantSplit/>
        </w:trPr>
        <w:tc>
          <w:tcPr>
            <w:tcW w:w="1950" w:type="dxa"/>
            <w:shd w:val="clear" w:color="auto" w:fill="F4F7FB"/>
            <w:vAlign w:val="top"/>
          </w:tcPr>
          <w:p>
            <w:pPr>
              <w:pStyle w:val="TableText"/>
              <w:jc w:val="left"/>
            </w:pPr>
            <w:r>
              <w:t xml:space="preserve">M1 Discovery complete</w:t>
            </w:r>
          </w:p>
        </w:tc>
        <w:tc>
          <w:tcPr>
            <w:tcW w:w="3959" w:type="dxa"/>
            <w:shd w:val="clear" w:color="auto" w:fill="F4F7FB"/>
            <w:vAlign w:val="top"/>
          </w:tcPr>
          <w:p>
            <w:pPr>
              <w:pStyle w:val="TableText"/>
              <w:jc w:val="left"/>
            </w:pPr>
            <w:r>
              <w:t xml:space="preserve">Discovery report and pilot design signed off (week 2)</w:t>
            </w:r>
          </w:p>
        </w:tc>
        <w:tc>
          <w:tcPr>
            <w:tcW w:w="850" w:type="dxa"/>
            <w:shd w:val="clear" w:color="auto" w:fill="F4F7FB"/>
            <w:vAlign w:val="top"/>
          </w:tcPr>
          <w:p>
            <w:pPr>
              <w:pStyle w:val="TableText"/>
              <w:jc w:val="right"/>
            </w:pPr>
            <w:r>
              <w:t xml:space="preserve">15%</w:t>
            </w:r>
          </w:p>
        </w:tc>
        <w:tc>
          <w:tcPr>
            <w:tcW w:w="1134" w:type="dxa"/>
            <w:shd w:val="clear" w:color="auto" w:fill="F4F7FB"/>
            <w:vAlign w:val="top"/>
          </w:tcPr>
          <w:p>
            <w:pPr>
              <w:pStyle w:val="TableText"/>
              <w:jc w:val="right"/>
            </w:pPr>
            <w:r>
              <w:t xml:space="preserve">14,220</w:t>
            </w:r>
          </w:p>
        </w:tc>
        <w:tc>
          <w:tcPr>
            <w:tcW w:w="1134" w:type="dxa"/>
            <w:shd w:val="clear" w:color="auto" w:fill="F4F7FB"/>
            <w:vAlign w:val="top"/>
          </w:tcPr>
          <w:p>
            <w:pPr>
              <w:pStyle w:val="TableText"/>
              <w:jc w:val="right"/>
            </w:pPr>
            <w:r>
              <w:t xml:space="preserve">11,220</w:t>
            </w:r>
          </w:p>
        </w:tc>
      </w:tr>
      <w:tr>
        <w:trPr>
          <w:cantSplit/>
        </w:trPr>
        <w:tc>
          <w:tcPr>
            <w:tcW w:w="1950" w:type="dxa"/>
            <w:vAlign w:val="top"/>
          </w:tcPr>
          <w:p>
            <w:pPr>
              <w:pStyle w:val="TableText"/>
              <w:jc w:val="left"/>
            </w:pPr>
            <w:r>
              <w:t xml:space="preserve">M2 Integrated build</w:t>
            </w:r>
          </w:p>
        </w:tc>
        <w:tc>
          <w:tcPr>
            <w:tcW w:w="3959" w:type="dxa"/>
            <w:vAlign w:val="top"/>
          </w:tcPr>
          <w:p>
            <w:pPr>
              <w:pStyle w:val="TableText"/>
              <w:jc w:val="left"/>
            </w:pPr>
            <w:r>
              <w:t xml:space="preserve">End-to-end demonstration on sandboxes (week 10)</w:t>
            </w:r>
          </w:p>
        </w:tc>
        <w:tc>
          <w:tcPr>
            <w:tcW w:w="850" w:type="dxa"/>
            <w:vAlign w:val="top"/>
          </w:tcPr>
          <w:p>
            <w:pPr>
              <w:pStyle w:val="TableText"/>
              <w:jc w:val="right"/>
            </w:pPr>
            <w:r>
              <w:t xml:space="preserve">25%</w:t>
            </w:r>
          </w:p>
        </w:tc>
        <w:tc>
          <w:tcPr>
            <w:tcW w:w="1134" w:type="dxa"/>
            <w:vAlign w:val="top"/>
          </w:tcPr>
          <w:p>
            <w:pPr>
              <w:pStyle w:val="TableText"/>
              <w:jc w:val="right"/>
            </w:pPr>
            <w:r>
              <w:t xml:space="preserve">23,700</w:t>
            </w:r>
          </w:p>
        </w:tc>
        <w:tc>
          <w:tcPr>
            <w:tcW w:w="1134" w:type="dxa"/>
            <w:vAlign w:val="top"/>
          </w:tcPr>
          <w:p>
            <w:pPr>
              <w:pStyle w:val="TableText"/>
              <w:jc w:val="right"/>
            </w:pPr>
            <w:r>
              <w:t xml:space="preserve">18,700</w:t>
            </w:r>
          </w:p>
        </w:tc>
      </w:tr>
      <w:tr>
        <w:trPr>
          <w:cantSplit/>
        </w:trPr>
        <w:tc>
          <w:tcPr>
            <w:tcW w:w="1950" w:type="dxa"/>
            <w:shd w:val="clear" w:color="auto" w:fill="F4F7FB"/>
            <w:vAlign w:val="top"/>
          </w:tcPr>
          <w:p>
            <w:pPr>
              <w:pStyle w:val="TableText"/>
              <w:jc w:val="left"/>
            </w:pPr>
            <w:r>
              <w:t xml:space="preserve">M3 Acceptance</w:t>
            </w:r>
          </w:p>
        </w:tc>
        <w:tc>
          <w:tcPr>
            <w:tcW w:w="3959" w:type="dxa"/>
            <w:shd w:val="clear" w:color="auto" w:fill="F4F7FB"/>
            <w:vAlign w:val="top"/>
          </w:tcPr>
          <w:p>
            <w:pPr>
              <w:pStyle w:val="TableText"/>
              <w:jc w:val="left"/>
            </w:pPr>
            <w:r>
              <w:t xml:space="preserve">UAT signed off; no open critical or high security findings (week 13)</w:t>
            </w:r>
          </w:p>
        </w:tc>
        <w:tc>
          <w:tcPr>
            <w:tcW w:w="850" w:type="dxa"/>
            <w:shd w:val="clear" w:color="auto" w:fill="F4F7FB"/>
            <w:vAlign w:val="top"/>
          </w:tcPr>
          <w:p>
            <w:pPr>
              <w:pStyle w:val="TableText"/>
              <w:jc w:val="right"/>
            </w:pPr>
            <w:r>
              <w:t xml:space="preserve">25%</w:t>
            </w:r>
          </w:p>
        </w:tc>
        <w:tc>
          <w:tcPr>
            <w:tcW w:w="1134" w:type="dxa"/>
            <w:shd w:val="clear" w:color="auto" w:fill="F4F7FB"/>
            <w:vAlign w:val="top"/>
          </w:tcPr>
          <w:p>
            <w:pPr>
              <w:pStyle w:val="TableText"/>
              <w:jc w:val="right"/>
            </w:pPr>
            <w:r>
              <w:t xml:space="preserve">23,700</w:t>
            </w:r>
          </w:p>
        </w:tc>
        <w:tc>
          <w:tcPr>
            <w:tcW w:w="1134" w:type="dxa"/>
            <w:shd w:val="clear" w:color="auto" w:fill="F4F7FB"/>
            <w:vAlign w:val="top"/>
          </w:tcPr>
          <w:p>
            <w:pPr>
              <w:pStyle w:val="TableText"/>
              <w:jc w:val="right"/>
            </w:pPr>
            <w:r>
              <w:t xml:space="preserve">18,700</w:t>
            </w:r>
          </w:p>
        </w:tc>
      </w:tr>
      <w:tr>
        <w:trPr>
          <w:cantSplit/>
        </w:trPr>
        <w:tc>
          <w:tcPr>
            <w:tcW w:w="1950" w:type="dxa"/>
            <w:vAlign w:val="top"/>
          </w:tcPr>
          <w:p>
            <w:pPr>
              <w:pStyle w:val="TableText"/>
              <w:jc w:val="left"/>
            </w:pPr>
            <w:r>
              <w:t xml:space="preserve">M4 Pilot live</w:t>
            </w:r>
          </w:p>
        </w:tc>
        <w:tc>
          <w:tcPr>
            <w:tcW w:w="3959" w:type="dxa"/>
            <w:vAlign w:val="top"/>
          </w:tcPr>
          <w:p>
            <w:pPr>
              <w:pStyle w:val="TableText"/>
              <w:jc w:val="left"/>
            </w:pPr>
            <w:r>
              <w:t xml:space="preserve">Go-live plus four weeks of hypercare within service levels (week 17)</w:t>
            </w:r>
          </w:p>
        </w:tc>
        <w:tc>
          <w:tcPr>
            <w:tcW w:w="850" w:type="dxa"/>
            <w:vAlign w:val="top"/>
          </w:tcPr>
          <w:p>
            <w:pPr>
              <w:pStyle w:val="TableText"/>
              <w:jc w:val="right"/>
            </w:pPr>
            <w:r>
              <w:t xml:space="preserve">20%</w:t>
            </w:r>
          </w:p>
        </w:tc>
        <w:tc>
          <w:tcPr>
            <w:tcW w:w="1134" w:type="dxa"/>
            <w:vAlign w:val="top"/>
          </w:tcPr>
          <w:p>
            <w:pPr>
              <w:pStyle w:val="TableText"/>
              <w:jc w:val="right"/>
            </w:pPr>
            <w:r>
              <w:t xml:space="preserve">18,960</w:t>
            </w:r>
          </w:p>
        </w:tc>
        <w:tc>
          <w:tcPr>
            <w:tcW w:w="1134" w:type="dxa"/>
            <w:vAlign w:val="top"/>
          </w:tcPr>
          <w:p>
            <w:pPr>
              <w:pStyle w:val="TableText"/>
              <w:jc w:val="right"/>
            </w:pPr>
            <w:r>
              <w:t xml:space="preserve">14,960</w:t>
            </w:r>
          </w:p>
        </w:tc>
      </w:tr>
      <w:tr>
        <w:trPr>
          <w:cantSplit/>
        </w:trPr>
        <w:tc>
          <w:tcPr>
            <w:tcW w:w="1950" w:type="dxa"/>
            <w:shd w:val="clear" w:color="auto" w:fill="F4F7FB"/>
            <w:vAlign w:val="top"/>
          </w:tcPr>
          <w:p>
            <w:pPr>
              <w:pStyle w:val="TableText"/>
              <w:jc w:val="left"/>
            </w:pPr>
            <w:r>
              <w:t xml:space="preserve">Total</w:t>
            </w:r>
          </w:p>
        </w:tc>
        <w:tc>
          <w:tcPr>
            <w:tcW w:w="3959" w:type="dxa"/>
            <w:shd w:val="clear" w:color="auto" w:fill="F4F7FB"/>
            <w:vAlign w:val="top"/>
          </w:tcPr>
          <w:p>
            <w:pPr>
              <w:pStyle w:val="TableText"/>
            </w:pPr>
          </w:p>
        </w:tc>
        <w:tc>
          <w:tcPr>
            <w:tcW w:w="850" w:type="dxa"/>
            <w:shd w:val="clear" w:color="auto" w:fill="F4F7FB"/>
            <w:vAlign w:val="top"/>
          </w:tcPr>
          <w:p>
            <w:pPr>
              <w:pStyle w:val="TableText"/>
              <w:jc w:val="right"/>
            </w:pPr>
            <w:r>
              <w:t xml:space="preserve">100%</w:t>
            </w:r>
          </w:p>
        </w:tc>
        <w:tc>
          <w:tcPr>
            <w:tcW w:w="1134" w:type="dxa"/>
            <w:shd w:val="clear" w:color="auto" w:fill="F4F7FB"/>
            <w:vAlign w:val="top"/>
          </w:tcPr>
          <w:p>
            <w:pPr>
              <w:pStyle w:val="TableText"/>
              <w:jc w:val="right"/>
            </w:pPr>
            <w:r>
              <w:t xml:space="preserve">94,800</w:t>
            </w:r>
          </w:p>
        </w:tc>
        <w:tc>
          <w:tcPr>
            <w:tcW w:w="1134" w:type="dxa"/>
            <w:shd w:val="clear" w:color="auto" w:fill="F4F7FB"/>
            <w:vAlign w:val="top"/>
          </w:tcPr>
          <w:p>
            <w:pPr>
              <w:pStyle w:val="TableText"/>
              <w:jc w:val="right"/>
            </w:pPr>
            <w:r>
              <w:t xml:space="preserve">74,800</w:t>
            </w:r>
          </w:p>
        </w:tc>
      </w:tr>
    </w:tbl>
    <w:p>
      <w:pPr>
        <w:pStyle w:val="BodyText"/>
        <w:spacing w:before="160"/>
      </w:pPr>
      <w:r>
        <w:t xml:space="preserve">Invoices are payable within 30 days. The scale phase is invoiced monthly in arrears against timesheets, up to the cap. The managed service is invoiced monthly in advance. Option B fees are invoiced quarterly from the platform’s transaction records.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8" w:name="_Toc300000024"/>
      <w:r>
        <w:rPr>
          <w:rStyle w:val="BookTitle"/>
          <w:bCs w:val="0"/>
          <w:i w:val="0"/>
          <w:iCs w:val="0"/>
          <w:spacing w:val="0"/>
        </w:rPr>
        <w:t xml:space="preserve">Run cost</w:t>
      </w:r>
      <w:bookmarkEnd w:id="28"/>
    </w:p>
    <w:p>
      <w:pPr>
        <w:pStyle w:val="Heading2"/>
      </w:pPr>
      <w:bookmarkStart w:id="29" w:name="_Toc300000025"/>
      <w:r>
        <w:t xml:space="preserve">Cloud infrastructure in Vietnam</w:t>
      </w:r>
      <w:bookmarkEnd w:id="29"/>
    </w:p>
    <w:p>
      <w:pPr>
        <w:pStyle w:val="FirstParagraph"/>
      </w:pPr>
      <w:r>
        <w:t xml:space="preserve">The estimate assumes managed Kubernetes and managed PostgreSQL from a provider in Vietnam, for example Viettel IDC, VNG Cloud or FPT Cloud, or the Tasco group’s private cloud. The provider is chosen in discovery and TASCO pays for infrastructure directly.</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069"/>
        <w:gridCol w:w="1193"/>
        <w:gridCol w:w="1322"/>
        <w:gridCol w:w="3443"/>
      </w:tblGrid>
      <w:tr>
        <w:trPr>
          <w:cantSplit/>
          <w:tblHeader/>
        </w:trPr>
        <w:tc>
          <w:tcPr>
            <w:tcW w:w="3069" w:type="dxa"/>
            <w:shd w:val="clear" w:color="auto" w:fill="0F4761"/>
            <w:vAlign w:val="center"/>
          </w:tcPr>
          <w:p>
            <w:pPr>
              <w:pStyle w:val="TableHeading"/>
              <w:jc w:val="left"/>
            </w:pPr>
            <w:r>
              <w:rPr>
                <w:color w:val="FFFFFF"/>
              </w:rPr>
              <w:t xml:space="preserve">Component</w:t>
            </w:r>
          </w:p>
        </w:tc>
        <w:tc>
          <w:tcPr>
            <w:tcW w:w="1193" w:type="dxa"/>
            <w:shd w:val="clear" w:color="auto" w:fill="0F4761"/>
            <w:vAlign w:val="center"/>
          </w:tcPr>
          <w:p>
            <w:pPr>
              <w:pStyle w:val="TableHeading"/>
              <w:jc w:val="right"/>
            </w:pPr>
            <w:r>
              <w:rPr>
                <w:color w:val="FFFFFF"/>
              </w:rPr>
              <w:t xml:space="preserve">Pilot (USD a month)</w:t>
            </w:r>
          </w:p>
        </w:tc>
        <w:tc>
          <w:tcPr>
            <w:tcW w:w="1322" w:type="dxa"/>
            <w:shd w:val="clear" w:color="auto" w:fill="0F4761"/>
            <w:vAlign w:val="center"/>
          </w:tcPr>
          <w:p>
            <w:pPr>
              <w:pStyle w:val="TableHeading"/>
              <w:jc w:val="right"/>
            </w:pPr>
            <w:r>
              <w:rPr>
                <w:color w:val="FFFFFF"/>
              </w:rPr>
              <w:t xml:space="preserve">Full scale (USD a month)</w:t>
            </w:r>
          </w:p>
        </w:tc>
        <w:tc>
          <w:tcPr>
            <w:tcW w:w="3443" w:type="dxa"/>
            <w:shd w:val="clear" w:color="auto" w:fill="0F4761"/>
            <w:vAlign w:val="center"/>
          </w:tcPr>
          <w:p>
            <w:pPr>
              <w:pStyle w:val="TableHeading"/>
              <w:jc w:val="left"/>
            </w:pPr>
            <w:r>
              <w:rPr>
                <w:color w:val="FFFFFF"/>
              </w:rPr>
              <w:t xml:space="preserve">Sizing basis</w:t>
            </w:r>
          </w:p>
        </w:tc>
      </w:tr>
      <w:tr>
        <w:trPr>
          <w:cantSplit/>
        </w:trPr>
        <w:tc>
          <w:tcPr>
            <w:tcW w:w="3069" w:type="dxa"/>
            <w:vAlign w:val="top"/>
          </w:tcPr>
          <w:p>
            <w:pPr>
              <w:pStyle w:val="TableText"/>
              <w:jc w:val="left"/>
            </w:pPr>
            <w:r>
              <w:t xml:space="preserve">Application nodes (Kubernetes)</w:t>
            </w:r>
          </w:p>
        </w:tc>
        <w:tc>
          <w:tcPr>
            <w:tcW w:w="1193" w:type="dxa"/>
            <w:vAlign w:val="top"/>
          </w:tcPr>
          <w:p>
            <w:pPr>
              <w:pStyle w:val="TableText"/>
              <w:jc w:val="right"/>
            </w:pPr>
            <w:r>
              <w:t xml:space="preserve">450</w:t>
            </w:r>
          </w:p>
        </w:tc>
        <w:tc>
          <w:tcPr>
            <w:tcW w:w="1322" w:type="dxa"/>
            <w:vAlign w:val="top"/>
          </w:tcPr>
          <w:p>
            <w:pPr>
              <w:pStyle w:val="TableText"/>
              <w:jc w:val="right"/>
            </w:pPr>
            <w:r>
              <w:t xml:space="preserve">900</w:t>
            </w:r>
          </w:p>
        </w:tc>
        <w:tc>
          <w:tcPr>
            <w:tcW w:w="3443" w:type="dxa"/>
            <w:vAlign w:val="top"/>
          </w:tcPr>
          <w:p>
            <w:pPr>
              <w:pStyle w:val="TableText"/>
              <w:jc w:val="left"/>
            </w:pPr>
            <w:r>
              <w:t xml:space="preserve">3 to 6 nodes of 4 vCPU and 16 GB</w:t>
            </w:r>
          </w:p>
        </w:tc>
      </w:tr>
      <w:tr>
        <w:trPr>
          <w:cantSplit/>
        </w:trPr>
        <w:tc>
          <w:tcPr>
            <w:tcW w:w="3069" w:type="dxa"/>
            <w:shd w:val="clear" w:color="auto" w:fill="F4F7FB"/>
            <w:vAlign w:val="top"/>
          </w:tcPr>
          <w:p>
            <w:pPr>
              <w:pStyle w:val="TableText"/>
              <w:jc w:val="left"/>
            </w:pPr>
            <w:r>
              <w:t xml:space="preserve">PostgreSQL HA primary and standby</w:t>
            </w:r>
          </w:p>
        </w:tc>
        <w:tc>
          <w:tcPr>
            <w:tcW w:w="1193" w:type="dxa"/>
            <w:shd w:val="clear" w:color="auto" w:fill="F4F7FB"/>
            <w:vAlign w:val="top"/>
          </w:tcPr>
          <w:p>
            <w:pPr>
              <w:pStyle w:val="TableText"/>
              <w:jc w:val="right"/>
            </w:pPr>
            <w:r>
              <w:t xml:space="preserve">600</w:t>
            </w:r>
          </w:p>
        </w:tc>
        <w:tc>
          <w:tcPr>
            <w:tcW w:w="1322" w:type="dxa"/>
            <w:shd w:val="clear" w:color="auto" w:fill="F4F7FB"/>
            <w:vAlign w:val="top"/>
          </w:tcPr>
          <w:p>
            <w:pPr>
              <w:pStyle w:val="TableText"/>
              <w:jc w:val="right"/>
            </w:pPr>
            <w:r>
              <w:t xml:space="preserve">1,400</w:t>
            </w:r>
          </w:p>
        </w:tc>
        <w:tc>
          <w:tcPr>
            <w:tcW w:w="3443" w:type="dxa"/>
            <w:shd w:val="clear" w:color="auto" w:fill="F4F7FB"/>
            <w:vAlign w:val="top"/>
          </w:tcPr>
          <w:p>
            <w:pPr>
              <w:pStyle w:val="TableText"/>
              <w:jc w:val="left"/>
            </w:pPr>
            <w:r>
              <w:t xml:space="preserve">8 vCPU and 32 GB, rising to 16 vCPU and 64 GB plus a reporting replica</w:t>
            </w:r>
          </w:p>
        </w:tc>
      </w:tr>
      <w:tr>
        <w:trPr>
          <w:cantSplit/>
        </w:trPr>
        <w:tc>
          <w:tcPr>
            <w:tcW w:w="3069" w:type="dxa"/>
            <w:vAlign w:val="top"/>
          </w:tcPr>
          <w:p>
            <w:pPr>
              <w:pStyle w:val="TableText"/>
              <w:jc w:val="left"/>
            </w:pPr>
            <w:r>
              <w:t xml:space="preserve">Backups and object storage (35-day PITR)</w:t>
            </w:r>
          </w:p>
        </w:tc>
        <w:tc>
          <w:tcPr>
            <w:tcW w:w="1193" w:type="dxa"/>
            <w:vAlign w:val="top"/>
          </w:tcPr>
          <w:p>
            <w:pPr>
              <w:pStyle w:val="TableText"/>
              <w:jc w:val="right"/>
            </w:pPr>
            <w:r>
              <w:t xml:space="preserve">80</w:t>
            </w:r>
          </w:p>
        </w:tc>
        <w:tc>
          <w:tcPr>
            <w:tcW w:w="1322" w:type="dxa"/>
            <w:vAlign w:val="top"/>
          </w:tcPr>
          <w:p>
            <w:pPr>
              <w:pStyle w:val="TableText"/>
              <w:jc w:val="right"/>
            </w:pPr>
            <w:r>
              <w:t xml:space="preserve">150</w:t>
            </w:r>
          </w:p>
        </w:tc>
        <w:tc>
          <w:tcPr>
            <w:tcW w:w="3443" w:type="dxa"/>
            <w:vAlign w:val="top"/>
          </w:tcPr>
          <w:p>
            <w:pPr>
              <w:pStyle w:val="TableText"/>
              <w:jc w:val="left"/>
            </w:pPr>
            <w:r>
              <w:t xml:space="preserve">NFR-051 to NFR-053</w:t>
            </w:r>
          </w:p>
        </w:tc>
      </w:tr>
      <w:tr>
        <w:trPr>
          <w:cantSplit/>
        </w:trPr>
        <w:tc>
          <w:tcPr>
            <w:tcW w:w="3069" w:type="dxa"/>
            <w:shd w:val="clear" w:color="auto" w:fill="F4F7FB"/>
            <w:vAlign w:val="top"/>
          </w:tcPr>
          <w:p>
            <w:pPr>
              <w:pStyle w:val="TableText"/>
              <w:jc w:val="left"/>
            </w:pPr>
            <w:r>
              <w:t xml:space="preserve">Load balancer, WAF and egress</w:t>
            </w:r>
          </w:p>
        </w:tc>
        <w:tc>
          <w:tcPr>
            <w:tcW w:w="1193" w:type="dxa"/>
            <w:shd w:val="clear" w:color="auto" w:fill="F4F7FB"/>
            <w:vAlign w:val="top"/>
          </w:tcPr>
          <w:p>
            <w:pPr>
              <w:pStyle w:val="TableText"/>
              <w:jc w:val="right"/>
            </w:pPr>
            <w:r>
              <w:t xml:space="preserve">150</w:t>
            </w:r>
          </w:p>
        </w:tc>
        <w:tc>
          <w:tcPr>
            <w:tcW w:w="1322" w:type="dxa"/>
            <w:shd w:val="clear" w:color="auto" w:fill="F4F7FB"/>
            <w:vAlign w:val="top"/>
          </w:tcPr>
          <w:p>
            <w:pPr>
              <w:pStyle w:val="TableText"/>
              <w:jc w:val="right"/>
            </w:pPr>
            <w:r>
              <w:t xml:space="preserve">250</w:t>
            </w:r>
          </w:p>
        </w:tc>
        <w:tc>
          <w:tcPr>
            <w:tcW w:w="3443" w:type="dxa"/>
            <w:shd w:val="clear" w:color="auto" w:fill="F4F7FB"/>
            <w:vAlign w:val="top"/>
          </w:tcPr>
          <w:p>
            <w:pPr>
              <w:pStyle w:val="TableText"/>
              <w:jc w:val="left"/>
            </w:pPr>
            <w:r>
              <w:t xml:space="preserve">Rate limiting at the edge</w:t>
            </w:r>
          </w:p>
        </w:tc>
      </w:tr>
      <w:tr>
        <w:trPr>
          <w:cantSplit/>
        </w:trPr>
        <w:tc>
          <w:tcPr>
            <w:tcW w:w="3069" w:type="dxa"/>
            <w:vAlign w:val="top"/>
          </w:tcPr>
          <w:p>
            <w:pPr>
              <w:pStyle w:val="TableText"/>
              <w:jc w:val="left"/>
            </w:pPr>
            <w:r>
              <w:t xml:space="preserve">Monitoring, logs and traces</w:t>
            </w:r>
          </w:p>
        </w:tc>
        <w:tc>
          <w:tcPr>
            <w:tcW w:w="1193" w:type="dxa"/>
            <w:vAlign w:val="top"/>
          </w:tcPr>
          <w:p>
            <w:pPr>
              <w:pStyle w:val="TableText"/>
              <w:jc w:val="right"/>
            </w:pPr>
            <w:r>
              <w:t xml:space="preserve">150</w:t>
            </w:r>
          </w:p>
        </w:tc>
        <w:tc>
          <w:tcPr>
            <w:tcW w:w="1322" w:type="dxa"/>
            <w:vAlign w:val="top"/>
          </w:tcPr>
          <w:p>
            <w:pPr>
              <w:pStyle w:val="TableText"/>
              <w:jc w:val="right"/>
            </w:pPr>
            <w:r>
              <w:t xml:space="preserve">300</w:t>
            </w:r>
          </w:p>
        </w:tc>
        <w:tc>
          <w:tcPr>
            <w:tcW w:w="3443" w:type="dxa"/>
            <w:vAlign w:val="top"/>
          </w:tcPr>
          <w:p>
            <w:pPr>
              <w:pStyle w:val="TableText"/>
              <w:jc w:val="left"/>
            </w:pPr>
            <w:r>
              <w:t xml:space="preserve">NFR-047 to NFR-049</w:t>
            </w:r>
          </w:p>
        </w:tc>
      </w:tr>
      <w:tr>
        <w:trPr>
          <w:cantSplit/>
        </w:trPr>
        <w:tc>
          <w:tcPr>
            <w:tcW w:w="3069" w:type="dxa"/>
            <w:shd w:val="clear" w:color="auto" w:fill="F4F7FB"/>
            <w:vAlign w:val="top"/>
          </w:tcPr>
          <w:p>
            <w:pPr>
              <w:pStyle w:val="TableText"/>
              <w:jc w:val="left"/>
            </w:pPr>
            <w:r>
              <w:t xml:space="preserve">Non-production environments</w:t>
            </w:r>
          </w:p>
        </w:tc>
        <w:tc>
          <w:tcPr>
            <w:tcW w:w="1193" w:type="dxa"/>
            <w:shd w:val="clear" w:color="auto" w:fill="F4F7FB"/>
            <w:vAlign w:val="top"/>
          </w:tcPr>
          <w:p>
            <w:pPr>
              <w:pStyle w:val="TableText"/>
              <w:jc w:val="right"/>
            </w:pPr>
            <w:r>
              <w:t xml:space="preserve">200</w:t>
            </w:r>
          </w:p>
        </w:tc>
        <w:tc>
          <w:tcPr>
            <w:tcW w:w="1322" w:type="dxa"/>
            <w:shd w:val="clear" w:color="auto" w:fill="F4F7FB"/>
            <w:vAlign w:val="top"/>
          </w:tcPr>
          <w:p>
            <w:pPr>
              <w:pStyle w:val="TableText"/>
              <w:jc w:val="right"/>
            </w:pPr>
            <w:r>
              <w:t xml:space="preserve">350</w:t>
            </w:r>
          </w:p>
        </w:tc>
        <w:tc>
          <w:tcPr>
            <w:tcW w:w="3443" w:type="dxa"/>
            <w:shd w:val="clear" w:color="auto" w:fill="F4F7FB"/>
            <w:vAlign w:val="top"/>
          </w:tcPr>
          <w:p>
            <w:pPr>
              <w:pStyle w:val="TableText"/>
              <w:jc w:val="left"/>
            </w:pPr>
            <w:r>
              <w:t xml:space="preserve">Synthetic or masked data only (NFR-033)</w:t>
            </w:r>
          </w:p>
        </w:tc>
      </w:tr>
      <w:tr>
        <w:trPr>
          <w:cantSplit/>
        </w:trPr>
        <w:tc>
          <w:tcPr>
            <w:tcW w:w="3069" w:type="dxa"/>
            <w:vAlign w:val="top"/>
          </w:tcPr>
          <w:p>
            <w:pPr>
              <w:pStyle w:val="TableText"/>
              <w:jc w:val="left"/>
            </w:pPr>
            <w:r>
              <w:t xml:space="preserve">Secrets, key management and other</w:t>
            </w:r>
          </w:p>
        </w:tc>
        <w:tc>
          <w:tcPr>
            <w:tcW w:w="1193" w:type="dxa"/>
            <w:vAlign w:val="top"/>
          </w:tcPr>
          <w:p>
            <w:pPr>
              <w:pStyle w:val="TableText"/>
              <w:jc w:val="right"/>
            </w:pPr>
            <w:r>
              <w:t xml:space="preserve">20</w:t>
            </w:r>
          </w:p>
        </w:tc>
        <w:tc>
          <w:tcPr>
            <w:tcW w:w="1322" w:type="dxa"/>
            <w:vAlign w:val="top"/>
          </w:tcPr>
          <w:p>
            <w:pPr>
              <w:pStyle w:val="TableText"/>
              <w:jc w:val="right"/>
            </w:pPr>
            <w:r>
              <w:t xml:space="preserve">50</w:t>
            </w:r>
          </w:p>
        </w:tc>
        <w:tc>
          <w:tcPr>
            <w:tcW w:w="3443" w:type="dxa"/>
            <w:vAlign w:val="top"/>
          </w:tcPr>
          <w:p>
            <w:pPr>
              <w:pStyle w:val="TableText"/>
              <w:jc w:val="left"/>
            </w:pPr>
            <w:r>
              <w:t xml:space="preserve">Key rotation (NFR-023)</w:t>
            </w:r>
          </w:p>
        </w:tc>
      </w:tr>
      <w:tr>
        <w:trPr>
          <w:cantSplit/>
        </w:trPr>
        <w:tc>
          <w:tcPr>
            <w:tcW w:w="3069" w:type="dxa"/>
            <w:shd w:val="clear" w:color="auto" w:fill="F4F7FB"/>
            <w:vAlign w:val="top"/>
          </w:tcPr>
          <w:p>
            <w:pPr>
              <w:pStyle w:val="TableText"/>
              <w:jc w:val="left"/>
            </w:pPr>
            <w:r>
              <w:t xml:space="preserve">Total</w:t>
            </w:r>
          </w:p>
        </w:tc>
        <w:tc>
          <w:tcPr>
            <w:tcW w:w="1193" w:type="dxa"/>
            <w:shd w:val="clear" w:color="auto" w:fill="F4F7FB"/>
            <w:vAlign w:val="top"/>
          </w:tcPr>
          <w:p>
            <w:pPr>
              <w:pStyle w:val="TableText"/>
              <w:jc w:val="right"/>
            </w:pPr>
            <w:r>
              <w:t xml:space="preserve">about 1,650</w:t>
            </w:r>
          </w:p>
        </w:tc>
        <w:tc>
          <w:tcPr>
            <w:tcW w:w="1322" w:type="dxa"/>
            <w:shd w:val="clear" w:color="auto" w:fill="F4F7FB"/>
            <w:vAlign w:val="top"/>
          </w:tcPr>
          <w:p>
            <w:pPr>
              <w:pStyle w:val="TableText"/>
              <w:jc w:val="right"/>
            </w:pPr>
            <w:r>
              <w:t xml:space="preserve">about 3,400</w:t>
            </w:r>
          </w:p>
        </w:tc>
        <w:tc>
          <w:tcPr>
            <w:tcW w:w="3443" w:type="dxa"/>
            <w:shd w:val="clear" w:color="auto" w:fill="F4F7FB"/>
            <w:vAlign w:val="top"/>
          </w:tcPr>
          <w:p>
            <w:pPr>
              <w:pStyle w:val="TableText"/>
            </w:pPr>
          </w:p>
        </w:tc>
      </w:tr>
    </w:tbl>
    <w:p>
      <w:pPr>
        <w:pStyle w:val="Heading2"/>
      </w:pPr>
      <w:bookmarkStart w:id="30" w:name="_Toc300000026"/>
      <w:r>
        <w:t xml:space="preserve">Usage costs</w:t>
      </w:r>
      <w:bookmarkEnd w:id="30"/>
    </w:p>
    <w:p>
      <w:pPr>
        <w:pStyle w:val="FirstParagraph"/>
      </w:pPr>
      <w:r>
        <w:t xml:space="preserve">Usage costs are paid by TASCO or VETC directly to the providers and are not in the TCO. Rates are the channel costs configured in the platform; volumes are the base case at full scale from TGP-BUS-01.</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25"/>
        <w:gridCol w:w="2042"/>
        <w:gridCol w:w="2683"/>
        <w:gridCol w:w="1577"/>
      </w:tblGrid>
      <w:tr>
        <w:trPr>
          <w:cantSplit/>
          <w:tblHeader/>
        </w:trPr>
        <w:tc>
          <w:tcPr>
            <w:tcW w:w="2725" w:type="dxa"/>
            <w:shd w:val="clear" w:color="auto" w:fill="0F4761"/>
            <w:vAlign w:val="center"/>
          </w:tcPr>
          <w:p>
            <w:pPr>
              <w:pStyle w:val="TableHeading"/>
              <w:jc w:val="left"/>
            </w:pPr>
            <w:r>
              <w:rPr>
                <w:color w:val="FFFFFF"/>
              </w:rPr>
              <w:t xml:space="preserve">Item</w:t>
            </w:r>
          </w:p>
        </w:tc>
        <w:tc>
          <w:tcPr>
            <w:tcW w:w="2042" w:type="dxa"/>
            <w:shd w:val="clear" w:color="auto" w:fill="0F4761"/>
            <w:vAlign w:val="center"/>
          </w:tcPr>
          <w:p>
            <w:pPr>
              <w:pStyle w:val="TableHeading"/>
              <w:jc w:val="right"/>
            </w:pPr>
            <w:r>
              <w:rPr>
                <w:color w:val="FFFFFF"/>
              </w:rPr>
              <w:t xml:space="preserve">Unit cost (VND)</w:t>
            </w:r>
          </w:p>
        </w:tc>
        <w:tc>
          <w:tcPr>
            <w:tcW w:w="2683" w:type="dxa"/>
            <w:shd w:val="clear" w:color="auto" w:fill="0F4761"/>
            <w:vAlign w:val="center"/>
          </w:tcPr>
          <w:p>
            <w:pPr>
              <w:pStyle w:val="TableHeading"/>
              <w:jc w:val="right"/>
            </w:pPr>
            <w:r>
              <w:rPr>
                <w:color w:val="FFFFFF"/>
              </w:rPr>
              <w:t xml:space="preserve">Base-case volume</w:t>
            </w:r>
          </w:p>
        </w:tc>
        <w:tc>
          <w:tcPr>
            <w:tcW w:w="1577" w:type="dxa"/>
            <w:shd w:val="clear" w:color="auto" w:fill="0F4761"/>
            <w:vAlign w:val="center"/>
          </w:tcPr>
          <w:p>
            <w:pPr>
              <w:pStyle w:val="TableHeading"/>
              <w:jc w:val="right"/>
            </w:pPr>
            <w:r>
              <w:rPr>
                <w:color w:val="FFFFFF"/>
              </w:rPr>
              <w:t xml:space="preserve">Per year (VND)</w:t>
            </w:r>
          </w:p>
        </w:tc>
      </w:tr>
      <w:tr>
        <w:trPr>
          <w:cantSplit/>
        </w:trPr>
        <w:tc>
          <w:tcPr>
            <w:tcW w:w="2725" w:type="dxa"/>
            <w:vAlign w:val="top"/>
          </w:tcPr>
          <w:p>
            <w:pPr>
              <w:pStyle w:val="TableText"/>
              <w:jc w:val="left"/>
            </w:pPr>
            <w:r>
              <w:t xml:space="preserve">Voice AI minutes</w:t>
            </w:r>
          </w:p>
        </w:tc>
        <w:tc>
          <w:tcPr>
            <w:tcW w:w="2042" w:type="dxa"/>
            <w:vAlign w:val="top"/>
          </w:tcPr>
          <w:p>
            <w:pPr>
              <w:pStyle w:val="TableText"/>
              <w:jc w:val="right"/>
            </w:pPr>
            <w:r>
              <w:t xml:space="preserve">1,500 a minute × 1.6 minutes</w:t>
            </w:r>
          </w:p>
        </w:tc>
        <w:tc>
          <w:tcPr>
            <w:tcW w:w="2683" w:type="dxa"/>
            <w:vAlign w:val="top"/>
          </w:tcPr>
          <w:p>
            <w:pPr>
              <w:pStyle w:val="TableText"/>
              <w:jc w:val="right"/>
            </w:pPr>
            <w:r>
              <w:t xml:space="preserve">497,250 calls</w:t>
            </w:r>
          </w:p>
        </w:tc>
        <w:tc>
          <w:tcPr>
            <w:tcW w:w="1577" w:type="dxa"/>
            <w:vAlign w:val="top"/>
          </w:tcPr>
          <w:p>
            <w:pPr>
              <w:pStyle w:val="TableText"/>
              <w:jc w:val="right"/>
            </w:pPr>
            <w:r>
              <w:t xml:space="preserve">about 1.2 billion</w:t>
            </w:r>
          </w:p>
        </w:tc>
      </w:tr>
      <w:tr>
        <w:trPr>
          <w:cantSplit/>
        </w:trPr>
        <w:tc>
          <w:tcPr>
            <w:tcW w:w="2725" w:type="dxa"/>
            <w:shd w:val="clear" w:color="auto" w:fill="F4F7FB"/>
            <w:vAlign w:val="top"/>
          </w:tcPr>
          <w:p>
            <w:pPr>
              <w:pStyle w:val="TableText"/>
              <w:jc w:val="left"/>
            </w:pPr>
            <w:r>
              <w:t xml:space="preserve">Zalo ZNS and SMS</w:t>
            </w:r>
          </w:p>
        </w:tc>
        <w:tc>
          <w:tcPr>
            <w:tcW w:w="2042" w:type="dxa"/>
            <w:shd w:val="clear" w:color="auto" w:fill="F4F7FB"/>
            <w:vAlign w:val="top"/>
          </w:tcPr>
          <w:p>
            <w:pPr>
              <w:pStyle w:val="TableText"/>
              <w:jc w:val="right"/>
            </w:pPr>
            <w:r>
              <w:t xml:space="preserve">300 and 700 a message</w:t>
            </w:r>
          </w:p>
        </w:tc>
        <w:tc>
          <w:tcPr>
            <w:tcW w:w="2683" w:type="dxa"/>
            <w:shd w:val="clear" w:color="auto" w:fill="F4F7FB"/>
            <w:vAlign w:val="top"/>
          </w:tcPr>
          <w:p>
            <w:pPr>
              <w:pStyle w:val="TableText"/>
              <w:jc w:val="right"/>
            </w:pPr>
            <w:r>
              <w:t xml:space="preserve">5 sends to each of about 2.8 million profiles</w:t>
            </w:r>
          </w:p>
        </w:tc>
        <w:tc>
          <w:tcPr>
            <w:tcW w:w="1577" w:type="dxa"/>
            <w:shd w:val="clear" w:color="auto" w:fill="F4F7FB"/>
            <w:vAlign w:val="top"/>
          </w:tcPr>
          <w:p>
            <w:pPr>
              <w:pStyle w:val="TableText"/>
              <w:jc w:val="right"/>
            </w:pPr>
            <w:r>
              <w:t xml:space="preserve">about 2.2 billion</w:t>
            </w:r>
          </w:p>
        </w:tc>
      </w:tr>
      <w:tr>
        <w:trPr>
          <w:cantSplit/>
        </w:trPr>
        <w:tc>
          <w:tcPr>
            <w:tcW w:w="2725" w:type="dxa"/>
            <w:vAlign w:val="top"/>
          </w:tcPr>
          <w:p>
            <w:pPr>
              <w:pStyle w:val="TableText"/>
              <w:jc w:val="left"/>
            </w:pPr>
            <w:r>
              <w:t xml:space="preserve">App push</w:t>
            </w:r>
          </w:p>
        </w:tc>
        <w:tc>
          <w:tcPr>
            <w:tcW w:w="2042" w:type="dxa"/>
            <w:vAlign w:val="top"/>
          </w:tcPr>
          <w:p>
            <w:pPr>
              <w:pStyle w:val="TableText"/>
              <w:jc w:val="right"/>
            </w:pPr>
            <w:r>
              <w:t xml:space="preserve">0</w:t>
            </w:r>
          </w:p>
        </w:tc>
        <w:tc>
          <w:tcPr>
            <w:tcW w:w="2683" w:type="dxa"/>
            <w:vAlign w:val="top"/>
          </w:tcPr>
          <w:p>
            <w:pPr>
              <w:pStyle w:val="TableText"/>
              <w:jc w:val="right"/>
            </w:pPr>
            <w:r>
              <w:t xml:space="preserve">Not applicable</w:t>
            </w:r>
          </w:p>
        </w:tc>
        <w:tc>
          <w:tcPr>
            <w:tcW w:w="1577" w:type="dxa"/>
            <w:vAlign w:val="top"/>
          </w:tcPr>
          <w:p>
            <w:pPr>
              <w:pStyle w:val="TableText"/>
              <w:jc w:val="right"/>
            </w:pPr>
            <w:r>
              <w:t xml:space="preserve">0</w:t>
            </w:r>
          </w:p>
        </w:tc>
      </w:tr>
      <w:tr>
        <w:trPr>
          <w:cantSplit/>
        </w:trPr>
        <w:tc>
          <w:tcPr>
            <w:tcW w:w="2725" w:type="dxa"/>
            <w:shd w:val="clear" w:color="auto" w:fill="F4F7FB"/>
            <w:vAlign w:val="top"/>
          </w:tcPr>
          <w:p>
            <w:pPr>
              <w:pStyle w:val="TableText"/>
              <w:jc w:val="left"/>
            </w:pPr>
            <w:r>
              <w:t xml:space="preserve">Telesales (internal staff time, for reference)</w:t>
            </w:r>
          </w:p>
        </w:tc>
        <w:tc>
          <w:tcPr>
            <w:tcW w:w="2042" w:type="dxa"/>
            <w:shd w:val="clear" w:color="auto" w:fill="F4F7FB"/>
            <w:vAlign w:val="top"/>
          </w:tcPr>
          <w:p>
            <w:pPr>
              <w:pStyle w:val="TableText"/>
              <w:jc w:val="right"/>
            </w:pPr>
            <w:r>
              <w:t xml:space="preserve">6,000 a minute × 4.5 minutes</w:t>
            </w:r>
          </w:p>
        </w:tc>
        <w:tc>
          <w:tcPr>
            <w:tcW w:w="2683" w:type="dxa"/>
            <w:shd w:val="clear" w:color="auto" w:fill="F4F7FB"/>
            <w:vAlign w:val="top"/>
          </w:tcPr>
          <w:p>
            <w:pPr>
              <w:pStyle w:val="TableText"/>
              <w:jc w:val="right"/>
            </w:pPr>
            <w:r>
              <w:t xml:space="preserve">50,000 calls</w:t>
            </w:r>
          </w:p>
        </w:tc>
        <w:tc>
          <w:tcPr>
            <w:tcW w:w="1577" w:type="dxa"/>
            <w:shd w:val="clear" w:color="auto" w:fill="F4F7FB"/>
            <w:vAlign w:val="top"/>
          </w:tcPr>
          <w:p>
            <w:pPr>
              <w:pStyle w:val="TableText"/>
              <w:jc w:val="right"/>
            </w:pPr>
            <w:r>
              <w:t xml:space="preserve">about 1.35 billion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1" w:name="_Toc300000027"/>
      <w:r>
        <w:rPr>
          <w:rStyle w:val="BookTitle"/>
          <w:bCs w:val="0"/>
          <w:i w:val="0"/>
          <w:iCs w:val="0"/>
          <w:spacing w:val="0"/>
        </w:rPr>
        <w:t xml:space="preserve">Total cost of ownership</w:t>
      </w:r>
      <w:bookmarkEnd w:id="31"/>
    </w:p>
    <w:p>
      <w:pPr>
        <w:pStyle w:val="FirstParagraph"/>
      </w:pPr>
      <w:r>
        <w:t xml:space="preserve">The table shows the expected cost to TASCO over three years with Option A if the pilot succeeds and the platform is scaled to the full base. Year 1 runs from November 2026 to October 2027. The scale phase starts only after a successful pilot read-out.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125"/>
        <w:gridCol w:w="1162"/>
        <w:gridCol w:w="1162"/>
        <w:gridCol w:w="1162"/>
        <w:gridCol w:w="1416"/>
      </w:tblGrid>
      <w:tr>
        <w:trPr>
          <w:cantSplit/>
          <w:tblHeader/>
        </w:trPr>
        <w:tc>
          <w:tcPr>
            <w:tcW w:w="4125" w:type="dxa"/>
            <w:shd w:val="clear" w:color="auto" w:fill="0F4761"/>
            <w:vAlign w:val="center"/>
          </w:tcPr>
          <w:p>
            <w:pPr>
              <w:pStyle w:val="TableHeading"/>
              <w:jc w:val="left"/>
            </w:pPr>
            <w:r>
              <w:rPr>
                <w:color w:val="FFFFFF"/>
              </w:rPr>
              <w:t xml:space="preserve">USD</w:t>
            </w:r>
          </w:p>
        </w:tc>
        <w:tc>
          <w:tcPr>
            <w:tcW w:w="1162" w:type="dxa"/>
            <w:shd w:val="clear" w:color="auto" w:fill="0F4761"/>
            <w:vAlign w:val="center"/>
          </w:tcPr>
          <w:p>
            <w:pPr>
              <w:pStyle w:val="TableHeading"/>
              <w:jc w:val="right"/>
            </w:pPr>
            <w:r>
              <w:rPr>
                <w:color w:val="FFFFFF"/>
              </w:rPr>
              <w:t xml:space="preserve">Year 1</w:t>
            </w:r>
          </w:p>
        </w:tc>
        <w:tc>
          <w:tcPr>
            <w:tcW w:w="1162" w:type="dxa"/>
            <w:shd w:val="clear" w:color="auto" w:fill="0F4761"/>
            <w:vAlign w:val="center"/>
          </w:tcPr>
          <w:p>
            <w:pPr>
              <w:pStyle w:val="TableHeading"/>
              <w:jc w:val="right"/>
            </w:pPr>
            <w:r>
              <w:rPr>
                <w:color w:val="FFFFFF"/>
              </w:rPr>
              <w:t xml:space="preserve">Year 2</w:t>
            </w:r>
          </w:p>
        </w:tc>
        <w:tc>
          <w:tcPr>
            <w:tcW w:w="1162" w:type="dxa"/>
            <w:shd w:val="clear" w:color="auto" w:fill="0F4761"/>
            <w:vAlign w:val="center"/>
          </w:tcPr>
          <w:p>
            <w:pPr>
              <w:pStyle w:val="TableHeading"/>
              <w:jc w:val="right"/>
            </w:pPr>
            <w:r>
              <w:rPr>
                <w:color w:val="FFFFFF"/>
              </w:rPr>
              <w:t xml:space="preserve">Year 3</w:t>
            </w:r>
          </w:p>
        </w:tc>
        <w:tc>
          <w:tcPr>
            <w:tcW w:w="1416" w:type="dxa"/>
            <w:shd w:val="clear" w:color="auto" w:fill="0F4761"/>
            <w:vAlign w:val="center"/>
          </w:tcPr>
          <w:p>
            <w:pPr>
              <w:pStyle w:val="TableHeading"/>
              <w:jc w:val="right"/>
            </w:pPr>
            <w:r>
              <w:rPr>
                <w:color w:val="FFFFFF"/>
              </w:rPr>
              <w:t xml:space="preserve">Three years</w:t>
            </w:r>
          </w:p>
        </w:tc>
      </w:tr>
      <w:tr>
        <w:trPr>
          <w:cantSplit/>
        </w:trPr>
        <w:tc>
          <w:tcPr>
            <w:tcW w:w="4125" w:type="dxa"/>
            <w:vAlign w:val="top"/>
          </w:tcPr>
          <w:p>
            <w:pPr>
              <w:pStyle w:val="TableText"/>
              <w:jc w:val="left"/>
            </w:pPr>
            <w:r>
              <w:t xml:space="preserve">MVP (fixed price)</w:t>
            </w:r>
          </w:p>
        </w:tc>
        <w:tc>
          <w:tcPr>
            <w:tcW w:w="1162" w:type="dxa"/>
            <w:vAlign w:val="top"/>
          </w:tcPr>
          <w:p>
            <w:pPr>
              <w:pStyle w:val="TableText"/>
              <w:jc w:val="right"/>
            </w:pPr>
            <w:r>
              <w:t xml:space="preserve">94,800</w:t>
            </w:r>
          </w:p>
        </w:tc>
        <w:tc>
          <w:tcPr>
            <w:tcW w:w="1162" w:type="dxa"/>
            <w:vAlign w:val="top"/>
          </w:tcPr>
          <w:p>
            <w:pPr>
              <w:pStyle w:val="TableText"/>
            </w:pPr>
          </w:p>
        </w:tc>
        <w:tc>
          <w:tcPr>
            <w:tcW w:w="1162" w:type="dxa"/>
            <w:vAlign w:val="top"/>
          </w:tcPr>
          <w:p>
            <w:pPr>
              <w:pStyle w:val="TableText"/>
            </w:pPr>
          </w:p>
        </w:tc>
        <w:tc>
          <w:tcPr>
            <w:tcW w:w="1416" w:type="dxa"/>
            <w:vAlign w:val="top"/>
          </w:tcPr>
          <w:p>
            <w:pPr>
              <w:pStyle w:val="TableText"/>
              <w:jc w:val="right"/>
            </w:pPr>
            <w:r>
              <w:t xml:space="preserve">94,800</w:t>
            </w:r>
          </w:p>
        </w:tc>
      </w:tr>
      <w:tr>
        <w:trPr>
          <w:cantSplit/>
        </w:trPr>
        <w:tc>
          <w:tcPr>
            <w:tcW w:w="4125" w:type="dxa"/>
            <w:shd w:val="clear" w:color="auto" w:fill="F4F7FB"/>
            <w:vAlign w:val="top"/>
          </w:tcPr>
          <w:p>
            <w:pPr>
              <w:pStyle w:val="TableText"/>
              <w:jc w:val="left"/>
            </w:pPr>
            <w:r>
              <w:t xml:space="preserve">Scale phase, modules S1 to S10 (capped)</w:t>
            </w:r>
          </w:p>
        </w:tc>
        <w:tc>
          <w:tcPr>
            <w:tcW w:w="1162" w:type="dxa"/>
            <w:shd w:val="clear" w:color="auto" w:fill="F4F7FB"/>
            <w:vAlign w:val="top"/>
          </w:tcPr>
          <w:p>
            <w:pPr>
              <w:pStyle w:val="TableText"/>
              <w:jc w:val="right"/>
            </w:pPr>
            <w:r>
              <w:t xml:space="preserve">141,500</w:t>
            </w:r>
          </w:p>
        </w:tc>
        <w:tc>
          <w:tcPr>
            <w:tcW w:w="1162" w:type="dxa"/>
            <w:shd w:val="clear" w:color="auto" w:fill="F4F7FB"/>
            <w:vAlign w:val="top"/>
          </w:tcPr>
          <w:p>
            <w:pPr>
              <w:pStyle w:val="TableText"/>
            </w:pPr>
          </w:p>
        </w:tc>
        <w:tc>
          <w:tcPr>
            <w:tcW w:w="1162" w:type="dxa"/>
            <w:shd w:val="clear" w:color="auto" w:fill="F4F7FB"/>
            <w:vAlign w:val="top"/>
          </w:tcPr>
          <w:p>
            <w:pPr>
              <w:pStyle w:val="TableText"/>
            </w:pPr>
          </w:p>
        </w:tc>
        <w:tc>
          <w:tcPr>
            <w:tcW w:w="1416" w:type="dxa"/>
            <w:shd w:val="clear" w:color="auto" w:fill="F4F7FB"/>
            <w:vAlign w:val="top"/>
          </w:tcPr>
          <w:p>
            <w:pPr>
              <w:pStyle w:val="TableText"/>
              <w:jc w:val="right"/>
            </w:pPr>
            <w:r>
              <w:t xml:space="preserve">141,500</w:t>
            </w:r>
          </w:p>
        </w:tc>
      </w:tr>
      <w:tr>
        <w:trPr>
          <w:cantSplit/>
        </w:trPr>
        <w:tc>
          <w:tcPr>
            <w:tcW w:w="4125" w:type="dxa"/>
            <w:vAlign w:val="top"/>
          </w:tcPr>
          <w:p>
            <w:pPr>
              <w:pStyle w:val="TableText"/>
              <w:jc w:val="left"/>
            </w:pPr>
            <w:r>
              <w:t xml:space="preserve">Managed service</w:t>
            </w:r>
          </w:p>
        </w:tc>
        <w:tc>
          <w:tcPr>
            <w:tcW w:w="1162" w:type="dxa"/>
            <w:vAlign w:val="top"/>
          </w:tcPr>
          <w:p>
            <w:pPr>
              <w:pStyle w:val="TableText"/>
              <w:jc w:val="right"/>
            </w:pPr>
            <w:r>
              <w:t xml:space="preserve">55,200</w:t>
            </w:r>
          </w:p>
        </w:tc>
        <w:tc>
          <w:tcPr>
            <w:tcW w:w="1162" w:type="dxa"/>
            <w:vAlign w:val="top"/>
          </w:tcPr>
          <w:p>
            <w:pPr>
              <w:pStyle w:val="TableText"/>
              <w:jc w:val="right"/>
            </w:pPr>
            <w:r>
              <w:t xml:space="preserve">82,800</w:t>
            </w:r>
          </w:p>
        </w:tc>
        <w:tc>
          <w:tcPr>
            <w:tcW w:w="1162" w:type="dxa"/>
            <w:vAlign w:val="top"/>
          </w:tcPr>
          <w:p>
            <w:pPr>
              <w:pStyle w:val="TableText"/>
              <w:jc w:val="right"/>
            </w:pPr>
            <w:r>
              <w:t xml:space="preserve">85,284</w:t>
            </w:r>
          </w:p>
        </w:tc>
        <w:tc>
          <w:tcPr>
            <w:tcW w:w="1416" w:type="dxa"/>
            <w:vAlign w:val="top"/>
          </w:tcPr>
          <w:p>
            <w:pPr>
              <w:pStyle w:val="TableText"/>
              <w:jc w:val="right"/>
            </w:pPr>
            <w:r>
              <w:t xml:space="preserve">223,284</w:t>
            </w:r>
          </w:p>
        </w:tc>
      </w:tr>
      <w:tr>
        <w:trPr>
          <w:cantSplit/>
        </w:trPr>
        <w:tc>
          <w:tcPr>
            <w:tcW w:w="4125" w:type="dxa"/>
            <w:shd w:val="clear" w:color="auto" w:fill="F4F7FB"/>
            <w:vAlign w:val="top"/>
          </w:tcPr>
          <w:p>
            <w:pPr>
              <w:pStyle w:val="TableText"/>
              <w:jc w:val="left"/>
            </w:pPr>
            <w:r>
              <w:t xml:space="preserve">Enhancement pool (optional)</w:t>
            </w:r>
          </w:p>
        </w:tc>
        <w:tc>
          <w:tcPr>
            <w:tcW w:w="1162" w:type="dxa"/>
            <w:shd w:val="clear" w:color="auto" w:fill="F4F7FB"/>
            <w:vAlign w:val="top"/>
          </w:tcPr>
          <w:p>
            <w:pPr>
              <w:pStyle w:val="TableText"/>
            </w:pPr>
          </w:p>
        </w:tc>
        <w:tc>
          <w:tcPr>
            <w:tcW w:w="1162" w:type="dxa"/>
            <w:shd w:val="clear" w:color="auto" w:fill="F4F7FB"/>
            <w:vAlign w:val="top"/>
          </w:tcPr>
          <w:p>
            <w:pPr>
              <w:pStyle w:val="TableText"/>
              <w:jc w:val="right"/>
            </w:pPr>
            <w:r>
              <w:t xml:space="preserve">48,000</w:t>
            </w:r>
          </w:p>
        </w:tc>
        <w:tc>
          <w:tcPr>
            <w:tcW w:w="1162" w:type="dxa"/>
            <w:shd w:val="clear" w:color="auto" w:fill="F4F7FB"/>
            <w:vAlign w:val="top"/>
          </w:tcPr>
          <w:p>
            <w:pPr>
              <w:pStyle w:val="TableText"/>
              <w:jc w:val="right"/>
            </w:pPr>
            <w:r>
              <w:t xml:space="preserve">48,000</w:t>
            </w:r>
          </w:p>
        </w:tc>
        <w:tc>
          <w:tcPr>
            <w:tcW w:w="1416" w:type="dxa"/>
            <w:shd w:val="clear" w:color="auto" w:fill="F4F7FB"/>
            <w:vAlign w:val="top"/>
          </w:tcPr>
          <w:p>
            <w:pPr>
              <w:pStyle w:val="TableText"/>
              <w:jc w:val="right"/>
            </w:pPr>
            <w:r>
              <w:t xml:space="preserve">96,000</w:t>
            </w:r>
          </w:p>
        </w:tc>
      </w:tr>
      <w:tr>
        <w:trPr>
          <w:cantSplit/>
        </w:trPr>
        <w:tc>
          <w:tcPr>
            <w:tcW w:w="4125" w:type="dxa"/>
            <w:vAlign w:val="top"/>
          </w:tcPr>
          <w:p>
            <w:pPr>
              <w:pStyle w:val="TableText"/>
              <w:jc w:val="left"/>
            </w:pPr>
            <w:r>
              <w:t xml:space="preserve">Cloud infrastructure in Vietnam</w:t>
            </w:r>
          </w:p>
        </w:tc>
        <w:tc>
          <w:tcPr>
            <w:tcW w:w="1162" w:type="dxa"/>
            <w:vAlign w:val="top"/>
          </w:tcPr>
          <w:p>
            <w:pPr>
              <w:pStyle w:val="TableText"/>
              <w:jc w:val="right"/>
            </w:pPr>
            <w:r>
              <w:t xml:space="preserve">25,150</w:t>
            </w:r>
          </w:p>
        </w:tc>
        <w:tc>
          <w:tcPr>
            <w:tcW w:w="1162" w:type="dxa"/>
            <w:vAlign w:val="top"/>
          </w:tcPr>
          <w:p>
            <w:pPr>
              <w:pStyle w:val="TableText"/>
              <w:jc w:val="right"/>
            </w:pPr>
            <w:r>
              <w:t xml:space="preserve">40,800</w:t>
            </w:r>
          </w:p>
        </w:tc>
        <w:tc>
          <w:tcPr>
            <w:tcW w:w="1162" w:type="dxa"/>
            <w:vAlign w:val="top"/>
          </w:tcPr>
          <w:p>
            <w:pPr>
              <w:pStyle w:val="TableText"/>
              <w:jc w:val="right"/>
            </w:pPr>
            <w:r>
              <w:t xml:space="preserve">42,024</w:t>
            </w:r>
          </w:p>
        </w:tc>
        <w:tc>
          <w:tcPr>
            <w:tcW w:w="1416" w:type="dxa"/>
            <w:vAlign w:val="top"/>
          </w:tcPr>
          <w:p>
            <w:pPr>
              <w:pStyle w:val="TableText"/>
              <w:jc w:val="right"/>
            </w:pPr>
            <w:r>
              <w:t xml:space="preserve">107,974</w:t>
            </w:r>
          </w:p>
        </w:tc>
      </w:tr>
      <w:tr>
        <w:trPr>
          <w:cantSplit/>
        </w:trPr>
        <w:tc>
          <w:tcPr>
            <w:tcW w:w="4125" w:type="dxa"/>
            <w:shd w:val="clear" w:color="auto" w:fill="F4F7FB"/>
            <w:vAlign w:val="top"/>
          </w:tcPr>
          <w:p>
            <w:pPr>
              <w:pStyle w:val="TableText"/>
              <w:jc w:val="left"/>
            </w:pPr>
            <w:r>
              <w:t xml:space="preserve">Total</w:t>
            </w:r>
          </w:p>
        </w:tc>
        <w:tc>
          <w:tcPr>
            <w:tcW w:w="1162" w:type="dxa"/>
            <w:shd w:val="clear" w:color="auto" w:fill="F4F7FB"/>
            <w:vAlign w:val="top"/>
          </w:tcPr>
          <w:p>
            <w:pPr>
              <w:pStyle w:val="TableText"/>
              <w:jc w:val="right"/>
            </w:pPr>
            <w:r>
              <w:t xml:space="preserve">316,650</w:t>
            </w:r>
          </w:p>
        </w:tc>
        <w:tc>
          <w:tcPr>
            <w:tcW w:w="1162" w:type="dxa"/>
            <w:shd w:val="clear" w:color="auto" w:fill="F4F7FB"/>
            <w:vAlign w:val="top"/>
          </w:tcPr>
          <w:p>
            <w:pPr>
              <w:pStyle w:val="TableText"/>
              <w:jc w:val="right"/>
            </w:pPr>
            <w:r>
              <w:t xml:space="preserve">171,600</w:t>
            </w:r>
          </w:p>
        </w:tc>
        <w:tc>
          <w:tcPr>
            <w:tcW w:w="1162" w:type="dxa"/>
            <w:shd w:val="clear" w:color="auto" w:fill="F4F7FB"/>
            <w:vAlign w:val="top"/>
          </w:tcPr>
          <w:p>
            <w:pPr>
              <w:pStyle w:val="TableText"/>
              <w:jc w:val="right"/>
            </w:pPr>
            <w:r>
              <w:t xml:space="preserve">175,308</w:t>
            </w:r>
          </w:p>
        </w:tc>
        <w:tc>
          <w:tcPr>
            <w:tcW w:w="1416" w:type="dxa"/>
            <w:shd w:val="clear" w:color="auto" w:fill="F4F7FB"/>
            <w:vAlign w:val="top"/>
          </w:tcPr>
          <w:p>
            <w:pPr>
              <w:pStyle w:val="TableText"/>
              <w:jc w:val="right"/>
            </w:pPr>
            <w:r>
              <w:t xml:space="preserve">663,558</w:t>
            </w:r>
          </w:p>
        </w:tc>
      </w:tr>
      <w:tr>
        <w:trPr>
          <w:cantSplit/>
        </w:trPr>
        <w:tc>
          <w:tcPr>
            <w:tcW w:w="4125" w:type="dxa"/>
            <w:vAlign w:val="top"/>
          </w:tcPr>
          <w:p>
            <w:pPr>
              <w:pStyle w:val="TableText"/>
              <w:jc w:val="left"/>
            </w:pPr>
            <w:r>
              <w:t xml:space="preserve">About VND</w:t>
            </w:r>
          </w:p>
        </w:tc>
        <w:tc>
          <w:tcPr>
            <w:tcW w:w="1162" w:type="dxa"/>
            <w:vAlign w:val="top"/>
          </w:tcPr>
          <w:p>
            <w:pPr>
              <w:pStyle w:val="TableText"/>
              <w:jc w:val="right"/>
            </w:pPr>
            <w:r>
              <w:t xml:space="preserve">8.23 bn</w:t>
            </w:r>
          </w:p>
        </w:tc>
        <w:tc>
          <w:tcPr>
            <w:tcW w:w="1162" w:type="dxa"/>
            <w:vAlign w:val="top"/>
          </w:tcPr>
          <w:p>
            <w:pPr>
              <w:pStyle w:val="TableText"/>
              <w:jc w:val="right"/>
            </w:pPr>
            <w:r>
              <w:t xml:space="preserve">4.46 bn</w:t>
            </w:r>
          </w:p>
        </w:tc>
        <w:tc>
          <w:tcPr>
            <w:tcW w:w="1162" w:type="dxa"/>
            <w:vAlign w:val="top"/>
          </w:tcPr>
          <w:p>
            <w:pPr>
              <w:pStyle w:val="TableText"/>
              <w:jc w:val="right"/>
            </w:pPr>
            <w:r>
              <w:t xml:space="preserve">4.56 bn</w:t>
            </w:r>
          </w:p>
        </w:tc>
        <w:tc>
          <w:tcPr>
            <w:tcW w:w="1416" w:type="dxa"/>
            <w:vAlign w:val="top"/>
          </w:tcPr>
          <w:p>
            <w:pPr>
              <w:pStyle w:val="TableText"/>
              <w:jc w:val="right"/>
            </w:pPr>
            <w:r>
              <w:t xml:space="preserve">17.25 bn</w:t>
            </w:r>
          </w:p>
        </w:tc>
      </w:tr>
    </w:tbl>
    <w:p>
      <w:pPr>
        <w:pStyle w:val="BodyText"/>
        <w:spacing w:before="160"/>
      </w:pPr>
      <w:r>
        <w:t xml:space="preserve">Year 3 includes a 3% annual increase on the managed service and infrastructure. If TASCO stops after the pilot and keeps the platform running at pilot scale, the year-1 cost is about USD 168,150: the MVP, eight months of managed service and eleven months of pilot infrastructure.</w:t>
      </w:r>
    </w:p>
    <w:p>
      <w:pPr>
        <w:pStyle w:val="BodyText"/>
      </w:pPr>
      <w:r>
        <w:t xml:space="preserve">In the illustrative base case (TGP-BUS-01), the year-2 platform cost of about VND 4.46 billion is about 5% of the premium through the platform (VND 86.3 billion). The voice assistant’s saving on qualifying calls alone, about VND 12.2 billion a year against telesales, is larger than the annual platform cost. The pilot’s control group must confirm how much of the premium is genuinely new before scale-up.</w:t>
      </w:r>
    </w:p>
    <w:p>
      <w:pPr>
        <w:pStyle w:val="BodyText"/>
      </w:pPr>
      <w:r>
        <w:t xml:space="preserve">For comparison, building an equivalent platform from scratch would typically take 12 to 15 months and cost USD 450,000 to 650,000 before running costs. A global CRM and marketing-cloud stack licensed for six million contacts usually costs more each year in licences alone than this three-year TCO. These are indicative market ranges. Reuse also keeps the running cost down: TASCO does not license or maintain a second core, payment system or customer app.</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Governance and service levels</w:t>
      </w:r>
      <w:bookmarkEnd w:id="32"/>
    </w:p>
    <w:p>
      <w:pPr>
        <w:pStyle w:val="Heading2"/>
      </w:pPr>
      <w:bookmarkStart w:id="33" w:name="_Toc300000029"/>
      <w:r>
        <w:t xml:space="preserve">Governance forums</w:t>
      </w:r>
      <w:bookmarkEnd w:id="3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687"/>
        <w:gridCol w:w="1466"/>
        <w:gridCol w:w="2891"/>
        <w:gridCol w:w="2983"/>
      </w:tblGrid>
      <w:tr>
        <w:trPr>
          <w:cantSplit/>
          <w:tblHeader/>
        </w:trPr>
        <w:tc>
          <w:tcPr>
            <w:tcW w:w="1687" w:type="dxa"/>
            <w:shd w:val="clear" w:color="auto" w:fill="0F4761"/>
            <w:vAlign w:val="center"/>
          </w:tcPr>
          <w:p>
            <w:pPr>
              <w:pStyle w:val="TableHeading"/>
              <w:jc w:val="left"/>
            </w:pPr>
            <w:r>
              <w:rPr>
                <w:color w:val="FFFFFF"/>
              </w:rPr>
              <w:t xml:space="preserve">Forum</w:t>
            </w:r>
          </w:p>
        </w:tc>
        <w:tc>
          <w:tcPr>
            <w:tcW w:w="1466" w:type="dxa"/>
            <w:shd w:val="clear" w:color="auto" w:fill="0F4761"/>
            <w:vAlign w:val="center"/>
          </w:tcPr>
          <w:p>
            <w:pPr>
              <w:pStyle w:val="TableHeading"/>
              <w:jc w:val="left"/>
            </w:pPr>
            <w:r>
              <w:rPr>
                <w:color w:val="FFFFFF"/>
              </w:rPr>
              <w:t xml:space="preserve">Frequency</w:t>
            </w:r>
          </w:p>
        </w:tc>
        <w:tc>
          <w:tcPr>
            <w:tcW w:w="2891" w:type="dxa"/>
            <w:shd w:val="clear" w:color="auto" w:fill="0F4761"/>
            <w:vAlign w:val="center"/>
          </w:tcPr>
          <w:p>
            <w:pPr>
              <w:pStyle w:val="TableHeading"/>
              <w:jc w:val="left"/>
            </w:pPr>
            <w:r>
              <w:rPr>
                <w:color w:val="FFFFFF"/>
              </w:rPr>
              <w:t xml:space="preserve">Participants</w:t>
            </w:r>
          </w:p>
        </w:tc>
        <w:tc>
          <w:tcPr>
            <w:tcW w:w="2983" w:type="dxa"/>
            <w:shd w:val="clear" w:color="auto" w:fill="0F4761"/>
            <w:vAlign w:val="center"/>
          </w:tcPr>
          <w:p>
            <w:pPr>
              <w:pStyle w:val="TableHeading"/>
              <w:jc w:val="left"/>
            </w:pPr>
            <w:r>
              <w:rPr>
                <w:color w:val="FFFFFF"/>
              </w:rPr>
              <w:t xml:space="preserve">Purpose</w:t>
            </w:r>
          </w:p>
        </w:tc>
      </w:tr>
      <w:tr>
        <w:trPr>
          <w:cantSplit/>
        </w:trPr>
        <w:tc>
          <w:tcPr>
            <w:tcW w:w="1687" w:type="dxa"/>
            <w:vAlign w:val="top"/>
          </w:tcPr>
          <w:p>
            <w:pPr>
              <w:pStyle w:val="TableText"/>
              <w:jc w:val="left"/>
            </w:pPr>
            <w:r>
              <w:t xml:space="preserve">Steering committee</w:t>
            </w:r>
          </w:p>
        </w:tc>
        <w:tc>
          <w:tcPr>
            <w:tcW w:w="1466" w:type="dxa"/>
            <w:vAlign w:val="top"/>
          </w:tcPr>
          <w:p>
            <w:pPr>
              <w:pStyle w:val="TableText"/>
              <w:jc w:val="left"/>
            </w:pPr>
            <w:r>
              <w:t xml:space="preserve">Monthly</w:t>
            </w:r>
          </w:p>
        </w:tc>
        <w:tc>
          <w:tcPr>
            <w:tcW w:w="2891" w:type="dxa"/>
            <w:vAlign w:val="top"/>
          </w:tcPr>
          <w:p>
            <w:pPr>
              <w:pStyle w:val="TableText"/>
              <w:jc w:val="left"/>
            </w:pPr>
            <w:r>
              <w:t xml:space="preserve">TASCO and VETC sponsors, iorta TechNXT engagement lead</w:t>
            </w:r>
          </w:p>
        </w:tc>
        <w:tc>
          <w:tcPr>
            <w:tcW w:w="2983" w:type="dxa"/>
            <w:vAlign w:val="top"/>
          </w:tcPr>
          <w:p>
            <w:pPr>
              <w:pStyle w:val="TableText"/>
              <w:jc w:val="left"/>
            </w:pPr>
            <w:r>
              <w:t xml:space="preserve">Direction, budget, milestones, risks, pilot results</w:t>
            </w:r>
          </w:p>
        </w:tc>
      </w:tr>
      <w:tr>
        <w:trPr>
          <w:cantSplit/>
        </w:trPr>
        <w:tc>
          <w:tcPr>
            <w:tcW w:w="1687" w:type="dxa"/>
            <w:shd w:val="clear" w:color="auto" w:fill="F4F7FB"/>
            <w:vAlign w:val="top"/>
          </w:tcPr>
          <w:p>
            <w:pPr>
              <w:pStyle w:val="TableText"/>
              <w:jc w:val="left"/>
            </w:pPr>
            <w:r>
              <w:t xml:space="preserve">Product council</w:t>
            </w:r>
          </w:p>
        </w:tc>
        <w:tc>
          <w:tcPr>
            <w:tcW w:w="1466" w:type="dxa"/>
            <w:shd w:val="clear" w:color="auto" w:fill="F4F7FB"/>
            <w:vAlign w:val="top"/>
          </w:tcPr>
          <w:p>
            <w:pPr>
              <w:pStyle w:val="TableText"/>
              <w:jc w:val="left"/>
            </w:pPr>
            <w:r>
              <w:t xml:space="preserve">Every two weeks</w:t>
            </w:r>
          </w:p>
        </w:tc>
        <w:tc>
          <w:tcPr>
            <w:tcW w:w="2891" w:type="dxa"/>
            <w:shd w:val="clear" w:color="auto" w:fill="F4F7FB"/>
            <w:vAlign w:val="top"/>
          </w:tcPr>
          <w:p>
            <w:pPr>
              <w:pStyle w:val="TableText"/>
              <w:jc w:val="left"/>
            </w:pPr>
            <w:r>
              <w:t xml:space="preserve">TASCO product owner, VETC lead, iorta TechNXT analyst and architect</w:t>
            </w:r>
          </w:p>
        </w:tc>
        <w:tc>
          <w:tcPr>
            <w:tcW w:w="2983" w:type="dxa"/>
            <w:shd w:val="clear" w:color="auto" w:fill="F4F7FB"/>
            <w:vAlign w:val="top"/>
          </w:tcPr>
          <w:p>
            <w:pPr>
              <w:pStyle w:val="TableText"/>
              <w:jc w:val="left"/>
            </w:pPr>
            <w:r>
              <w:t xml:space="preserve">Priorities, rule changes, scope decisions</w:t>
            </w:r>
          </w:p>
        </w:tc>
      </w:tr>
      <w:tr>
        <w:trPr>
          <w:cantSplit/>
        </w:trPr>
        <w:tc>
          <w:tcPr>
            <w:tcW w:w="1687" w:type="dxa"/>
            <w:vAlign w:val="top"/>
          </w:tcPr>
          <w:p>
            <w:pPr>
              <w:pStyle w:val="TableText"/>
              <w:jc w:val="left"/>
            </w:pPr>
            <w:r>
              <w:t xml:space="preserve">Sprint review</w:t>
            </w:r>
          </w:p>
        </w:tc>
        <w:tc>
          <w:tcPr>
            <w:tcW w:w="1466" w:type="dxa"/>
            <w:vAlign w:val="top"/>
          </w:tcPr>
          <w:p>
            <w:pPr>
              <w:pStyle w:val="TableText"/>
              <w:jc w:val="left"/>
            </w:pPr>
            <w:r>
              <w:t xml:space="preserve">Every two weeks</w:t>
            </w:r>
          </w:p>
        </w:tc>
        <w:tc>
          <w:tcPr>
            <w:tcW w:w="2891" w:type="dxa"/>
            <w:vAlign w:val="top"/>
          </w:tcPr>
          <w:p>
            <w:pPr>
              <w:pStyle w:val="TableText"/>
              <w:jc w:val="left"/>
            </w:pPr>
            <w:r>
              <w:t xml:space="preserve">Product owner and key users</w:t>
            </w:r>
          </w:p>
        </w:tc>
        <w:tc>
          <w:tcPr>
            <w:tcW w:w="2983" w:type="dxa"/>
            <w:vAlign w:val="top"/>
          </w:tcPr>
          <w:p>
            <w:pPr>
              <w:pStyle w:val="TableText"/>
              <w:jc w:val="left"/>
            </w:pPr>
            <w:r>
              <w:t xml:space="preserve">Demonstration against the acceptance criteria in TGP-BUS-04</w:t>
            </w:r>
          </w:p>
        </w:tc>
      </w:tr>
      <w:tr>
        <w:trPr>
          <w:cantSplit/>
        </w:trPr>
        <w:tc>
          <w:tcPr>
            <w:tcW w:w="1687" w:type="dxa"/>
            <w:shd w:val="clear" w:color="auto" w:fill="F4F7FB"/>
            <w:vAlign w:val="top"/>
          </w:tcPr>
          <w:p>
            <w:pPr>
              <w:pStyle w:val="TableText"/>
              <w:jc w:val="left"/>
            </w:pPr>
            <w:r>
              <w:t xml:space="preserve">Change control</w:t>
            </w:r>
          </w:p>
        </w:tc>
        <w:tc>
          <w:tcPr>
            <w:tcW w:w="1466" w:type="dxa"/>
            <w:shd w:val="clear" w:color="auto" w:fill="F4F7FB"/>
            <w:vAlign w:val="top"/>
          </w:tcPr>
          <w:p>
            <w:pPr>
              <w:pStyle w:val="TableText"/>
              <w:jc w:val="left"/>
            </w:pPr>
            <w:r>
              <w:t xml:space="preserve">As needed</w:t>
            </w:r>
          </w:p>
        </w:tc>
        <w:tc>
          <w:tcPr>
            <w:tcW w:w="2891" w:type="dxa"/>
            <w:shd w:val="clear" w:color="auto" w:fill="F4F7FB"/>
            <w:vAlign w:val="top"/>
          </w:tcPr>
          <w:p>
            <w:pPr>
              <w:pStyle w:val="TableText"/>
              <w:jc w:val="left"/>
            </w:pPr>
            <w:r>
              <w:t xml:space="preserve">Product owner and engagement lead</w:t>
            </w:r>
          </w:p>
        </w:tc>
        <w:tc>
          <w:tcPr>
            <w:tcW w:w="2983" w:type="dxa"/>
            <w:shd w:val="clear" w:color="auto" w:fill="F4F7FB"/>
            <w:vAlign w:val="top"/>
          </w:tcPr>
          <w:p>
            <w:pPr>
              <w:pStyle w:val="TableText"/>
              <w:jc w:val="left"/>
            </w:pPr>
            <w:r>
              <w:t xml:space="preserve">Changes to scope, price or time</w:t>
            </w:r>
          </w:p>
        </w:tc>
      </w:tr>
      <w:tr>
        <w:trPr>
          <w:cantSplit/>
        </w:trPr>
        <w:tc>
          <w:tcPr>
            <w:tcW w:w="1687" w:type="dxa"/>
            <w:vAlign w:val="top"/>
          </w:tcPr>
          <w:p>
            <w:pPr>
              <w:pStyle w:val="TableText"/>
              <w:jc w:val="left"/>
            </w:pPr>
            <w:r>
              <w:t xml:space="preserve">Compliance checkpoint</w:t>
            </w:r>
          </w:p>
        </w:tc>
        <w:tc>
          <w:tcPr>
            <w:tcW w:w="1466" w:type="dxa"/>
            <w:vAlign w:val="top"/>
          </w:tcPr>
          <w:p>
            <w:pPr>
              <w:pStyle w:val="TableText"/>
              <w:jc w:val="left"/>
            </w:pPr>
            <w:r>
              <w:t xml:space="preserve">Each release</w:t>
            </w:r>
          </w:p>
        </w:tc>
        <w:tc>
          <w:tcPr>
            <w:tcW w:w="2891" w:type="dxa"/>
            <w:vAlign w:val="top"/>
          </w:tcPr>
          <w:p>
            <w:pPr>
              <w:pStyle w:val="TableText"/>
              <w:jc w:val="left"/>
            </w:pPr>
            <w:r>
              <w:t xml:space="preserve">TASCO compliance</w:t>
            </w:r>
          </w:p>
        </w:tc>
        <w:tc>
          <w:tcPr>
            <w:tcW w:w="2983" w:type="dxa"/>
            <w:vAlign w:val="top"/>
          </w:tcPr>
          <w:p>
            <w:pPr>
              <w:pStyle w:val="TableText"/>
              <w:jc w:val="left"/>
            </w:pPr>
            <w:r>
              <w:t xml:space="preserve">Customer wording, consent, privacy, audit evidence</w:t>
            </w:r>
          </w:p>
        </w:tc>
      </w:tr>
    </w:tbl>
    <w:p>
      <w:pPr>
        <w:pStyle w:val="BodyText"/>
        <w:spacing w:before="160"/>
      </w:pPr>
      <w:r>
        <w:t xml:space="preserve">Delivery runs in two-week sprints. A story is done when its acceptance criteria are met, tests meet the NFR-042 thresholds, lint is clean, the API description is updated and security checks pass. After go-live, business rule changes go through the rules studio with maker-checker approval and need no release.</w:t>
      </w:r>
    </w:p>
    <w:p>
      <w:pPr>
        <w:pStyle w:val="Heading2"/>
      </w:pPr>
      <w:bookmarkStart w:id="34" w:name="_Toc300000030"/>
      <w:r>
        <w:t xml:space="preserve">Managed service levels</w:t>
      </w:r>
      <w:bookmarkEnd w:id="34"/>
    </w:p>
    <w:p>
      <w:pPr>
        <w:pStyle w:val="FirstParagraph"/>
      </w:pPr>
      <w:r>
        <w:t xml:space="preserve">Business hours are 08:00 to 17:30 Vietnam time, Monday to Friday, excluding public holidays. Support is provided in English and Vietnamese. The service includes monitoring and alerting, security patching, monthly releases, rule-change support, a quarterly restore test, a monthly service report and a quarterly business review.</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04"/>
        <w:gridCol w:w="3245"/>
        <w:gridCol w:w="2500"/>
        <w:gridCol w:w="1978"/>
      </w:tblGrid>
      <w:tr>
        <w:trPr>
          <w:cantSplit/>
          <w:tblHeader/>
        </w:trPr>
        <w:tc>
          <w:tcPr>
            <w:tcW w:w="1304" w:type="dxa"/>
            <w:shd w:val="clear" w:color="auto" w:fill="0F4761"/>
            <w:vAlign w:val="center"/>
          </w:tcPr>
          <w:p>
            <w:pPr>
              <w:pStyle w:val="TableHeading"/>
              <w:jc w:val="left"/>
            </w:pPr>
            <w:r>
              <w:rPr>
                <w:color w:val="FFFFFF"/>
              </w:rPr>
              <w:t xml:space="preserve">Priority</w:t>
            </w:r>
          </w:p>
        </w:tc>
        <w:tc>
          <w:tcPr>
            <w:tcW w:w="3245" w:type="dxa"/>
            <w:shd w:val="clear" w:color="auto" w:fill="0F4761"/>
            <w:vAlign w:val="center"/>
          </w:tcPr>
          <w:p>
            <w:pPr>
              <w:pStyle w:val="TableHeading"/>
              <w:jc w:val="left"/>
            </w:pPr>
            <w:r>
              <w:rPr>
                <w:color w:val="FFFFFF"/>
              </w:rPr>
              <w:t xml:space="preserve">Example</w:t>
            </w:r>
          </w:p>
        </w:tc>
        <w:tc>
          <w:tcPr>
            <w:tcW w:w="2500" w:type="dxa"/>
            <w:shd w:val="clear" w:color="auto" w:fill="0F4761"/>
            <w:vAlign w:val="center"/>
          </w:tcPr>
          <w:p>
            <w:pPr>
              <w:pStyle w:val="TableHeading"/>
              <w:jc w:val="left"/>
            </w:pPr>
            <w:r>
              <w:rPr>
                <w:color w:val="FFFFFF"/>
              </w:rPr>
              <w:t xml:space="preserve">Response</w:t>
            </w:r>
          </w:p>
        </w:tc>
        <w:tc>
          <w:tcPr>
            <w:tcW w:w="1978" w:type="dxa"/>
            <w:shd w:val="clear" w:color="auto" w:fill="0F4761"/>
            <w:vAlign w:val="center"/>
          </w:tcPr>
          <w:p>
            <w:pPr>
              <w:pStyle w:val="TableHeading"/>
              <w:jc w:val="left"/>
            </w:pPr>
            <w:r>
              <w:rPr>
                <w:color w:val="FFFFFF"/>
              </w:rPr>
              <w:t xml:space="preserve">Restoration or workaround</w:t>
            </w:r>
          </w:p>
        </w:tc>
      </w:tr>
      <w:tr>
        <w:trPr>
          <w:cantSplit/>
        </w:trPr>
        <w:tc>
          <w:tcPr>
            <w:tcW w:w="1304" w:type="dxa"/>
            <w:vAlign w:val="top"/>
          </w:tcPr>
          <w:p>
            <w:pPr>
              <w:pStyle w:val="TableText"/>
              <w:jc w:val="left"/>
            </w:pPr>
            <w:r>
              <w:t xml:space="preserve">P1 Critical</w:t>
            </w:r>
          </w:p>
        </w:tc>
        <w:tc>
          <w:tcPr>
            <w:tcW w:w="3245" w:type="dxa"/>
            <w:vAlign w:val="top"/>
          </w:tcPr>
          <w:p>
            <w:pPr>
              <w:pStyle w:val="TableText"/>
              <w:jc w:val="left"/>
            </w:pPr>
            <w:r>
              <w:t xml:space="preserve">Customers cannot buy; suspected data breach</w:t>
            </w:r>
          </w:p>
        </w:tc>
        <w:tc>
          <w:tcPr>
            <w:tcW w:w="2500" w:type="dxa"/>
            <w:vAlign w:val="top"/>
          </w:tcPr>
          <w:p>
            <w:pPr>
              <w:pStyle w:val="TableText"/>
              <w:jc w:val="left"/>
            </w:pPr>
            <w:r>
              <w:t xml:space="preserve">30 minutes, 24 hours a day, 7 days a week</w:t>
            </w:r>
          </w:p>
        </w:tc>
        <w:tc>
          <w:tcPr>
            <w:tcW w:w="1978" w:type="dxa"/>
            <w:vAlign w:val="top"/>
          </w:tcPr>
          <w:p>
            <w:pPr>
              <w:pStyle w:val="TableText"/>
              <w:jc w:val="left"/>
            </w:pPr>
            <w:r>
              <w:t xml:space="preserve">4 hours</w:t>
            </w:r>
          </w:p>
        </w:tc>
      </w:tr>
      <w:tr>
        <w:trPr>
          <w:cantSplit/>
        </w:trPr>
        <w:tc>
          <w:tcPr>
            <w:tcW w:w="1304" w:type="dxa"/>
            <w:shd w:val="clear" w:color="auto" w:fill="F4F7FB"/>
            <w:vAlign w:val="top"/>
          </w:tcPr>
          <w:p>
            <w:pPr>
              <w:pStyle w:val="TableText"/>
              <w:jc w:val="left"/>
            </w:pPr>
            <w:r>
              <w:t xml:space="preserve">P2 High</w:t>
            </w:r>
          </w:p>
        </w:tc>
        <w:tc>
          <w:tcPr>
            <w:tcW w:w="3245" w:type="dxa"/>
            <w:shd w:val="clear" w:color="auto" w:fill="F4F7FB"/>
            <w:vAlign w:val="top"/>
          </w:tcPr>
          <w:p>
            <w:pPr>
              <w:pStyle w:val="TableText"/>
              <w:jc w:val="left"/>
            </w:pPr>
            <w:r>
              <w:t xml:space="preserve">A journey run fails; one integration is down</w:t>
            </w:r>
          </w:p>
        </w:tc>
        <w:tc>
          <w:tcPr>
            <w:tcW w:w="2500" w:type="dxa"/>
            <w:shd w:val="clear" w:color="auto" w:fill="F4F7FB"/>
            <w:vAlign w:val="top"/>
          </w:tcPr>
          <w:p>
            <w:pPr>
              <w:pStyle w:val="TableText"/>
              <w:jc w:val="left"/>
            </w:pPr>
            <w:r>
              <w:t xml:space="preserve">2 business hours</w:t>
            </w:r>
          </w:p>
        </w:tc>
        <w:tc>
          <w:tcPr>
            <w:tcW w:w="1978" w:type="dxa"/>
            <w:shd w:val="clear" w:color="auto" w:fill="F4F7FB"/>
            <w:vAlign w:val="top"/>
          </w:tcPr>
          <w:p>
            <w:pPr>
              <w:pStyle w:val="TableText"/>
              <w:jc w:val="left"/>
            </w:pPr>
            <w:r>
              <w:t xml:space="preserve">1 business day</w:t>
            </w:r>
          </w:p>
        </w:tc>
      </w:tr>
      <w:tr>
        <w:trPr>
          <w:cantSplit/>
        </w:trPr>
        <w:tc>
          <w:tcPr>
            <w:tcW w:w="1304" w:type="dxa"/>
            <w:vAlign w:val="top"/>
          </w:tcPr>
          <w:p>
            <w:pPr>
              <w:pStyle w:val="TableText"/>
              <w:jc w:val="left"/>
            </w:pPr>
            <w:r>
              <w:t xml:space="preserve">P3 Medium</w:t>
            </w:r>
          </w:p>
        </w:tc>
        <w:tc>
          <w:tcPr>
            <w:tcW w:w="3245" w:type="dxa"/>
            <w:vAlign w:val="top"/>
          </w:tcPr>
          <w:p>
            <w:pPr>
              <w:pStyle w:val="TableText"/>
              <w:jc w:val="left"/>
            </w:pPr>
            <w:r>
              <w:t xml:space="preserve">A defect with a workaround</w:t>
            </w:r>
          </w:p>
        </w:tc>
        <w:tc>
          <w:tcPr>
            <w:tcW w:w="2500" w:type="dxa"/>
            <w:vAlign w:val="top"/>
          </w:tcPr>
          <w:p>
            <w:pPr>
              <w:pStyle w:val="TableText"/>
              <w:jc w:val="left"/>
            </w:pPr>
            <w:r>
              <w:t xml:space="preserve">Next business day</w:t>
            </w:r>
          </w:p>
        </w:tc>
        <w:tc>
          <w:tcPr>
            <w:tcW w:w="1978" w:type="dxa"/>
            <w:vAlign w:val="top"/>
          </w:tcPr>
          <w:p>
            <w:pPr>
              <w:pStyle w:val="TableText"/>
              <w:jc w:val="left"/>
            </w:pPr>
            <w:r>
              <w:t xml:space="preserve">Next scheduled release</w:t>
            </w:r>
          </w:p>
        </w:tc>
      </w:tr>
      <w:tr>
        <w:trPr>
          <w:cantSplit/>
        </w:trPr>
        <w:tc>
          <w:tcPr>
            <w:tcW w:w="1304" w:type="dxa"/>
            <w:shd w:val="clear" w:color="auto" w:fill="F4F7FB"/>
            <w:vAlign w:val="top"/>
          </w:tcPr>
          <w:p>
            <w:pPr>
              <w:pStyle w:val="TableText"/>
              <w:jc w:val="left"/>
            </w:pPr>
            <w:r>
              <w:t xml:space="preserve">P4 Low</w:t>
            </w:r>
          </w:p>
        </w:tc>
        <w:tc>
          <w:tcPr>
            <w:tcW w:w="3245" w:type="dxa"/>
            <w:shd w:val="clear" w:color="auto" w:fill="F4F7FB"/>
            <w:vAlign w:val="top"/>
          </w:tcPr>
          <w:p>
            <w:pPr>
              <w:pStyle w:val="TableText"/>
              <w:jc w:val="left"/>
            </w:pPr>
            <w:r>
              <w:t xml:space="preserve">A question or small enhancement</w:t>
            </w:r>
          </w:p>
        </w:tc>
        <w:tc>
          <w:tcPr>
            <w:tcW w:w="2500" w:type="dxa"/>
            <w:shd w:val="clear" w:color="auto" w:fill="F4F7FB"/>
            <w:vAlign w:val="top"/>
          </w:tcPr>
          <w:p>
            <w:pPr>
              <w:pStyle w:val="TableText"/>
              <w:jc w:val="left"/>
            </w:pPr>
            <w:r>
              <w:t xml:space="preserve">3 business days</w:t>
            </w:r>
          </w:p>
        </w:tc>
        <w:tc>
          <w:tcPr>
            <w:tcW w:w="1978" w:type="dxa"/>
            <w:shd w:val="clear" w:color="auto" w:fill="F4F7FB"/>
            <w:vAlign w:val="top"/>
          </w:tcPr>
          <w:p>
            <w:pPr>
              <w:pStyle w:val="TableText"/>
              <w:jc w:val="left"/>
            </w:pPr>
            <w:r>
              <w:t xml:space="preserve">Planned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5" w:name="_Toc300000031"/>
      <w:r>
        <w:rPr>
          <w:rStyle w:val="BookTitle"/>
          <w:bCs w:val="0"/>
          <w:i w:val="0"/>
          <w:iCs w:val="0"/>
          <w:spacing w:val="0"/>
        </w:rPr>
        <w:t xml:space="preserve">Licence, warranty and exit</w:t>
      </w:r>
      <w:bookmarkEnd w:id="35"/>
    </w:p>
    <w:p>
      <w:pPr>
        <w:pStyle w:val="FirstParagraph"/>
      </w:pPr>
      <w:r>
        <w:t xml:space="preserve">TASCO receives a perpetual, royalty-free licence to use, modify and run the platform for the business of TASCO Insurance and the Tasco group, with the complete source code and documentation. iorta TechNXT keeps ownership of the underlying platform and may improve it for other clients, without ever using TASCO data. TASCO owns its data, its rule sets and configuration, its content and branding, and the adapters written specifically for TASCO’s and VETC’s systems.</w:t>
      </w:r>
    </w:p>
    <w:p>
      <w:pPr>
        <w:pStyle w:val="BodyText"/>
      </w:pPr>
      <w:r>
        <w:t xml:space="preserve">For 90 days after go-live, iorta TechNXT fixes at its own cost any defect where the platform does not meet the accepted acceptance criteria. If TASCO moves support to its own team or another partner, iorta TechNXT provides a structured knowledge transfer at the rate card, and all data can be exported in open formats.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6" w:name="_Toc300000032"/>
      <w:r>
        <w:rPr>
          <w:rStyle w:val="BookTitle"/>
          <w:bCs w:val="0"/>
          <w:i w:val="0"/>
          <w:iCs w:val="0"/>
          <w:spacing w:val="0"/>
        </w:rPr>
        <w:t xml:space="preserve">Assumptions</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14"/>
        <w:gridCol w:w="8313"/>
      </w:tblGrid>
      <w:tr>
        <w:trPr>
          <w:cantSplit/>
          <w:tblHeader/>
        </w:trPr>
        <w:tc>
          <w:tcPr>
            <w:tcW w:w="714" w:type="dxa"/>
            <w:shd w:val="clear" w:color="auto" w:fill="0F4761"/>
            <w:vAlign w:val="center"/>
          </w:tcPr>
          <w:p>
            <w:pPr>
              <w:pStyle w:val="TableHeading"/>
              <w:jc w:val="left"/>
            </w:pPr>
            <w:r>
              <w:rPr>
                <w:color w:val="FFFFFF"/>
              </w:rPr>
              <w:t xml:space="preserve">Ref</w:t>
            </w:r>
          </w:p>
        </w:tc>
        <w:tc>
          <w:tcPr>
            <w:tcW w:w="8313" w:type="dxa"/>
            <w:shd w:val="clear" w:color="auto" w:fill="0F4761"/>
            <w:vAlign w:val="center"/>
          </w:tcPr>
          <w:p>
            <w:pPr>
              <w:pStyle w:val="TableHeading"/>
              <w:jc w:val="left"/>
            </w:pPr>
            <w:r>
              <w:rPr>
                <w:color w:val="FFFFFF"/>
              </w:rPr>
              <w:t xml:space="preserve">Assumption</w:t>
            </w:r>
          </w:p>
        </w:tc>
      </w:tr>
      <w:tr>
        <w:trPr>
          <w:cantSplit/>
        </w:trPr>
        <w:tc>
          <w:tcPr>
            <w:tcW w:w="714" w:type="dxa"/>
            <w:noWrap/>
            <w:vAlign w:val="top"/>
          </w:tcPr>
          <w:p>
            <w:pPr>
              <w:pStyle w:val="TableText"/>
              <w:jc w:val="left"/>
            </w:pPr>
            <w:r>
              <w:t xml:space="preserve">C-01</w:t>
            </w:r>
          </w:p>
        </w:tc>
        <w:tc>
          <w:tcPr>
            <w:tcW w:w="8313" w:type="dxa"/>
            <w:vAlign w:val="top"/>
          </w:tcPr>
          <w:p>
            <w:pPr>
              <w:pStyle w:val="TableText"/>
              <w:jc w:val="left"/>
            </w:pPr>
            <w:r>
              <w:t xml:space="preserve">Exchange rate USD 1 = VND 26,000. Prices are quoted in USD; invoices can be issued in USD or VND at a rate agreed at contract</w:t>
            </w:r>
          </w:p>
        </w:tc>
      </w:tr>
      <w:tr>
        <w:trPr>
          <w:cantSplit/>
        </w:trPr>
        <w:tc>
          <w:tcPr>
            <w:tcW w:w="714" w:type="dxa"/>
            <w:shd w:val="clear" w:color="auto" w:fill="F4F7FB"/>
            <w:noWrap/>
            <w:vAlign w:val="top"/>
          </w:tcPr>
          <w:p>
            <w:pPr>
              <w:pStyle w:val="TableText"/>
              <w:jc w:val="left"/>
            </w:pPr>
            <w:r>
              <w:t xml:space="preserve">C-02</w:t>
            </w:r>
          </w:p>
        </w:tc>
        <w:tc>
          <w:tcPr>
            <w:tcW w:w="8313" w:type="dxa"/>
            <w:shd w:val="clear" w:color="auto" w:fill="F4F7FB"/>
            <w:vAlign w:val="top"/>
          </w:tcPr>
          <w:p>
            <w:pPr>
              <w:pStyle w:val="TableText"/>
              <w:jc w:val="left"/>
            </w:pPr>
            <w:r>
              <w:t xml:space="preserve">The rate card applies to change requests, the scale phase and the enhancement pool</w:t>
            </w:r>
          </w:p>
        </w:tc>
      </w:tr>
      <w:tr>
        <w:trPr>
          <w:cantSplit/>
        </w:trPr>
        <w:tc>
          <w:tcPr>
            <w:tcW w:w="714" w:type="dxa"/>
            <w:noWrap/>
            <w:vAlign w:val="top"/>
          </w:tcPr>
          <w:p>
            <w:pPr>
              <w:pStyle w:val="TableText"/>
              <w:jc w:val="left"/>
            </w:pPr>
            <w:r>
              <w:t xml:space="preserve">C-03</w:t>
            </w:r>
          </w:p>
        </w:tc>
        <w:tc>
          <w:tcPr>
            <w:tcW w:w="8313" w:type="dxa"/>
            <w:vAlign w:val="top"/>
          </w:tcPr>
          <w:p>
            <w:pPr>
              <w:pStyle w:val="TableText"/>
              <w:jc w:val="left"/>
            </w:pPr>
            <w:r>
              <w:t xml:space="preserve">One FTE-week is five person-days; one month is 21 person-days</w:t>
            </w:r>
          </w:p>
        </w:tc>
      </w:tr>
      <w:tr>
        <w:trPr>
          <w:cantSplit/>
        </w:trPr>
        <w:tc>
          <w:tcPr>
            <w:tcW w:w="714" w:type="dxa"/>
            <w:shd w:val="clear" w:color="auto" w:fill="F4F7FB"/>
            <w:noWrap/>
            <w:vAlign w:val="top"/>
          </w:tcPr>
          <w:p>
            <w:pPr>
              <w:pStyle w:val="TableText"/>
              <w:jc w:val="left"/>
            </w:pPr>
            <w:r>
              <w:t xml:space="preserve">C-04</w:t>
            </w:r>
          </w:p>
        </w:tc>
        <w:tc>
          <w:tcPr>
            <w:tcW w:w="8313" w:type="dxa"/>
            <w:shd w:val="clear" w:color="auto" w:fill="F4F7FB"/>
            <w:vAlign w:val="top"/>
          </w:tcPr>
          <w:p>
            <w:pPr>
              <w:pStyle w:val="TableText"/>
              <w:jc w:val="left"/>
            </w:pPr>
            <w:r>
              <w:t xml:space="preserve">TASCO provides core interface documentation (catalogue, rating, issuance) and a sandbox, or agrees the interim rating path, by the end of week 2; VETC provides sandboxes for wallet, push and the app web view by the same date; production access is available by week 10</w:t>
            </w:r>
          </w:p>
        </w:tc>
      </w:tr>
      <w:tr>
        <w:trPr>
          <w:cantSplit/>
        </w:trPr>
        <w:tc>
          <w:tcPr>
            <w:tcW w:w="714" w:type="dxa"/>
            <w:noWrap/>
            <w:vAlign w:val="top"/>
          </w:tcPr>
          <w:p>
            <w:pPr>
              <w:pStyle w:val="TableText"/>
              <w:jc w:val="left"/>
            </w:pPr>
            <w:r>
              <w:t xml:space="preserve">C-05</w:t>
            </w:r>
          </w:p>
        </w:tc>
        <w:tc>
          <w:tcPr>
            <w:tcW w:w="8313" w:type="dxa"/>
            <w:vAlign w:val="top"/>
          </w:tcPr>
          <w:p>
            <w:pPr>
              <w:pStyle w:val="TableText"/>
              <w:jc w:val="left"/>
            </w:pPr>
            <w:r>
              <w:t xml:space="preserve">One voice AI vendor (telephony with Vietnamese ASR and TTS) is selected in discovery and contracted directly by TASCO or VETC; per-minute costs are passed through</w:t>
            </w:r>
          </w:p>
        </w:tc>
      </w:tr>
      <w:tr>
        <w:trPr>
          <w:cantSplit/>
        </w:trPr>
        <w:tc>
          <w:tcPr>
            <w:tcW w:w="714" w:type="dxa"/>
            <w:shd w:val="clear" w:color="auto" w:fill="F4F7FB"/>
            <w:noWrap/>
            <w:vAlign w:val="top"/>
          </w:tcPr>
          <w:p>
            <w:pPr>
              <w:pStyle w:val="TableText"/>
              <w:jc w:val="left"/>
            </w:pPr>
            <w:r>
              <w:t xml:space="preserve">C-06</w:t>
            </w:r>
          </w:p>
        </w:tc>
        <w:tc>
          <w:tcPr>
            <w:tcW w:w="8313" w:type="dxa"/>
            <w:shd w:val="clear" w:color="auto" w:fill="F4F7FB"/>
            <w:vAlign w:val="top"/>
          </w:tcPr>
          <w:p>
            <w:pPr>
              <w:pStyle w:val="TableText"/>
              <w:jc w:val="left"/>
            </w:pPr>
            <w:r>
              <w:t xml:space="preserve">The pilot cohort is 50,000 to 100,000 vehicles in one or two provinces, with a randomised control group</w:t>
            </w:r>
          </w:p>
        </w:tc>
      </w:tr>
      <w:tr>
        <w:trPr>
          <w:cantSplit/>
        </w:trPr>
        <w:tc>
          <w:tcPr>
            <w:tcW w:w="714" w:type="dxa"/>
            <w:noWrap/>
            <w:vAlign w:val="top"/>
          </w:tcPr>
          <w:p>
            <w:pPr>
              <w:pStyle w:val="TableText"/>
              <w:jc w:val="left"/>
            </w:pPr>
            <w:r>
              <w:t xml:space="preserve">C-07</w:t>
            </w:r>
          </w:p>
        </w:tc>
        <w:tc>
          <w:tcPr>
            <w:tcW w:w="8313" w:type="dxa"/>
            <w:vAlign w:val="top"/>
          </w:tcPr>
          <w:p>
            <w:pPr>
              <w:pStyle w:val="TableText"/>
              <w:jc w:val="left"/>
            </w:pPr>
            <w:r>
              <w:t xml:space="preserve">TASCO legal confirms tariff, commission caps, contact policy, the PDP basis and data residency in discovery; delays move milestones day for day</w:t>
            </w:r>
          </w:p>
        </w:tc>
      </w:tr>
      <w:tr>
        <w:trPr>
          <w:cantSplit/>
        </w:trPr>
        <w:tc>
          <w:tcPr>
            <w:tcW w:w="714" w:type="dxa"/>
            <w:shd w:val="clear" w:color="auto" w:fill="F4F7FB"/>
            <w:noWrap/>
            <w:vAlign w:val="top"/>
          </w:tcPr>
          <w:p>
            <w:pPr>
              <w:pStyle w:val="TableText"/>
              <w:jc w:val="left"/>
            </w:pPr>
            <w:r>
              <w:t xml:space="preserve">C-08</w:t>
            </w:r>
          </w:p>
        </w:tc>
        <w:tc>
          <w:tcPr>
            <w:tcW w:w="8313" w:type="dxa"/>
            <w:shd w:val="clear" w:color="auto" w:fill="F4F7FB"/>
            <w:vAlign w:val="top"/>
          </w:tcPr>
          <w:p>
            <w:pPr>
              <w:pStyle w:val="TableText"/>
              <w:jc w:val="left"/>
            </w:pPr>
            <w:r>
              <w:t xml:space="preserve">Hosting is in Vietnam on managed Kubernetes and PostgreSQL chosen in discovery; TASCO pays for it directly</w:t>
            </w:r>
          </w:p>
        </w:tc>
      </w:tr>
      <w:tr>
        <w:trPr>
          <w:cantSplit/>
        </w:trPr>
        <w:tc>
          <w:tcPr>
            <w:tcW w:w="714" w:type="dxa"/>
            <w:noWrap/>
            <w:vAlign w:val="top"/>
          </w:tcPr>
          <w:p>
            <w:pPr>
              <w:pStyle w:val="TableText"/>
              <w:jc w:val="left"/>
            </w:pPr>
            <w:r>
              <w:t xml:space="preserve">C-09</w:t>
            </w:r>
          </w:p>
        </w:tc>
        <w:tc>
          <w:tcPr>
            <w:tcW w:w="8313" w:type="dxa"/>
            <w:vAlign w:val="top"/>
          </w:tcPr>
          <w:p>
            <w:pPr>
              <w:pStyle w:val="TableText"/>
              <w:jc w:val="left"/>
            </w:pPr>
            <w:r>
              <w:t xml:space="preserve">The existing platform is the baseline. Open engineering findings (TGP-BUS-05 appendix) that affect MVP scope are closed in the MVP; the rest in the scale phase</w:t>
            </w:r>
          </w:p>
        </w:tc>
      </w:tr>
      <w:tr>
        <w:trPr>
          <w:cantSplit/>
        </w:trPr>
        <w:tc>
          <w:tcPr>
            <w:tcW w:w="714" w:type="dxa"/>
            <w:shd w:val="clear" w:color="auto" w:fill="F4F7FB"/>
            <w:noWrap/>
            <w:vAlign w:val="top"/>
          </w:tcPr>
          <w:p>
            <w:pPr>
              <w:pStyle w:val="TableText"/>
              <w:jc w:val="left"/>
            </w:pPr>
            <w:r>
              <w:t xml:space="preserve">C-10</w:t>
            </w:r>
          </w:p>
        </w:tc>
        <w:tc>
          <w:tcPr>
            <w:tcW w:w="8313" w:type="dxa"/>
            <w:shd w:val="clear" w:color="auto" w:fill="F4F7FB"/>
            <w:vAlign w:val="top"/>
          </w:tcPr>
          <w:p>
            <w:pPr>
              <w:pStyle w:val="TableText"/>
              <w:jc w:val="left"/>
            </w:pPr>
            <w:r>
              <w:t xml:space="preserve">Acceptance is against the agreed acceptance criteria in TGP-BUS-04 for the stories in MVP scope</w:t>
            </w:r>
          </w:p>
        </w:tc>
      </w:tr>
      <w:tr>
        <w:trPr>
          <w:cantSplit/>
        </w:trPr>
        <w:tc>
          <w:tcPr>
            <w:tcW w:w="714" w:type="dxa"/>
            <w:noWrap/>
            <w:vAlign w:val="top"/>
          </w:tcPr>
          <w:p>
            <w:pPr>
              <w:pStyle w:val="TableText"/>
              <w:jc w:val="left"/>
            </w:pPr>
            <w:r>
              <w:t xml:space="preserve">C-11</w:t>
            </w:r>
          </w:p>
        </w:tc>
        <w:tc>
          <w:tcPr>
            <w:tcW w:w="8313" w:type="dxa"/>
            <w:vAlign w:val="top"/>
          </w:tcPr>
          <w:p>
            <w:pPr>
              <w:pStyle w:val="TableText"/>
              <w:jc w:val="left"/>
            </w:pPr>
            <w:r>
              <w:t xml:space="preserve">The console is in English and Vietnamese and the customer app in Vietnamese. Customer wording is written or approved by TASCO and VETC</w:t>
            </w:r>
          </w:p>
        </w:tc>
      </w:tr>
      <w:tr>
        <w:trPr>
          <w:cantSplit/>
        </w:trPr>
        <w:tc>
          <w:tcPr>
            <w:tcW w:w="714" w:type="dxa"/>
            <w:shd w:val="clear" w:color="auto" w:fill="F4F7FB"/>
            <w:noWrap/>
            <w:vAlign w:val="top"/>
          </w:tcPr>
          <w:p>
            <w:pPr>
              <w:pStyle w:val="TableText"/>
              <w:jc w:val="left"/>
            </w:pPr>
            <w:r>
              <w:t xml:space="preserve">C-12</w:t>
            </w:r>
          </w:p>
        </w:tc>
        <w:tc>
          <w:tcPr>
            <w:tcW w:w="8313" w:type="dxa"/>
            <w:shd w:val="clear" w:color="auto" w:fill="F4F7FB"/>
            <w:vAlign w:val="top"/>
          </w:tcPr>
          <w:p>
            <w:pPr>
              <w:pStyle w:val="TableText"/>
              <w:jc w:val="left"/>
            </w:pPr>
            <w:r>
              <w:t xml:space="preserve">ZNS messages are sent from TASCO’s existing verified Zalo Official Account. TASCO and VETC contract the voice AI vendor and the SMS brandname directly; iorta TechNXT helps with selection and integration</w:t>
            </w:r>
          </w:p>
        </w:tc>
      </w:tr>
      <w:tr>
        <w:trPr>
          <w:cantSplit/>
        </w:trPr>
        <w:tc>
          <w:tcPr>
            <w:tcW w:w="714" w:type="dxa"/>
            <w:noWrap/>
            <w:vAlign w:val="top"/>
          </w:tcPr>
          <w:p>
            <w:pPr>
              <w:pStyle w:val="TableText"/>
              <w:jc w:val="left"/>
            </w:pPr>
            <w:r>
              <w:t xml:space="preserve">C-13</w:t>
            </w:r>
          </w:p>
        </w:tc>
        <w:tc>
          <w:tcPr>
            <w:tcW w:w="8313" w:type="dxa"/>
            <w:vAlign w:val="top"/>
          </w:tcPr>
          <w:p>
            <w:pPr>
              <w:pStyle w:val="TableText"/>
              <w:jc w:val="left"/>
            </w:pPr>
            <w:r>
              <w:t xml:space="preserve">Reuse first: TASCO core, TASCO’s app and website, the Zalo Official Account, Tasco360, the contact centre, and VETC’s app, wallet and data are used through their existing interfaces. Each reuse decision is recorded in the discovery report</w:t>
            </w:r>
          </w:p>
        </w:tc>
      </w:tr>
      <w:tr>
        <w:trPr>
          <w:cantSplit/>
        </w:trPr>
        <w:tc>
          <w:tcPr>
            <w:tcW w:w="714" w:type="dxa"/>
            <w:shd w:val="clear" w:color="auto" w:fill="F4F7FB"/>
            <w:noWrap/>
            <w:vAlign w:val="top"/>
          </w:tcPr>
          <w:p>
            <w:pPr>
              <w:pStyle w:val="TableText"/>
              <w:jc w:val="left"/>
            </w:pPr>
            <w:r>
              <w:t xml:space="preserve">C-14</w:t>
            </w:r>
          </w:p>
        </w:tc>
        <w:tc>
          <w:tcPr>
            <w:tcW w:w="8313" w:type="dxa"/>
            <w:shd w:val="clear" w:color="auto" w:fill="F4F7FB"/>
            <w:vAlign w:val="top"/>
          </w:tcPr>
          <w:p>
            <w:pPr>
              <w:pStyle w:val="TableText"/>
              <w:jc w:val="left"/>
            </w:pPr>
            <w:r>
              <w:t xml:space="preserve">If module S3 is taken up, TASCO provides a sandbox of its payment gateway and confirms that its app can open the journeys in a web view</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Exclusions</w:t>
      </w:r>
      <w:bookmarkEnd w:id="37"/>
    </w:p>
    <w:p>
      <w:pPr>
        <w:pStyle w:val="Compact"/>
        <w:numPr>
          <w:ilvl w:val="0"/>
          <w:numId w:val="1001"/>
        </w:numPr>
      </w:pPr>
      <w:r>
        <w:t xml:space="preserve">Licences and usage fees of third-party services: voice AI minutes, Zalo official account and ZNS, SMS brandname, push providers and cloud infrastructure.</w:t>
      </w:r>
    </w:p>
    <w:p>
      <w:pPr>
        <w:pStyle w:val="Compact"/>
        <w:numPr>
          <w:ilvl w:val="0"/>
          <w:numId w:val="1001"/>
        </w:numPr>
      </w:pPr>
      <w:r>
        <w:t xml:space="preserve">Changes inside TASCO core, the VETC app’s native code, the VETC wallet or the VETC identity provider, beyond consuming their APIs.</w:t>
      </w:r>
    </w:p>
    <w:p>
      <w:pPr>
        <w:pStyle w:val="Compact"/>
        <w:numPr>
          <w:ilvl w:val="0"/>
          <w:numId w:val="1001"/>
        </w:numPr>
      </w:pPr>
      <w:r>
        <w:t xml:space="preserve">Claims adjudication, reserving, reinsurance and finance-system integration (accounting entries, VAT e-invoicing).</w:t>
      </w:r>
    </w:p>
    <w:p>
      <w:pPr>
        <w:pStyle w:val="Compact"/>
        <w:numPr>
          <w:ilvl w:val="0"/>
          <w:numId w:val="1001"/>
        </w:numPr>
      </w:pPr>
      <w:r>
        <w:t xml:space="preserve">Independent penetration testing by a third party (recommended; indicatively USD 6,000 to 10,000 in Vietnam), certification and audit fees.</w:t>
      </w:r>
    </w:p>
    <w:p>
      <w:pPr>
        <w:pStyle w:val="Compact"/>
        <w:numPr>
          <w:ilvl w:val="0"/>
          <w:numId w:val="1001"/>
        </w:numPr>
      </w:pPr>
      <w:r>
        <w:t xml:space="preserve">Migration of historical TASCO policy archives beyond the fields needed for expiry.</w:t>
      </w:r>
    </w:p>
    <w:p>
      <w:pPr>
        <w:pStyle w:val="Compact"/>
        <w:numPr>
          <w:ilvl w:val="0"/>
          <w:numId w:val="1001"/>
        </w:numPr>
      </w:pPr>
      <w:r>
        <w:t xml:space="preserve">Legal, actuarial or regulatory advice. The platform applies TASCO’s decisions; it does not make them.</w:t>
      </w:r>
    </w:p>
    <w:p>
      <w:pPr>
        <w:pStyle w:val="Compact"/>
        <w:numPr>
          <w:ilvl w:val="0"/>
          <w:numId w:val="1001"/>
        </w:numPr>
      </w:pPr>
      <w:r>
        <w:t xml:space="preserve">On-premise hardware, and 24-hour cover for P2 to P4 incidents (available on request).</w:t>
      </w:r>
    </w:p>
    <w:p>
      <w:pPr>
        <w:pStyle w:val="Compact"/>
        <w:numPr>
          <w:ilvl w:val="0"/>
          <w:numId w:val="1001"/>
        </w:numPr>
      </w:pPr>
      <w:r>
        <w:t xml:space="preserve">Marketing spend, call-centre staffing and customer communication costs.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8" w:name="_Toc300000034"/>
      <w:r>
        <w:rPr>
          <w:rStyle w:val="BookTitle"/>
          <w:bCs w:val="0"/>
          <w:i w:val="0"/>
          <w:iCs w:val="0"/>
          <w:spacing w:val="0"/>
        </w:rPr>
        <w:t xml:space="preserve">Commercial risks</w:t>
      </w:r>
      <w:bookmarkEnd w:id="38"/>
    </w:p>
    <w:p>
      <w:pPr>
        <w:pStyle w:val="FirstParagraph"/>
      </w:pPr>
      <w:r>
        <w:t xml:space="preserve">The full risk register is in TGP-DEL-04 Risk Register.</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688"/>
        <w:gridCol w:w="5339"/>
      </w:tblGrid>
      <w:tr>
        <w:trPr>
          <w:cantSplit/>
          <w:tblHeader/>
        </w:trPr>
        <w:tc>
          <w:tcPr>
            <w:tcW w:w="3688" w:type="dxa"/>
            <w:shd w:val="clear" w:color="auto" w:fill="0F4761"/>
            <w:vAlign w:val="center"/>
          </w:tcPr>
          <w:p>
            <w:pPr>
              <w:pStyle w:val="TableHeading"/>
              <w:jc w:val="left"/>
            </w:pPr>
            <w:r>
              <w:rPr>
                <w:color w:val="FFFFFF"/>
              </w:rPr>
              <w:t xml:space="preserve">Risk</w:t>
            </w:r>
          </w:p>
        </w:tc>
        <w:tc>
          <w:tcPr>
            <w:tcW w:w="5339" w:type="dxa"/>
            <w:shd w:val="clear" w:color="auto" w:fill="0F4761"/>
            <w:vAlign w:val="center"/>
          </w:tcPr>
          <w:p>
            <w:pPr>
              <w:pStyle w:val="TableHeading"/>
              <w:jc w:val="left"/>
            </w:pPr>
            <w:r>
              <w:rPr>
                <w:color w:val="FFFFFF"/>
              </w:rPr>
              <w:t xml:space="preserve">Mitigation</w:t>
            </w:r>
          </w:p>
        </w:tc>
      </w:tr>
      <w:tr>
        <w:trPr>
          <w:cantSplit/>
        </w:trPr>
        <w:tc>
          <w:tcPr>
            <w:tcW w:w="3688" w:type="dxa"/>
            <w:vAlign w:val="top"/>
          </w:tcPr>
          <w:p>
            <w:pPr>
              <w:pStyle w:val="TableText"/>
              <w:jc w:val="left"/>
            </w:pPr>
            <w:r>
              <w:t xml:space="preserve">TASCO core does not expose a rating interface in time</w:t>
            </w:r>
          </w:p>
        </w:tc>
        <w:tc>
          <w:tcPr>
            <w:tcW w:w="5339" w:type="dxa"/>
            <w:vAlign w:val="top"/>
          </w:tcPr>
          <w:p>
            <w:pPr>
              <w:pStyle w:val="TableText"/>
              <w:jc w:val="left"/>
            </w:pPr>
            <w:r>
              <w:t xml:space="preserve">Interim path: approved tariff tables synchronised from core, with core re-rating at issue; decision in week 2</w:t>
            </w:r>
          </w:p>
        </w:tc>
      </w:tr>
      <w:tr>
        <w:trPr>
          <w:cantSplit/>
        </w:trPr>
        <w:tc>
          <w:tcPr>
            <w:tcW w:w="3688" w:type="dxa"/>
            <w:shd w:val="clear" w:color="auto" w:fill="F4F7FB"/>
            <w:vAlign w:val="top"/>
          </w:tcPr>
          <w:p>
            <w:pPr>
              <w:pStyle w:val="TableText"/>
              <w:jc w:val="left"/>
            </w:pPr>
            <w:r>
              <w:t xml:space="preserve">Integration sandboxes or credentials are late</w:t>
            </w:r>
          </w:p>
        </w:tc>
        <w:tc>
          <w:tcPr>
            <w:tcW w:w="5339" w:type="dxa"/>
            <w:shd w:val="clear" w:color="auto" w:fill="F4F7FB"/>
            <w:vAlign w:val="top"/>
          </w:tcPr>
          <w:p>
            <w:pPr>
              <w:pStyle w:val="TableText"/>
              <w:jc w:val="left"/>
            </w:pPr>
            <w:r>
              <w:t xml:space="preserve">Simulated connectors already exist, so the build continues; milestone dates move day for day by agreement</w:t>
            </w:r>
          </w:p>
        </w:tc>
      </w:tr>
      <w:tr>
        <w:trPr>
          <w:cantSplit/>
        </w:trPr>
        <w:tc>
          <w:tcPr>
            <w:tcW w:w="3688" w:type="dxa"/>
            <w:vAlign w:val="top"/>
          </w:tcPr>
          <w:p>
            <w:pPr>
              <w:pStyle w:val="TableText"/>
              <w:jc w:val="left"/>
            </w:pPr>
            <w:r>
              <w:t xml:space="preserve">Legal confirmations take time (data sharing, consent wording, loyalty)</w:t>
            </w:r>
          </w:p>
        </w:tc>
        <w:tc>
          <w:tcPr>
            <w:tcW w:w="5339" w:type="dxa"/>
            <w:vAlign w:val="top"/>
          </w:tcPr>
          <w:p>
            <w:pPr>
              <w:pStyle w:val="TableText"/>
              <w:jc w:val="left"/>
            </w:pPr>
            <w:r>
              <w:t xml:space="preserve">Conservative defaults; features stay switched off until approved</w:t>
            </w:r>
          </w:p>
        </w:tc>
      </w:tr>
      <w:tr>
        <w:trPr>
          <w:cantSplit/>
        </w:trPr>
        <w:tc>
          <w:tcPr>
            <w:tcW w:w="3688" w:type="dxa"/>
            <w:shd w:val="clear" w:color="auto" w:fill="F4F7FB"/>
            <w:vAlign w:val="top"/>
          </w:tcPr>
          <w:p>
            <w:pPr>
              <w:pStyle w:val="TableText"/>
              <w:jc w:val="left"/>
            </w:pPr>
            <w:r>
              <w:t xml:space="preserve">Scope grows during the MVP</w:t>
            </w:r>
          </w:p>
        </w:tc>
        <w:tc>
          <w:tcPr>
            <w:tcW w:w="5339" w:type="dxa"/>
            <w:shd w:val="clear" w:color="auto" w:fill="F4F7FB"/>
            <w:vAlign w:val="top"/>
          </w:tcPr>
          <w:p>
            <w:pPr>
              <w:pStyle w:val="TableText"/>
              <w:jc w:val="left"/>
            </w:pPr>
            <w:r>
              <w:t xml:space="preserve">Clear MVP boundary; change control; USD 5,200 reserve under TASCO’s control</w:t>
            </w:r>
          </w:p>
        </w:tc>
      </w:tr>
      <w:tr>
        <w:trPr>
          <w:cantSplit/>
        </w:trPr>
        <w:tc>
          <w:tcPr>
            <w:tcW w:w="3688" w:type="dxa"/>
            <w:vAlign w:val="top"/>
          </w:tcPr>
          <w:p>
            <w:pPr>
              <w:pStyle w:val="TableText"/>
              <w:jc w:val="left"/>
            </w:pPr>
            <w:r>
              <w:t xml:space="preserve">TASCO’s app, website or payment gateway cannot host the journeys as planned</w:t>
            </w:r>
          </w:p>
        </w:tc>
        <w:tc>
          <w:tcPr>
            <w:tcW w:w="5339" w:type="dxa"/>
            <w:vAlign w:val="top"/>
          </w:tcPr>
          <w:p>
            <w:pPr>
              <w:pStyle w:val="TableText"/>
              <w:jc w:val="left"/>
            </w:pPr>
            <w:r>
              <w:t xml:space="preserve">Capability checked in discovery; the journeys also work as a link from TASCO’s site; S3 is outside the MVP critical path</w:t>
            </w:r>
          </w:p>
        </w:tc>
      </w:tr>
      <w:tr>
        <w:trPr>
          <w:cantSplit/>
        </w:trPr>
        <w:tc>
          <w:tcPr>
            <w:tcW w:w="3688" w:type="dxa"/>
            <w:shd w:val="clear" w:color="auto" w:fill="F4F7FB"/>
            <w:vAlign w:val="top"/>
          </w:tcPr>
          <w:p>
            <w:pPr>
              <w:pStyle w:val="TableText"/>
              <w:jc w:val="left"/>
            </w:pPr>
            <w:r>
              <w:t xml:space="preserve">Dispute over Option B fees</w:t>
            </w:r>
          </w:p>
        </w:tc>
        <w:tc>
          <w:tcPr>
            <w:tcW w:w="5339" w:type="dxa"/>
            <w:shd w:val="clear" w:color="auto" w:fill="F4F7FB"/>
            <w:vAlign w:val="top"/>
          </w:tcPr>
          <w:p>
            <w:pPr>
              <w:pStyle w:val="TableText"/>
              <w:jc w:val="left"/>
            </w:pPr>
            <w:r>
              <w:t xml:space="preserve">Fee computed from the platform’s audited, hash-chained order records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9" w:name="_Toc300000035"/>
      <w:r>
        <w:rPr>
          <w:rStyle w:val="BookTitle"/>
          <w:bCs w:val="0"/>
          <w:i w:val="0"/>
          <w:iCs w:val="0"/>
          <w:spacing w:val="0"/>
        </w:rPr>
        <w:t xml:space="preserve">Sign-Off</w:t>
      </w:r>
      <w:bookmarkEnd w:id="3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64"/>
        <w:gridCol w:w="2019"/>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64"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19"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6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Commercial option chosen: Option A fixed price or Option B shared outcome</w:t>
            </w:r>
          </w:p>
        </w:tc>
        <w:tc>
          <w:tcPr>
            <w:tcW w:w="201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Programme Sponsor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6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Option B fee structured as a technology service fee per processed transaction, not commission (to be confirmed by TASCO legal)</w:t>
            </w:r>
          </w:p>
        </w:tc>
        <w:tc>
          <w:tcPr>
            <w:tcW w:w="201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Legal</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6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Tax treatment of software services, including foreign contractor tax</w:t>
            </w:r>
          </w:p>
        </w:tc>
        <w:tc>
          <w:tcPr>
            <w:tcW w:w="201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Finance and tax advisers</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06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Infrastructure provider in Vietnam selected</w:t>
            </w:r>
          </w:p>
        </w:tc>
        <w:tc>
          <w:tcPr>
            <w:tcW w:w="201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064"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Contract signature by 30/10/2026 to start on 02/11/2026</w:t>
            </w:r>
          </w:p>
        </w:tc>
        <w:tc>
          <w:tcPr>
            <w:tcW w:w="2019"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Procurement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42"/>
        <w:gridCol w:w="1641"/>
        <w:gridCol w:w="2571"/>
        <w:gridCol w:w="3773"/>
      </w:tblGrid>
      <w:tr w:rsidR="002B183A" w14:paraId="731A77C7" w14:textId="77777777" w:rsidTr="002923F3">
        <w:trPr>
          <w:cantSplit/>
          <w:trHeight w:val="440"/>
          <w:tblHeader/>
        </w:trPr>
        <w:tc>
          <w:tcPr>
            <w:tcW w:w="104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41"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571"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773"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4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4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7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773"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4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4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7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773"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Procurement and Finance</w:t>
            </w:r>
          </w:p>
        </w:tc>
      </w:tr>
      <w:tr w:rsidR="002B183A" w:rsidRPr="00BB346A" w14:paraId="2AD1806B" w14:textId="77777777" w:rsidTr="002923F3">
        <w:trPr>
          <w:cantSplit/>
          <w:trHeight w:val="760"/>
        </w:trPr>
        <w:tc>
          <w:tcPr>
            <w:tcW w:w="104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4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571"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773"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Engagement Management</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11120475" cy="885012"/>
          <wp:effectExtent l="0" t="0" r="4445" b="0"/>
          <wp:wrapNone/>
          <wp:docPr id="499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20475"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FooterLandscape" Type="http://schemas.openxmlformats.org/officeDocument/2006/relationships/footer" Target="footer3.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footer_band_landsca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Commercials and Engagement Model</dc:title>
  <dc:subject>TGP-BUS-07</dc:subject>
  <dc:creator>iorta TechNXT</dc:creator>
  <cp:keywords>TGP-BUS-07; TASCO Insurance; iorta TechNXT</cp:keywords>
  <dc:description>TASCO Motor Insurance Growth Platform</dc:description>
  <cp:lastModifiedBy>iorta TechNXT</cp:lastModifiedBy>
  <cp:revision>1</cp:revision>
  <dcterms:created xsi:type="dcterms:W3CDTF">2026-10-08T02:23:19Z</dcterms:created>
  <dcterms:modified xsi:type="dcterms:W3CDTF">2026-10-08T02:23:19Z</dcterms:modified>
</cp:coreProperties>
</file>