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TGP-DEL-02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Delivery Methodology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07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4</w:t>
        </w:r>
        <w:r>
          <w:rPr>
            <w:noProof/>
            <w:webHidden/>
          </w:rPr>
          <w:fldChar w:fldCharType="end"/>
        </w:r>
      </w:hyperlink>
    </w:p>
    <w:p>
      <w:pPr>
        <w:pStyle w:val="TOC1"/>
      </w:pPr>
      <w:hyperlink w:anchor="_Toc300000004" w:history="1">
        <w:r>
          <w:rPr>
            <w:noProof/>
          </w:rPr>
          <w:t>4.</w:t>
        </w:r>
        <w:r>
          <w:rPr>
            <w:noProof/>
          </w:rPr>
          <w:tab/>
        </w:r>
        <w:r>
          <w:rPr>
            <w:noProof/>
          </w:rPr>
          <w:t xml:space="preserve">Approach</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4</w:t>
        </w:r>
        <w:r>
          <w:rPr>
            <w:noProof/>
            <w:webHidden/>
          </w:rPr>
          <w:fldChar w:fldCharType="end"/>
        </w:r>
      </w:hyperlink>
    </w:p>
    <w:p>
      <w:pPr>
        <w:pStyle w:val="TOC1"/>
      </w:pPr>
      <w:hyperlink w:anchor="_Toc300000005" w:history="1">
        <w:r>
          <w:rPr>
            <w:noProof/>
          </w:rPr>
          <w:t>5.</w:t>
        </w:r>
        <w:r>
          <w:rPr>
            <w:noProof/>
          </w:rPr>
          <w:tab/>
        </w:r>
        <w:r>
          <w:rPr>
            <w:noProof/>
          </w:rPr>
          <w:t xml:space="preserve">Lanes of change</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4</w:t>
        </w:r>
        <w:r>
          <w:rPr>
            <w:noProof/>
            <w:webHidden/>
          </w:rPr>
          <w:fldChar w:fldCharType="end"/>
        </w:r>
      </w:hyperlink>
    </w:p>
    <w:p>
      <w:pPr>
        <w:pStyle w:val="TOC1"/>
      </w:pPr>
      <w:hyperlink w:anchor="_Toc300000006" w:history="1">
        <w:r>
          <w:rPr>
            <w:noProof/>
          </w:rPr>
          <w:t>6.</w:t>
        </w:r>
        <w:r>
          <w:rPr>
            <w:noProof/>
          </w:rPr>
          <w:tab/>
        </w:r>
        <w:r>
          <w:rPr>
            <w:noProof/>
          </w:rPr>
          <w:t xml:space="preserve">Sprint cadence</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5</w:t>
        </w:r>
        <w:r>
          <w:rPr>
            <w:noProof/>
            <w:webHidden/>
          </w:rPr>
          <w:fldChar w:fldCharType="end"/>
        </w:r>
      </w:hyperlink>
    </w:p>
    <w:p>
      <w:pPr>
        <w:pStyle w:val="TOC2"/>
      </w:pPr>
      <w:hyperlink w:anchor="_Toc300000007" w:history="1">
        <w:r>
          <w:rPr>
            <w:noProof/>
          </w:rPr>
          <w:t>6.1.</w:t>
        </w:r>
        <w:r>
          <w:rPr>
            <w:noProof/>
          </w:rPr>
          <w:tab/>
        </w:r>
        <w:r>
          <w:rPr>
            <w:noProof/>
          </w:rPr>
          <w:t xml:space="preserve">Roles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5</w:t>
        </w:r>
        <w:r>
          <w:rPr>
            <w:noProof/>
            <w:webHidden/>
          </w:rPr>
          <w:fldChar w:fldCharType="end"/>
        </w:r>
      </w:hyperlink>
    </w:p>
    <w:p>
      <w:pPr>
        <w:pStyle w:val="TOC2"/>
      </w:pPr>
      <w:hyperlink w:anchor="_Toc300000008" w:history="1">
        <w:r>
          <w:rPr>
            <w:noProof/>
          </w:rPr>
          <w:t>6.2.</w:t>
        </w:r>
        <w:r>
          <w:rPr>
            <w:noProof/>
          </w:rPr>
          <w:tab/>
        </w:r>
        <w:r>
          <w:rPr>
            <w:noProof/>
          </w:rPr>
          <w:t xml:space="preserve">Ceremonies</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5</w:t>
        </w:r>
        <w:r>
          <w:rPr>
            <w:noProof/>
            <w:webHidden/>
          </w:rPr>
          <w:fldChar w:fldCharType="end"/>
        </w:r>
      </w:hyperlink>
    </w:p>
    <w:p>
      <w:pPr>
        <w:pStyle w:val="TOC1"/>
      </w:pPr>
      <w:hyperlink w:anchor="_Toc300000009" w:history="1">
        <w:r>
          <w:rPr>
            <w:noProof/>
          </w:rPr>
          <w:t>7.</w:t>
        </w:r>
        <w:r>
          <w:rPr>
            <w:noProof/>
          </w:rPr>
          <w:tab/>
        </w:r>
        <w:r>
          <w:rPr>
            <w:noProof/>
          </w:rPr>
          <w:t xml:space="preserve">Definition of ready</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6</w:t>
        </w:r>
        <w:r>
          <w:rPr>
            <w:noProof/>
            <w:webHidden/>
          </w:rPr>
          <w:fldChar w:fldCharType="end"/>
        </w:r>
      </w:hyperlink>
    </w:p>
    <w:p>
      <w:pPr>
        <w:pStyle w:val="TOC1"/>
      </w:pPr>
      <w:hyperlink w:anchor="_Toc300000010" w:history="1">
        <w:r>
          <w:rPr>
            <w:noProof/>
          </w:rPr>
          <w:t>8.</w:t>
        </w:r>
        <w:r>
          <w:rPr>
            <w:noProof/>
          </w:rPr>
          <w:tab/>
        </w:r>
        <w:r>
          <w:rPr>
            <w:noProof/>
          </w:rPr>
          <w:t xml:space="preserve">Definition of done</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6</w:t>
        </w:r>
        <w:r>
          <w:rPr>
            <w:noProof/>
            <w:webHidden/>
          </w:rPr>
          <w:fldChar w:fldCharType="end"/>
        </w:r>
      </w:hyperlink>
    </w:p>
    <w:p>
      <w:pPr>
        <w:pStyle w:val="TOC1"/>
      </w:pPr>
      <w:hyperlink w:anchor="_Toc300000011" w:history="1">
        <w:r>
          <w:rPr>
            <w:noProof/>
          </w:rPr>
          <w:t>9.</w:t>
        </w:r>
        <w:r>
          <w:rPr>
            <w:noProof/>
          </w:rPr>
          <w:tab/>
        </w:r>
        <w:r>
          <w:rPr>
            <w:noProof/>
          </w:rPr>
          <w:t xml:space="preserve">Quality gates</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7</w:t>
        </w:r>
        <w:r>
          <w:rPr>
            <w:noProof/>
            <w:webHidden/>
          </w:rPr>
          <w:fldChar w:fldCharType="end"/>
        </w:r>
      </w:hyperlink>
    </w:p>
    <w:p>
      <w:pPr>
        <w:pStyle w:val="TOC1"/>
      </w:pPr>
      <w:hyperlink w:anchor="_Toc300000012" w:history="1">
        <w:r>
          <w:rPr>
            <w:noProof/>
          </w:rPr>
          <w:t>10.</w:t>
        </w:r>
        <w:r>
          <w:rPr>
            <w:noProof/>
          </w:rPr>
          <w:tab/>
        </w:r>
        <w:r>
          <w:rPr>
            <w:noProof/>
          </w:rPr>
          <w:t xml:space="preserve">Environments</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7</w:t>
        </w:r>
        <w:r>
          <w:rPr>
            <w:noProof/>
            <w:webHidden/>
          </w:rPr>
          <w:fldChar w:fldCharType="end"/>
        </w:r>
      </w:hyperlink>
    </w:p>
    <w:p>
      <w:pPr>
        <w:pStyle w:val="TOC1"/>
      </w:pPr>
      <w:hyperlink w:anchor="_Toc300000013" w:history="1">
        <w:r>
          <w:rPr>
            <w:noProof/>
          </w:rPr>
          <w:t>11.</w:t>
        </w:r>
        <w:r>
          <w:rPr>
            <w:noProof/>
          </w:rPr>
          <w:tab/>
        </w:r>
        <w:r>
          <w:rPr>
            <w:noProof/>
          </w:rPr>
          <w:t xml:space="preserve">Governance</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8</w:t>
        </w:r>
        <w:r>
          <w:rPr>
            <w:noProof/>
            <w:webHidden/>
          </w:rPr>
          <w:fldChar w:fldCharType="end"/>
        </w:r>
      </w:hyperlink>
    </w:p>
    <w:p>
      <w:pPr>
        <w:pStyle w:val="TOC2"/>
      </w:pPr>
      <w:hyperlink w:anchor="_Toc300000014" w:history="1">
        <w:r>
          <w:rPr>
            <w:noProof/>
          </w:rPr>
          <w:t>11.1.</w:t>
        </w:r>
        <w:r>
          <w:rPr>
            <w:noProof/>
          </w:rPr>
          <w:tab/>
        </w:r>
        <w:r>
          <w:rPr>
            <w:noProof/>
          </w:rPr>
          <w:t xml:space="preserve">Forums</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8</w:t>
        </w:r>
        <w:r>
          <w:rPr>
            <w:noProof/>
            <w:webHidden/>
          </w:rPr>
          <w:fldChar w:fldCharType="end"/>
        </w:r>
      </w:hyperlink>
    </w:p>
    <w:p>
      <w:pPr>
        <w:pStyle w:val="TOC2"/>
      </w:pPr>
      <w:hyperlink w:anchor="_Toc300000015" w:history="1">
        <w:r>
          <w:rPr>
            <w:noProof/>
          </w:rPr>
          <w:t>11.2.</w:t>
        </w:r>
        <w:r>
          <w:rPr>
            <w:noProof/>
          </w:rPr>
          <w:tab/>
        </w:r>
        <w:r>
          <w:rPr>
            <w:noProof/>
          </w:rPr>
          <w:t xml:space="preserve">Change control</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9</w:t>
        </w:r>
        <w:r>
          <w:rPr>
            <w:noProof/>
            <w:webHidden/>
          </w:rPr>
          <w:fldChar w:fldCharType="end"/>
        </w:r>
      </w:hyperlink>
    </w:p>
    <w:p>
      <w:pPr>
        <w:pStyle w:val="TOC2"/>
      </w:pPr>
      <w:hyperlink w:anchor="_Toc300000016" w:history="1">
        <w:r>
          <w:rPr>
            <w:noProof/>
          </w:rPr>
          <w:t>11.3.</w:t>
        </w:r>
        <w:r>
          <w:rPr>
            <w:noProof/>
          </w:rPr>
          <w:tab/>
        </w:r>
        <w:r>
          <w:rPr>
            <w:noProof/>
          </w:rPr>
          <w:t xml:space="preserve">Escalation</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10</w:t>
        </w:r>
        <w:r>
          <w:rPr>
            <w:noProof/>
            <w:webHidden/>
          </w:rPr>
          <w:fldChar w:fldCharType="end"/>
        </w:r>
      </w:hyperlink>
    </w:p>
    <w:p>
      <w:pPr>
        <w:pStyle w:val="TOC1"/>
      </w:pPr>
      <w:hyperlink w:anchor="_Toc300000017" w:history="1">
        <w:r>
          <w:rPr>
            <w:noProof/>
          </w:rPr>
          <w:t>12.</w:t>
        </w:r>
        <w:r>
          <w:rPr>
            <w:noProof/>
          </w:rPr>
          <w:tab/>
        </w:r>
        <w:r>
          <w:rPr>
            <w:noProof/>
          </w:rPr>
          <w:t xml:space="preserve">Reporting</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10</w:t>
        </w:r>
        <w:r>
          <w:rPr>
            <w:noProof/>
            <w:webHidden/>
          </w:rPr>
          <w:fldChar w:fldCharType="end"/>
        </w:r>
      </w:hyperlink>
    </w:p>
    <w:p>
      <w:pPr>
        <w:pStyle w:val="TOC1"/>
      </w:pPr>
      <w:hyperlink w:anchor="_Toc300000018" w:history="1">
        <w:r>
          <w:rPr>
            <w:noProof/>
          </w:rPr>
          <w:t>13.</w:t>
        </w:r>
        <w:r>
          <w:rPr>
            <w:noProof/>
          </w:rPr>
          <w:tab/>
        </w:r>
        <w:r>
          <w:rPr>
            <w:noProof/>
          </w:rPr>
          <w:t xml:space="preserve">Tooling</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10</w:t>
        </w:r>
        <w:r>
          <w:rPr>
            <w:noProof/>
            <w:webHidden/>
          </w:rPr>
          <w:fldChar w:fldCharType="end"/>
        </w:r>
      </w:hyperlink>
    </w:p>
    <w:p>
      <w:pPr>
        <w:pStyle w:val="TOC1"/>
      </w:pPr>
      <w:hyperlink w:anchor="_Toc300000019" w:history="1">
        <w:r>
          <w:rPr>
            <w:noProof/>
          </w:rPr>
          <w:t>14.</w:t>
        </w:r>
        <w:r>
          <w:rPr>
            <w:noProof/>
          </w:rPr>
          <w:tab/>
        </w:r>
        <w:r>
          <w:rPr>
            <w:noProof/>
          </w:rPr>
          <w:t xml:space="preserve">Sign-Off</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11</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01"/>
        <w:gridCol w:w="925"/>
        <w:gridCol w:w="1700"/>
        <w:gridCol w:w="2000"/>
        <w:gridCol w:w="2000"/>
        <w:gridCol w:w="1201"/>
      </w:tblGrid>
      <w:tr w:rsidR="002B183A" w14:paraId="4E198CD6" w14:textId="77777777" w:rsidTr="002923F3">
        <w:trPr>
          <w:cantSplit/>
          <w:trHeight w:val="440"/>
          <w:tblHeader/>
        </w:trPr>
        <w:tc>
          <w:tcPr>
            <w:tcW w:w="1201"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25"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700"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2000"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000"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201"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201"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07/10/2026</w:t>
            </w:r>
          </w:p>
        </w:tc>
        <w:tc>
          <w:tcPr>
            <w:tcW w:w="925"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700"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Delivery Management</w:t>
            </w:r>
          </w:p>
        </w:tc>
        <w:tc>
          <w:tcPr>
            <w:tcW w:w="2000"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Management</w:t>
            </w:r>
          </w:p>
        </w:tc>
        <w:tc>
          <w:tcPr>
            <w:tcW w:w="2000"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201"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511"/>
        <w:gridCol w:w="7516"/>
      </w:tblGrid>
      <w:tr w:rsidR="002B183A" w14:paraId="388F227F" w14:textId="77777777" w:rsidTr="002923F3">
        <w:trPr>
          <w:cantSplit/>
          <w:trHeight w:val="440"/>
          <w:tblHeader/>
        </w:trPr>
        <w:tc>
          <w:tcPr>
            <w:tcW w:w="1511"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516"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5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75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15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CI</w:t>
            </w:r>
          </w:p>
        </w:tc>
        <w:tc>
          <w:tcPr>
            <w:tcW w:w="75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Continuous Integration</w:t>
            </w:r>
          </w:p>
        </w:tc>
      </w:tr>
      <w:tr w:rsidR="002B183A" w:rsidRPr="00BB346A" w14:paraId="73CFB63E" w14:textId="77777777" w:rsidTr="002923F3">
        <w:trPr>
          <w:cantSplit/>
          <w:trHeight w:val="449"/>
        </w:trPr>
        <w:tc>
          <w:tcPr>
            <w:tcW w:w="15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DAST</w:t>
            </w:r>
          </w:p>
        </w:tc>
        <w:tc>
          <w:tcPr>
            <w:tcW w:w="75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Dynamic Application Security Testing</w:t>
            </w:r>
          </w:p>
        </w:tc>
      </w:tr>
      <w:tr w:rsidR="002B183A" w:rsidRPr="00BB346A" w14:paraId="73CFB63E" w14:textId="77777777" w:rsidTr="002923F3">
        <w:trPr>
          <w:cantSplit/>
          <w:trHeight w:val="449"/>
        </w:trPr>
        <w:tc>
          <w:tcPr>
            <w:tcW w:w="15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w:t>
            </w:r>
          </w:p>
        </w:tc>
        <w:tc>
          <w:tcPr>
            <w:tcW w:w="75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Information Technology</w:t>
            </w:r>
          </w:p>
        </w:tc>
      </w:tr>
      <w:tr w:rsidR="002B183A" w:rsidRPr="00BB346A" w14:paraId="73CFB63E" w14:textId="77777777" w:rsidTr="002923F3">
        <w:trPr>
          <w:cantSplit/>
          <w:trHeight w:val="449"/>
        </w:trPr>
        <w:tc>
          <w:tcPr>
            <w:tcW w:w="15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MFA</w:t>
            </w:r>
          </w:p>
        </w:tc>
        <w:tc>
          <w:tcPr>
            <w:tcW w:w="75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Multi-Factor Authentication</w:t>
            </w:r>
          </w:p>
        </w:tc>
      </w:tr>
      <w:tr w:rsidR="002B183A" w:rsidRPr="00BB346A" w14:paraId="73CFB63E" w14:textId="77777777" w:rsidTr="002923F3">
        <w:trPr>
          <w:cantSplit/>
          <w:trHeight w:val="449"/>
        </w:trPr>
        <w:tc>
          <w:tcPr>
            <w:tcW w:w="15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MVP</w:t>
            </w:r>
          </w:p>
        </w:tc>
        <w:tc>
          <w:tcPr>
            <w:tcW w:w="75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Minimum Viable Product</w:t>
            </w:r>
          </w:p>
        </w:tc>
      </w:tr>
      <w:tr w:rsidR="002B183A" w:rsidRPr="00BB346A" w14:paraId="73CFB63E" w14:textId="77777777" w:rsidTr="002923F3">
        <w:trPr>
          <w:cantSplit/>
          <w:trHeight w:val="449"/>
        </w:trPr>
        <w:tc>
          <w:tcPr>
            <w:tcW w:w="15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QA</w:t>
            </w:r>
          </w:p>
        </w:tc>
        <w:tc>
          <w:tcPr>
            <w:tcW w:w="75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Quality Assurance</w:t>
            </w:r>
          </w:p>
        </w:tc>
      </w:tr>
      <w:tr w:rsidR="002B183A" w:rsidRPr="00BB346A" w14:paraId="73CFB63E" w14:textId="77777777" w:rsidTr="002923F3">
        <w:trPr>
          <w:cantSplit/>
          <w:trHeight w:val="449"/>
        </w:trPr>
        <w:tc>
          <w:tcPr>
            <w:tcW w:w="15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RACI</w:t>
            </w:r>
          </w:p>
        </w:tc>
        <w:tc>
          <w:tcPr>
            <w:tcW w:w="75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Responsible, Accountable, Consulted, Informed</w:t>
            </w:r>
          </w:p>
        </w:tc>
      </w:tr>
      <w:tr w:rsidR="002B183A" w:rsidRPr="00BB346A" w14:paraId="73CFB63E" w14:textId="77777777" w:rsidTr="002923F3">
        <w:trPr>
          <w:cantSplit/>
          <w:trHeight w:val="449"/>
        </w:trPr>
        <w:tc>
          <w:tcPr>
            <w:tcW w:w="15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RAG</w:t>
            </w:r>
          </w:p>
        </w:tc>
        <w:tc>
          <w:tcPr>
            <w:tcW w:w="75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Red, Amber, Green status</w:t>
            </w:r>
          </w:p>
        </w:tc>
      </w:tr>
      <w:tr w:rsidR="002B183A" w:rsidRPr="00BB346A" w14:paraId="73CFB63E" w14:textId="77777777" w:rsidTr="002923F3">
        <w:trPr>
          <w:cantSplit/>
          <w:trHeight w:val="449"/>
        </w:trPr>
        <w:tc>
          <w:tcPr>
            <w:tcW w:w="15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SAST</w:t>
            </w:r>
          </w:p>
        </w:tc>
        <w:tc>
          <w:tcPr>
            <w:tcW w:w="75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Static Application Security Testing</w:t>
            </w:r>
          </w:p>
        </w:tc>
      </w:tr>
      <w:tr w:rsidR="002B183A" w:rsidRPr="00BB346A" w14:paraId="73CFB63E" w14:textId="77777777" w:rsidTr="002923F3">
        <w:trPr>
          <w:cantSplit/>
          <w:trHeight w:val="449"/>
        </w:trPr>
        <w:tc>
          <w:tcPr>
            <w:tcW w:w="15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SIT</w:t>
            </w:r>
          </w:p>
        </w:tc>
        <w:tc>
          <w:tcPr>
            <w:tcW w:w="75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System Integration Testing</w:t>
            </w:r>
          </w:p>
        </w:tc>
      </w:tr>
      <w:tr w:rsidR="002B183A" w:rsidRPr="00BB346A" w14:paraId="73CFB63E" w14:textId="77777777" w:rsidTr="002923F3">
        <w:trPr>
          <w:cantSplit/>
          <w:trHeight w:val="449"/>
        </w:trPr>
        <w:tc>
          <w:tcPr>
            <w:tcW w:w="15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SME</w:t>
            </w:r>
          </w:p>
        </w:tc>
        <w:tc>
          <w:tcPr>
            <w:tcW w:w="75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Subject-Matter Expert</w:t>
            </w:r>
          </w:p>
        </w:tc>
      </w:tr>
      <w:tr w:rsidR="002B183A" w:rsidRPr="00BB346A" w14:paraId="73CFB63E" w14:textId="77777777" w:rsidTr="002923F3">
        <w:trPr>
          <w:cantSplit/>
          <w:trHeight w:val="449"/>
        </w:trPr>
        <w:tc>
          <w:tcPr>
            <w:tcW w:w="15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5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5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75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15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UI</w:t>
            </w:r>
          </w:p>
        </w:tc>
        <w:tc>
          <w:tcPr>
            <w:tcW w:w="75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Interface</w:t>
            </w:r>
          </w:p>
        </w:tc>
      </w:tr>
      <w:tr w:rsidR="002B183A" w:rsidRPr="00BB346A" w14:paraId="73CFB63E" w14:textId="77777777" w:rsidTr="002923F3">
        <w:trPr>
          <w:cantSplit/>
          <w:trHeight w:val="449"/>
        </w:trPr>
        <w:tc>
          <w:tcPr>
            <w:tcW w:w="15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UX</w:t>
            </w:r>
          </w:p>
        </w:tc>
        <w:tc>
          <w:tcPr>
            <w:tcW w:w="75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Experience</w:t>
            </w:r>
          </w:p>
        </w:tc>
      </w:tr>
      <w:tr w:rsidR="002B183A" w:rsidRPr="00BB346A" w14:paraId="73CFB63E" w14:textId="77777777" w:rsidTr="002923F3">
        <w:trPr>
          <w:cantSplit/>
          <w:trHeight w:val="449"/>
        </w:trPr>
        <w:tc>
          <w:tcPr>
            <w:tcW w:w="15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VETC</w:t>
            </w:r>
          </w:p>
        </w:tc>
        <w:tc>
          <w:tcPr>
            <w:tcW w:w="75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VETC Automatic Toll Collection Company</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FirstParagraph"/>
      </w:pPr>
      <w:r>
        <w:t xml:space="preserve">This document describes how iorta TechNXT runs the delivery of the TASCO Growth Platform (the platform): the sprint cadence, the definitions of ready and done, the quality gates, the environments, and the governance forums through which TASCO Insurance and VETC steer the work.</w:t>
      </w:r>
    </w:p>
    <w:p>
      <w:pPr>
        <w:pStyle w:val="BodyText"/>
      </w:pPr>
      <w:r>
        <w:t xml:space="preserve">It applies to the MVP described in TGP-DEL-01 Project Plan, from discovery to the end of hypercare, and to releases made during the pilot.</w:t>
      </w:r>
    </w:p>
    <w:p>
      <w:pPr>
        <w:pStyle w:val="BodyText"/>
      </w:pPr>
      <w:r>
        <w:t xml:space="preserve">The audience is the TASCO product owner, the delivery team, TASCO IT and the members of the steering committee and product council.</w:t>
      </w:r>
    </w:p>
    <w:p>
      <w:pPr>
        <w:pStyle w:val="BodyText"/>
      </w:pPr>
      <w:r>
        <w:t xml:space="preserve">Related documents: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506"/>
        <w:gridCol w:w="3116"/>
        <w:gridCol w:w="4405"/>
      </w:tblGrid>
      <w:tr>
        <w:trPr>
          <w:cantSplit/>
          <w:tblHeader/>
        </w:trPr>
        <w:tc>
          <w:tcPr>
            <w:tcW w:w="1506" w:type="dxa"/>
            <w:shd w:val="clear" w:color="auto" w:fill="0F4761"/>
            <w:vAlign w:val="center"/>
          </w:tcPr>
          <w:p>
            <w:pPr>
              <w:pStyle w:val="TableHeading"/>
              <w:jc w:val="left"/>
            </w:pPr>
            <w:r>
              <w:rPr>
                <w:color w:val="FFFFFF"/>
              </w:rPr>
              <w:t xml:space="preserve">ID</w:t>
            </w:r>
          </w:p>
        </w:tc>
        <w:tc>
          <w:tcPr>
            <w:tcW w:w="3116" w:type="dxa"/>
            <w:shd w:val="clear" w:color="auto" w:fill="0F4761"/>
            <w:vAlign w:val="center"/>
          </w:tcPr>
          <w:p>
            <w:pPr>
              <w:pStyle w:val="TableHeading"/>
              <w:jc w:val="left"/>
            </w:pPr>
            <w:r>
              <w:rPr>
                <w:color w:val="FFFFFF"/>
              </w:rPr>
              <w:t xml:space="preserve">Title</w:t>
            </w:r>
          </w:p>
        </w:tc>
        <w:tc>
          <w:tcPr>
            <w:tcW w:w="4405" w:type="dxa"/>
            <w:shd w:val="clear" w:color="auto" w:fill="0F4761"/>
            <w:vAlign w:val="center"/>
          </w:tcPr>
          <w:p>
            <w:pPr>
              <w:pStyle w:val="TableHeading"/>
              <w:jc w:val="left"/>
            </w:pPr>
            <w:r>
              <w:rPr>
                <w:color w:val="FFFFFF"/>
              </w:rPr>
              <w:t xml:space="preserve">Relationship</w:t>
            </w:r>
          </w:p>
        </w:tc>
      </w:tr>
      <w:tr>
        <w:trPr>
          <w:cantSplit/>
        </w:trPr>
        <w:tc>
          <w:tcPr>
            <w:tcW w:w="1506" w:type="dxa"/>
            <w:noWrap/>
            <w:vAlign w:val="top"/>
          </w:tcPr>
          <w:p>
            <w:pPr>
              <w:pStyle w:val="TableText"/>
              <w:jc w:val="left"/>
            </w:pPr>
            <w:r>
              <w:t xml:space="preserve">TGP-DEL-01</w:t>
            </w:r>
          </w:p>
        </w:tc>
        <w:tc>
          <w:tcPr>
            <w:tcW w:w="3116" w:type="dxa"/>
            <w:vAlign w:val="top"/>
          </w:tcPr>
          <w:p>
            <w:pPr>
              <w:pStyle w:val="TableText"/>
              <w:jc w:val="left"/>
            </w:pPr>
            <w:r>
              <w:t xml:space="preserve">Project Plan</w:t>
            </w:r>
          </w:p>
        </w:tc>
        <w:tc>
          <w:tcPr>
            <w:tcW w:w="4405" w:type="dxa"/>
            <w:vAlign w:val="top"/>
          </w:tcPr>
          <w:p>
            <w:pPr>
              <w:pStyle w:val="TableText"/>
              <w:jc w:val="left"/>
            </w:pPr>
            <w:r>
              <w:t xml:space="preserve">Stages, sprints and milestones</w:t>
            </w:r>
          </w:p>
        </w:tc>
      </w:tr>
      <w:tr>
        <w:trPr>
          <w:cantSplit/>
        </w:trPr>
        <w:tc>
          <w:tcPr>
            <w:tcW w:w="1506" w:type="dxa"/>
            <w:shd w:val="clear" w:color="auto" w:fill="F4F7FB"/>
            <w:noWrap/>
            <w:vAlign w:val="top"/>
          </w:tcPr>
          <w:p>
            <w:pPr>
              <w:pStyle w:val="TableText"/>
              <w:jc w:val="left"/>
            </w:pPr>
            <w:r>
              <w:t xml:space="preserve">TGP-DEL-03</w:t>
            </w:r>
          </w:p>
        </w:tc>
        <w:tc>
          <w:tcPr>
            <w:tcW w:w="3116" w:type="dxa"/>
            <w:shd w:val="clear" w:color="auto" w:fill="F4F7FB"/>
            <w:vAlign w:val="top"/>
          </w:tcPr>
          <w:p>
            <w:pPr>
              <w:pStyle w:val="TableText"/>
              <w:jc w:val="left"/>
            </w:pPr>
            <w:r>
              <w:t xml:space="preserve">RACI Matrix</w:t>
            </w:r>
          </w:p>
        </w:tc>
        <w:tc>
          <w:tcPr>
            <w:tcW w:w="4405" w:type="dxa"/>
            <w:shd w:val="clear" w:color="auto" w:fill="F4F7FB"/>
            <w:vAlign w:val="top"/>
          </w:tcPr>
          <w:p>
            <w:pPr>
              <w:pStyle w:val="TableText"/>
              <w:jc w:val="left"/>
            </w:pPr>
            <w:r>
              <w:t xml:space="preserve">Roles for each activity</w:t>
            </w:r>
          </w:p>
        </w:tc>
      </w:tr>
      <w:tr>
        <w:trPr>
          <w:cantSplit/>
        </w:trPr>
        <w:tc>
          <w:tcPr>
            <w:tcW w:w="1506" w:type="dxa"/>
            <w:noWrap/>
            <w:vAlign w:val="top"/>
          </w:tcPr>
          <w:p>
            <w:pPr>
              <w:pStyle w:val="TableText"/>
              <w:jc w:val="left"/>
            </w:pPr>
            <w:r>
              <w:t xml:space="preserve">TGP-DEL-04</w:t>
            </w:r>
          </w:p>
        </w:tc>
        <w:tc>
          <w:tcPr>
            <w:tcW w:w="3116" w:type="dxa"/>
            <w:vAlign w:val="top"/>
          </w:tcPr>
          <w:p>
            <w:pPr>
              <w:pStyle w:val="TableText"/>
              <w:jc w:val="left"/>
            </w:pPr>
            <w:r>
              <w:t xml:space="preserve">Risk Register</w:t>
            </w:r>
          </w:p>
        </w:tc>
        <w:tc>
          <w:tcPr>
            <w:tcW w:w="4405" w:type="dxa"/>
            <w:vAlign w:val="top"/>
          </w:tcPr>
          <w:p>
            <w:pPr>
              <w:pStyle w:val="TableText"/>
              <w:jc w:val="left"/>
            </w:pPr>
            <w:r>
              <w:t xml:space="preserve">Risks reviewed in the forums below</w:t>
            </w:r>
          </w:p>
        </w:tc>
      </w:tr>
      <w:tr>
        <w:trPr>
          <w:cantSplit/>
        </w:trPr>
        <w:tc>
          <w:tcPr>
            <w:tcW w:w="1506" w:type="dxa"/>
            <w:shd w:val="clear" w:color="auto" w:fill="F4F7FB"/>
            <w:noWrap/>
            <w:vAlign w:val="top"/>
          </w:tcPr>
          <w:p>
            <w:pPr>
              <w:pStyle w:val="TableText"/>
              <w:jc w:val="left"/>
            </w:pPr>
            <w:r>
              <w:t xml:space="preserve">TGP-QA-01</w:t>
            </w:r>
          </w:p>
        </w:tc>
        <w:tc>
          <w:tcPr>
            <w:tcW w:w="3116" w:type="dxa"/>
            <w:shd w:val="clear" w:color="auto" w:fill="F4F7FB"/>
            <w:vAlign w:val="top"/>
          </w:tcPr>
          <w:p>
            <w:pPr>
              <w:pStyle w:val="TableText"/>
              <w:jc w:val="left"/>
            </w:pPr>
            <w:r>
              <w:t xml:space="preserve">Test Strategy</w:t>
            </w:r>
          </w:p>
        </w:tc>
        <w:tc>
          <w:tcPr>
            <w:tcW w:w="4405" w:type="dxa"/>
            <w:shd w:val="clear" w:color="auto" w:fill="F4F7FB"/>
            <w:vAlign w:val="top"/>
          </w:tcPr>
          <w:p>
            <w:pPr>
              <w:pStyle w:val="TableText"/>
              <w:jc w:val="left"/>
            </w:pPr>
            <w:r>
              <w:t xml:space="preserve">Test levels and coverage targets</w:t>
            </w:r>
          </w:p>
        </w:tc>
      </w:tr>
      <w:tr>
        <w:trPr>
          <w:cantSplit/>
        </w:trPr>
        <w:tc>
          <w:tcPr>
            <w:tcW w:w="1506" w:type="dxa"/>
            <w:noWrap/>
            <w:vAlign w:val="top"/>
          </w:tcPr>
          <w:p>
            <w:pPr>
              <w:pStyle w:val="TableText"/>
              <w:jc w:val="left"/>
            </w:pPr>
            <w:r>
              <w:t xml:space="preserve">TGP-OPS-06</w:t>
            </w:r>
          </w:p>
        </w:tc>
        <w:tc>
          <w:tcPr>
            <w:tcW w:w="3116" w:type="dxa"/>
            <w:vAlign w:val="top"/>
          </w:tcPr>
          <w:p>
            <w:pPr>
              <w:pStyle w:val="TableText"/>
              <w:jc w:val="left"/>
            </w:pPr>
            <w:r>
              <w:t xml:space="preserve">Release and Change Management</w:t>
            </w:r>
          </w:p>
        </w:tc>
        <w:tc>
          <w:tcPr>
            <w:tcW w:w="4405" w:type="dxa"/>
            <w:vAlign w:val="top"/>
          </w:tcPr>
          <w:p>
            <w:pPr>
              <w:pStyle w:val="TableText"/>
              <w:jc w:val="left"/>
            </w:pPr>
            <w:r>
              <w:t xml:space="preserve">Production release process</w:t>
            </w:r>
          </w:p>
        </w:tc>
      </w:tr>
      <w:tr>
        <w:trPr>
          <w:cantSplit/>
        </w:trPr>
        <w:tc>
          <w:tcPr>
            <w:tcW w:w="1506" w:type="dxa"/>
            <w:shd w:val="clear" w:color="auto" w:fill="F4F7FB"/>
            <w:noWrap/>
            <w:vAlign w:val="top"/>
          </w:tcPr>
          <w:p>
            <w:pPr>
              <w:pStyle w:val="TableText"/>
              <w:jc w:val="left"/>
            </w:pPr>
            <w:r>
              <w:t xml:space="preserve">TGP-ARC-07</w:t>
            </w:r>
          </w:p>
        </w:tc>
        <w:tc>
          <w:tcPr>
            <w:tcW w:w="3116" w:type="dxa"/>
            <w:shd w:val="clear" w:color="auto" w:fill="F4F7FB"/>
            <w:vAlign w:val="top"/>
          </w:tcPr>
          <w:p>
            <w:pPr>
              <w:pStyle w:val="TableText"/>
              <w:jc w:val="left"/>
            </w:pPr>
            <w:r>
              <w:t xml:space="preserve">Architecture Decision Records</w:t>
            </w:r>
          </w:p>
        </w:tc>
        <w:tc>
          <w:tcPr>
            <w:tcW w:w="4405" w:type="dxa"/>
            <w:shd w:val="clear" w:color="auto" w:fill="F4F7FB"/>
            <w:vAlign w:val="top"/>
          </w:tcPr>
          <w:p>
            <w:pPr>
              <w:pStyle w:val="TableText"/>
              <w:jc w:val="left"/>
            </w:pPr>
            <w:r>
              <w:t xml:space="preserve">Where design decisions are recorded</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8" w:name="_Toc300000004"/>
      <w:r>
        <w:rPr>
          <w:rStyle w:val="BookTitle"/>
          <w:bCs w:val="0"/>
          <w:i w:val="0"/>
          <w:iCs w:val="0"/>
          <w:spacing w:val="0"/>
        </w:rPr>
        <w:t xml:space="preserve">Approach</w:t>
      </w:r>
      <w:bookmarkEnd w:id="8"/>
    </w:p>
    <w:p>
      <w:pPr>
        <w:pStyle w:val="FirstParagraph"/>
      </w:pPr>
      <w:r>
        <w:t xml:space="preserve">We run two-week sprints for the build and use the contract milestones M1 to M4 as stage gates. Each sprint ends with a working demonstration on the integration sandboxes, so TASCO sees progress every two weeks.</w:t>
      </w:r>
    </w:p>
    <w:p>
      <w:pPr>
        <w:pStyle w:val="BodyText"/>
      </w:pPr>
      <w:r>
        <w:t xml:space="preserve">Some changes cannot simply be iterated into production in an insurance business: premiums for TNDS, customer wording, consent, contact rules, partner commission, security and personal data. For these, the platform enforces approval by a named second person before the change takes effect, and the approval is kept in the audit trail.</w:t>
      </w:r>
    </w:p>
    <w:p>
      <w:pPr>
        <w:pStyle w:val="BodyText"/>
      </w:pPr>
      <w:r>
        <w:t xml:space="preserve">Most business behaviour lives in rule sets, not in code. Scoring weights, journey timings, message wording and benefits are configured with TASCO’s product team in the rules studio during the sprints, rather than specified on paper and handed over.</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9" w:name="_Toc300000005"/>
      <w:r>
        <w:rPr>
          <w:rStyle w:val="BookTitle"/>
          <w:bCs w:val="0"/>
          <w:i w:val="0"/>
          <w:iCs w:val="0"/>
          <w:spacing w:val="0"/>
        </w:rPr>
        <w:t xml:space="preserve">Lanes of change</w:t>
      </w:r>
      <w:bookmarkEnd w:id="9"/>
    </w:p>
    <w:p>
      <w:pPr>
        <w:pStyle w:val="FirstParagraph"/>
      </w:pPr>
      <w:r>
        <w:t xml:space="preserve">Every change reaches production through one of three lanes.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38"/>
        <w:gridCol w:w="2451"/>
        <w:gridCol w:w="2555"/>
        <w:gridCol w:w="2183"/>
      </w:tblGrid>
      <w:tr>
        <w:trPr>
          <w:cantSplit/>
          <w:tblHeader/>
        </w:trPr>
        <w:tc>
          <w:tcPr>
            <w:tcW w:w="1838" w:type="dxa"/>
            <w:shd w:val="clear" w:color="auto" w:fill="0F4761"/>
            <w:vAlign w:val="center"/>
          </w:tcPr>
          <w:p>
            <w:pPr>
              <w:pStyle w:val="TableHeading"/>
              <w:jc w:val="left"/>
            </w:pPr>
            <w:r>
              <w:rPr>
                <w:color w:val="FFFFFF"/>
              </w:rPr>
              <w:t xml:space="preserve">Lane</w:t>
            </w:r>
          </w:p>
        </w:tc>
        <w:tc>
          <w:tcPr>
            <w:tcW w:w="2451" w:type="dxa"/>
            <w:shd w:val="clear" w:color="auto" w:fill="0F4761"/>
            <w:vAlign w:val="center"/>
          </w:tcPr>
          <w:p>
            <w:pPr>
              <w:pStyle w:val="TableHeading"/>
              <w:jc w:val="left"/>
            </w:pPr>
            <w:r>
              <w:rPr>
                <w:color w:val="FFFFFF"/>
              </w:rPr>
              <w:t xml:space="preserve">Examples</w:t>
            </w:r>
          </w:p>
        </w:tc>
        <w:tc>
          <w:tcPr>
            <w:tcW w:w="2555" w:type="dxa"/>
            <w:shd w:val="clear" w:color="auto" w:fill="0F4761"/>
            <w:vAlign w:val="center"/>
          </w:tcPr>
          <w:p>
            <w:pPr>
              <w:pStyle w:val="TableHeading"/>
              <w:jc w:val="left"/>
            </w:pPr>
            <w:r>
              <w:rPr>
                <w:color w:val="FFFFFF"/>
              </w:rPr>
              <w:t xml:space="preserve">Path to production</w:t>
            </w:r>
          </w:p>
        </w:tc>
        <w:tc>
          <w:tcPr>
            <w:tcW w:w="2183" w:type="dxa"/>
            <w:shd w:val="clear" w:color="auto" w:fill="0F4761"/>
            <w:vAlign w:val="center"/>
          </w:tcPr>
          <w:p>
            <w:pPr>
              <w:pStyle w:val="TableHeading"/>
              <w:jc w:val="left"/>
            </w:pPr>
            <w:r>
              <w:rPr>
                <w:color w:val="FFFFFF"/>
              </w:rPr>
              <w:t xml:space="preserve">Approver</w:t>
            </w:r>
          </w:p>
        </w:tc>
      </w:tr>
      <w:tr>
        <w:trPr>
          <w:cantSplit/>
        </w:trPr>
        <w:tc>
          <w:tcPr>
            <w:tcW w:w="1838" w:type="dxa"/>
            <w:vAlign w:val="top"/>
          </w:tcPr>
          <w:p>
            <w:pPr>
              <w:pStyle w:val="TableText"/>
              <w:jc w:val="left"/>
            </w:pPr>
            <w:r>
              <w:t xml:space="preserve">Code</w:t>
            </w:r>
          </w:p>
        </w:tc>
        <w:tc>
          <w:tcPr>
            <w:tcW w:w="2451" w:type="dxa"/>
            <w:vAlign w:val="top"/>
          </w:tcPr>
          <w:p>
            <w:pPr>
              <w:pStyle w:val="TableText"/>
              <w:jc w:val="left"/>
            </w:pPr>
            <w:r>
              <w:t xml:space="preserve">New adapter, defect fix, screen change</w:t>
            </w:r>
          </w:p>
        </w:tc>
        <w:tc>
          <w:tcPr>
            <w:tcW w:w="2555" w:type="dxa"/>
            <w:vAlign w:val="top"/>
          </w:tcPr>
          <w:p>
            <w:pPr>
              <w:pStyle w:val="TableText"/>
              <w:jc w:val="left"/>
            </w:pPr>
            <w:r>
              <w:t xml:space="preserve">Pull request, CI quality gates, pre-production, release</w:t>
            </w:r>
          </w:p>
        </w:tc>
        <w:tc>
          <w:tcPr>
            <w:tcW w:w="2183" w:type="dxa"/>
            <w:vAlign w:val="top"/>
          </w:tcPr>
          <w:p>
            <w:pPr>
              <w:pStyle w:val="TableText"/>
              <w:jc w:val="left"/>
            </w:pPr>
            <w:r>
              <w:t xml:space="preserve">Peer reviewer; TASCO change advisory board for production</w:t>
            </w:r>
          </w:p>
        </w:tc>
      </w:tr>
      <w:tr>
        <w:trPr>
          <w:cantSplit/>
        </w:trPr>
        <w:tc>
          <w:tcPr>
            <w:tcW w:w="1838" w:type="dxa"/>
            <w:shd w:val="clear" w:color="auto" w:fill="F4F7FB"/>
            <w:vAlign w:val="top"/>
          </w:tcPr>
          <w:p>
            <w:pPr>
              <w:pStyle w:val="TableText"/>
              <w:jc w:val="left"/>
            </w:pPr>
            <w:r>
              <w:t xml:space="preserve">Security configuration</w:t>
            </w:r>
          </w:p>
        </w:tc>
        <w:tc>
          <w:tcPr>
            <w:tcW w:w="2451" w:type="dxa"/>
            <w:shd w:val="clear" w:color="auto" w:fill="F4F7FB"/>
            <w:vAlign w:val="top"/>
          </w:tcPr>
          <w:p>
            <w:pPr>
              <w:pStyle w:val="TableText"/>
              <w:jc w:val="left"/>
            </w:pPr>
            <w:r>
              <w:t xml:space="preserve">Roles and permissions, MFA settings, secrets</w:t>
            </w:r>
          </w:p>
        </w:tc>
        <w:tc>
          <w:tcPr>
            <w:tcW w:w="2555" w:type="dxa"/>
            <w:shd w:val="clear" w:color="auto" w:fill="F4F7FB"/>
            <w:vAlign w:val="top"/>
          </w:tcPr>
          <w:p>
            <w:pPr>
              <w:pStyle w:val="TableText"/>
              <w:jc w:val="left"/>
            </w:pPr>
            <w:r>
              <w:t xml:space="preserve">Pull request with security review, then release</w:t>
            </w:r>
          </w:p>
        </w:tc>
        <w:tc>
          <w:tcPr>
            <w:tcW w:w="2183" w:type="dxa"/>
            <w:shd w:val="clear" w:color="auto" w:fill="F4F7FB"/>
            <w:vAlign w:val="top"/>
          </w:tcPr>
          <w:p>
            <w:pPr>
              <w:pStyle w:val="TableText"/>
              <w:jc w:val="left"/>
            </w:pPr>
            <w:r>
              <w:t xml:space="preserve">TASCO IT security</w:t>
            </w:r>
          </w:p>
        </w:tc>
      </w:tr>
      <w:tr>
        <w:trPr>
          <w:cantSplit/>
        </w:trPr>
        <w:tc>
          <w:tcPr>
            <w:tcW w:w="1838" w:type="dxa"/>
            <w:vAlign w:val="top"/>
          </w:tcPr>
          <w:p>
            <w:pPr>
              <w:pStyle w:val="TableText"/>
              <w:jc w:val="left"/>
            </w:pPr>
            <w:r>
              <w:t xml:space="preserve">Business rules</w:t>
            </w:r>
          </w:p>
        </w:tc>
        <w:tc>
          <w:tcPr>
            <w:tcW w:w="2451" w:type="dxa"/>
            <w:vAlign w:val="top"/>
          </w:tcPr>
          <w:p>
            <w:pPr>
              <w:pStyle w:val="TableText"/>
              <w:jc w:val="left"/>
            </w:pPr>
            <w:r>
              <w:t xml:space="preserve">Scoring, journeys, benefits, message templates, voice script, commission, contact rules</w:t>
            </w:r>
          </w:p>
        </w:tc>
        <w:tc>
          <w:tcPr>
            <w:tcW w:w="2555" w:type="dxa"/>
            <w:vAlign w:val="top"/>
          </w:tcPr>
          <w:p>
            <w:pPr>
              <w:pStyle w:val="TableText"/>
              <w:jc w:val="left"/>
            </w:pPr>
            <w:r>
              <w:t xml:space="preserve">Rules studio: draft, check, simulate, submit, approve</w:t>
            </w:r>
          </w:p>
        </w:tc>
        <w:tc>
          <w:tcPr>
            <w:tcW w:w="2183" w:type="dxa"/>
            <w:vAlign w:val="top"/>
          </w:tcPr>
          <w:p>
            <w:pPr>
              <w:pStyle w:val="TableText"/>
              <w:jc w:val="left"/>
            </w:pPr>
            <w:r>
              <w:t xml:space="preserve">A different user with approval rights; compliance officer for restricted rule types</w:t>
            </w:r>
          </w:p>
        </w:tc>
      </w:tr>
    </w:tbl>
    <w:p>
      <w:pPr>
        <w:pStyle w:val="BodyText"/>
        <w:spacing w:before="160"/>
      </w:pPr>
      <w:r>
        <w:t xml:space="preserve">The platform refuses self-approval of a rule change. Contact rules, wording controls, access policies, commission and retention can only be approved by a compliance officer. Product changes from TASCO core arrive through the catalogue sync at 01:00 Vietnam time as a proposed change and go through the same approval. In production, the price a customer pays is set by TASCO core.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0" w:name="_Toc300000006"/>
      <w:r>
        <w:rPr>
          <w:rStyle w:val="BookTitle"/>
          <w:bCs w:val="0"/>
          <w:i w:val="0"/>
          <w:iCs w:val="0"/>
          <w:spacing w:val="0"/>
        </w:rPr>
        <w:t xml:space="preserve">Sprint cadence</w:t>
      </w:r>
      <w:bookmarkEnd w:id="10"/>
    </w:p>
    <w:p>
      <w:pPr>
        <w:pStyle w:val="Heading2"/>
      </w:pPr>
      <w:bookmarkStart w:id="11" w:name="_Toc300000007"/>
      <w:r>
        <w:t xml:space="preserve">Roles</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308"/>
        <w:gridCol w:w="1413"/>
        <w:gridCol w:w="5306"/>
      </w:tblGrid>
      <w:tr>
        <w:trPr>
          <w:cantSplit/>
          <w:tblHeader/>
        </w:trPr>
        <w:tc>
          <w:tcPr>
            <w:tcW w:w="2308" w:type="dxa"/>
            <w:shd w:val="clear" w:color="auto" w:fill="0F4761"/>
            <w:vAlign w:val="center"/>
          </w:tcPr>
          <w:p>
            <w:pPr>
              <w:pStyle w:val="TableHeading"/>
              <w:jc w:val="left"/>
            </w:pPr>
            <w:r>
              <w:rPr>
                <w:color w:val="FFFFFF"/>
              </w:rPr>
              <w:t xml:space="preserve">Role</w:t>
            </w:r>
          </w:p>
        </w:tc>
        <w:tc>
          <w:tcPr>
            <w:tcW w:w="1413" w:type="dxa"/>
            <w:shd w:val="clear" w:color="auto" w:fill="0F4761"/>
            <w:vAlign w:val="center"/>
          </w:tcPr>
          <w:p>
            <w:pPr>
              <w:pStyle w:val="TableHeading"/>
              <w:jc w:val="left"/>
            </w:pPr>
            <w:r>
              <w:rPr>
                <w:color w:val="FFFFFF"/>
              </w:rPr>
              <w:t xml:space="preserve">Held by</w:t>
            </w:r>
          </w:p>
        </w:tc>
        <w:tc>
          <w:tcPr>
            <w:tcW w:w="5306" w:type="dxa"/>
            <w:shd w:val="clear" w:color="auto" w:fill="0F4761"/>
            <w:vAlign w:val="center"/>
          </w:tcPr>
          <w:p>
            <w:pPr>
              <w:pStyle w:val="TableHeading"/>
              <w:jc w:val="left"/>
            </w:pPr>
            <w:r>
              <w:rPr>
                <w:color w:val="FFFFFF"/>
              </w:rPr>
              <w:t xml:space="preserve">Responsibility</w:t>
            </w:r>
          </w:p>
        </w:tc>
      </w:tr>
      <w:tr>
        <w:trPr>
          <w:cantSplit/>
        </w:trPr>
        <w:tc>
          <w:tcPr>
            <w:tcW w:w="2308" w:type="dxa"/>
            <w:vAlign w:val="top"/>
          </w:tcPr>
          <w:p>
            <w:pPr>
              <w:pStyle w:val="TableText"/>
              <w:jc w:val="left"/>
            </w:pPr>
            <w:r>
              <w:t xml:space="preserve">Product owner</w:t>
            </w:r>
          </w:p>
        </w:tc>
        <w:tc>
          <w:tcPr>
            <w:tcW w:w="1413" w:type="dxa"/>
            <w:vAlign w:val="top"/>
          </w:tcPr>
          <w:p>
            <w:pPr>
              <w:pStyle w:val="TableText"/>
              <w:jc w:val="left"/>
            </w:pPr>
            <w:r>
              <w:t xml:space="preserve">TASCO</w:t>
            </w:r>
          </w:p>
        </w:tc>
        <w:tc>
          <w:tcPr>
            <w:tcW w:w="5306" w:type="dxa"/>
            <w:vAlign w:val="top"/>
          </w:tcPr>
          <w:p>
            <w:pPr>
              <w:pStyle w:val="TableText"/>
              <w:jc w:val="left"/>
            </w:pPr>
            <w:r>
              <w:t xml:space="preserve">Owns the backlog, sets priorities, accepts stories</w:t>
            </w:r>
          </w:p>
        </w:tc>
      </w:tr>
      <w:tr>
        <w:trPr>
          <w:cantSplit/>
        </w:trPr>
        <w:tc>
          <w:tcPr>
            <w:tcW w:w="2308" w:type="dxa"/>
            <w:shd w:val="clear" w:color="auto" w:fill="F4F7FB"/>
            <w:vAlign w:val="top"/>
          </w:tcPr>
          <w:p>
            <w:pPr>
              <w:pStyle w:val="TableText"/>
              <w:jc w:val="left"/>
            </w:pPr>
            <w:r>
              <w:t xml:space="preserve">Engagement manager</w:t>
            </w:r>
          </w:p>
        </w:tc>
        <w:tc>
          <w:tcPr>
            <w:tcW w:w="1413" w:type="dxa"/>
            <w:shd w:val="clear" w:color="auto" w:fill="F4F7FB"/>
            <w:vAlign w:val="top"/>
          </w:tcPr>
          <w:p>
            <w:pPr>
              <w:pStyle w:val="TableText"/>
              <w:jc w:val="left"/>
            </w:pPr>
            <w:r>
              <w:t xml:space="preserve">iorta TechNXT</w:t>
            </w:r>
          </w:p>
        </w:tc>
        <w:tc>
          <w:tcPr>
            <w:tcW w:w="5306" w:type="dxa"/>
            <w:shd w:val="clear" w:color="auto" w:fill="F4F7FB"/>
            <w:vAlign w:val="top"/>
          </w:tcPr>
          <w:p>
            <w:pPr>
              <w:pStyle w:val="TableText"/>
              <w:jc w:val="left"/>
            </w:pPr>
            <w:r>
              <w:t xml:space="preserve">Runs the delivery, removes impediments, reports status</w:t>
            </w:r>
          </w:p>
        </w:tc>
      </w:tr>
      <w:tr>
        <w:trPr>
          <w:cantSplit/>
        </w:trPr>
        <w:tc>
          <w:tcPr>
            <w:tcW w:w="2308" w:type="dxa"/>
            <w:vAlign w:val="top"/>
          </w:tcPr>
          <w:p>
            <w:pPr>
              <w:pStyle w:val="TableText"/>
              <w:jc w:val="left"/>
            </w:pPr>
            <w:r>
              <w:t xml:space="preserve">Business analyst and insurance SME</w:t>
            </w:r>
          </w:p>
        </w:tc>
        <w:tc>
          <w:tcPr>
            <w:tcW w:w="1413" w:type="dxa"/>
            <w:vAlign w:val="top"/>
          </w:tcPr>
          <w:p>
            <w:pPr>
              <w:pStyle w:val="TableText"/>
              <w:jc w:val="left"/>
            </w:pPr>
            <w:r>
              <w:t xml:space="preserve">iorta TechNXT</w:t>
            </w:r>
          </w:p>
        </w:tc>
        <w:tc>
          <w:tcPr>
            <w:tcW w:w="5306" w:type="dxa"/>
            <w:vAlign w:val="top"/>
          </w:tcPr>
          <w:p>
            <w:pPr>
              <w:pStyle w:val="TableText"/>
              <w:jc w:val="left"/>
            </w:pPr>
            <w:r>
              <w:t xml:space="preserve">Writes stories and acceptance criteria; configures rules with TASCO</w:t>
            </w:r>
          </w:p>
        </w:tc>
      </w:tr>
      <w:tr>
        <w:trPr>
          <w:cantSplit/>
        </w:trPr>
        <w:tc>
          <w:tcPr>
            <w:tcW w:w="2308" w:type="dxa"/>
            <w:shd w:val="clear" w:color="auto" w:fill="F4F7FB"/>
            <w:vAlign w:val="top"/>
          </w:tcPr>
          <w:p>
            <w:pPr>
              <w:pStyle w:val="TableText"/>
              <w:jc w:val="left"/>
            </w:pPr>
            <w:r>
              <w:t xml:space="preserve">Delivery team</w:t>
            </w:r>
          </w:p>
        </w:tc>
        <w:tc>
          <w:tcPr>
            <w:tcW w:w="1413" w:type="dxa"/>
            <w:shd w:val="clear" w:color="auto" w:fill="F4F7FB"/>
            <w:vAlign w:val="top"/>
          </w:tcPr>
          <w:p>
            <w:pPr>
              <w:pStyle w:val="TableText"/>
              <w:jc w:val="left"/>
            </w:pPr>
            <w:r>
              <w:t xml:space="preserve">iorta TechNXT</w:t>
            </w:r>
          </w:p>
        </w:tc>
        <w:tc>
          <w:tcPr>
            <w:tcW w:w="5306" w:type="dxa"/>
            <w:shd w:val="clear" w:color="auto" w:fill="F4F7FB"/>
            <w:vAlign w:val="top"/>
          </w:tcPr>
          <w:p>
            <w:pPr>
              <w:pStyle w:val="TableText"/>
              <w:jc w:val="left"/>
            </w:pPr>
            <w:r>
              <w:t xml:space="preserve">Architecture, integration, engineering, QA, DevSecOps, UX</w:t>
            </w:r>
          </w:p>
        </w:tc>
      </w:tr>
      <w:tr>
        <w:trPr>
          <w:cantSplit/>
        </w:trPr>
        <w:tc>
          <w:tcPr>
            <w:tcW w:w="2308" w:type="dxa"/>
            <w:vAlign w:val="top"/>
          </w:tcPr>
          <w:p>
            <w:pPr>
              <w:pStyle w:val="TableText"/>
              <w:jc w:val="left"/>
            </w:pPr>
            <w:r>
              <w:t xml:space="preserve">Client experts</w:t>
            </w:r>
          </w:p>
        </w:tc>
        <w:tc>
          <w:tcPr>
            <w:tcW w:w="1413" w:type="dxa"/>
            <w:vAlign w:val="top"/>
          </w:tcPr>
          <w:p>
            <w:pPr>
              <w:pStyle w:val="TableText"/>
              <w:jc w:val="left"/>
            </w:pPr>
            <w:r>
              <w:t xml:space="preserve">TASCO and VETC</w:t>
            </w:r>
          </w:p>
        </w:tc>
        <w:tc>
          <w:tcPr>
            <w:tcW w:w="5306" w:type="dxa"/>
            <w:vAlign w:val="top"/>
          </w:tcPr>
          <w:p>
            <w:pPr>
              <w:pStyle w:val="TableText"/>
              <w:jc w:val="left"/>
            </w:pPr>
            <w:r>
              <w:t xml:space="preserve">Attend refinement and reviews: core system, VETC integration, compliance, telesales</w:t>
            </w:r>
          </w:p>
        </w:tc>
      </w:tr>
    </w:tbl>
    <w:p>
      <w:pPr>
        <w:pStyle w:val="Heading2"/>
      </w:pPr>
      <w:bookmarkStart w:id="12" w:name="_Toc300000008"/>
      <w:r>
        <w:t xml:space="preserve">Ceremonies</w:t>
      </w:r>
      <w:bookmarkEnd w:id="1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64"/>
        <w:gridCol w:w="1347"/>
        <w:gridCol w:w="1137"/>
        <w:gridCol w:w="2317"/>
        <w:gridCol w:w="2362"/>
      </w:tblGrid>
      <w:tr>
        <w:trPr>
          <w:cantSplit/>
          <w:tblHeader/>
        </w:trPr>
        <w:tc>
          <w:tcPr>
            <w:tcW w:w="1864" w:type="dxa"/>
            <w:shd w:val="clear" w:color="auto" w:fill="0F4761"/>
            <w:vAlign w:val="center"/>
          </w:tcPr>
          <w:p>
            <w:pPr>
              <w:pStyle w:val="TableHeading"/>
              <w:jc w:val="left"/>
            </w:pPr>
            <w:r>
              <w:rPr>
                <w:color w:val="FFFFFF"/>
              </w:rPr>
              <w:t xml:space="preserve">Ceremony</w:t>
            </w:r>
          </w:p>
        </w:tc>
        <w:tc>
          <w:tcPr>
            <w:tcW w:w="1347" w:type="dxa"/>
            <w:shd w:val="clear" w:color="auto" w:fill="0F4761"/>
            <w:vAlign w:val="center"/>
          </w:tcPr>
          <w:p>
            <w:pPr>
              <w:pStyle w:val="TableHeading"/>
              <w:jc w:val="left"/>
            </w:pPr>
            <w:r>
              <w:rPr>
                <w:color w:val="FFFFFF"/>
              </w:rPr>
              <w:t xml:space="preserve">When</w:t>
            </w:r>
          </w:p>
        </w:tc>
        <w:tc>
          <w:tcPr>
            <w:tcW w:w="1137" w:type="dxa"/>
            <w:shd w:val="clear" w:color="auto" w:fill="0F4761"/>
            <w:vAlign w:val="center"/>
          </w:tcPr>
          <w:p>
            <w:pPr>
              <w:pStyle w:val="TableHeading"/>
              <w:jc w:val="left"/>
            </w:pPr>
            <w:r>
              <w:rPr>
                <w:color w:val="FFFFFF"/>
              </w:rPr>
              <w:t xml:space="preserve">Length</w:t>
            </w:r>
          </w:p>
        </w:tc>
        <w:tc>
          <w:tcPr>
            <w:tcW w:w="2317" w:type="dxa"/>
            <w:shd w:val="clear" w:color="auto" w:fill="0F4761"/>
            <w:vAlign w:val="center"/>
          </w:tcPr>
          <w:p>
            <w:pPr>
              <w:pStyle w:val="TableHeading"/>
              <w:jc w:val="left"/>
            </w:pPr>
            <w:r>
              <w:rPr>
                <w:color w:val="FFFFFF"/>
              </w:rPr>
              <w:t xml:space="preserve">Participants</w:t>
            </w:r>
          </w:p>
        </w:tc>
        <w:tc>
          <w:tcPr>
            <w:tcW w:w="2362" w:type="dxa"/>
            <w:shd w:val="clear" w:color="auto" w:fill="0F4761"/>
            <w:vAlign w:val="center"/>
          </w:tcPr>
          <w:p>
            <w:pPr>
              <w:pStyle w:val="TableHeading"/>
              <w:jc w:val="left"/>
            </w:pPr>
            <w:r>
              <w:rPr>
                <w:color w:val="FFFFFF"/>
              </w:rPr>
              <w:t xml:space="preserve">Output</w:t>
            </w:r>
          </w:p>
        </w:tc>
      </w:tr>
      <w:tr>
        <w:trPr>
          <w:cantSplit/>
        </w:trPr>
        <w:tc>
          <w:tcPr>
            <w:tcW w:w="1864" w:type="dxa"/>
            <w:vAlign w:val="top"/>
          </w:tcPr>
          <w:p>
            <w:pPr>
              <w:pStyle w:val="TableText"/>
              <w:jc w:val="left"/>
            </w:pPr>
            <w:r>
              <w:t xml:space="preserve">Sprint planning</w:t>
            </w:r>
          </w:p>
        </w:tc>
        <w:tc>
          <w:tcPr>
            <w:tcW w:w="1347" w:type="dxa"/>
            <w:vAlign w:val="top"/>
          </w:tcPr>
          <w:p>
            <w:pPr>
              <w:pStyle w:val="TableText"/>
              <w:jc w:val="left"/>
            </w:pPr>
            <w:r>
              <w:t xml:space="preserve">First day of sprint</w:t>
            </w:r>
          </w:p>
        </w:tc>
        <w:tc>
          <w:tcPr>
            <w:tcW w:w="1137" w:type="dxa"/>
            <w:vAlign w:val="top"/>
          </w:tcPr>
          <w:p>
            <w:pPr>
              <w:pStyle w:val="TableText"/>
              <w:jc w:val="left"/>
            </w:pPr>
            <w:r>
              <w:t xml:space="preserve">2 hours</w:t>
            </w:r>
          </w:p>
        </w:tc>
        <w:tc>
          <w:tcPr>
            <w:tcW w:w="2317" w:type="dxa"/>
            <w:vAlign w:val="top"/>
          </w:tcPr>
          <w:p>
            <w:pPr>
              <w:pStyle w:val="TableText"/>
              <w:jc w:val="left"/>
            </w:pPr>
            <w:r>
              <w:t xml:space="preserve">Delivery team, product owner</w:t>
            </w:r>
          </w:p>
        </w:tc>
        <w:tc>
          <w:tcPr>
            <w:tcW w:w="2362" w:type="dxa"/>
            <w:vAlign w:val="top"/>
          </w:tcPr>
          <w:p>
            <w:pPr>
              <w:pStyle w:val="TableText"/>
              <w:jc w:val="left"/>
            </w:pPr>
            <w:r>
              <w:t xml:space="preserve">Sprint goal and committed stories</w:t>
            </w:r>
          </w:p>
        </w:tc>
      </w:tr>
      <w:tr>
        <w:trPr>
          <w:cantSplit/>
        </w:trPr>
        <w:tc>
          <w:tcPr>
            <w:tcW w:w="1864" w:type="dxa"/>
            <w:shd w:val="clear" w:color="auto" w:fill="F4F7FB"/>
            <w:vAlign w:val="top"/>
          </w:tcPr>
          <w:p>
            <w:pPr>
              <w:pStyle w:val="TableText"/>
              <w:jc w:val="left"/>
            </w:pPr>
            <w:r>
              <w:t xml:space="preserve">Daily stand-up</w:t>
            </w:r>
          </w:p>
        </w:tc>
        <w:tc>
          <w:tcPr>
            <w:tcW w:w="1347" w:type="dxa"/>
            <w:shd w:val="clear" w:color="auto" w:fill="F4F7FB"/>
            <w:vAlign w:val="top"/>
          </w:tcPr>
          <w:p>
            <w:pPr>
              <w:pStyle w:val="TableText"/>
              <w:jc w:val="left"/>
            </w:pPr>
            <w:r>
              <w:t xml:space="preserve">Daily, 09:15 Vietnam time</w:t>
            </w:r>
          </w:p>
        </w:tc>
        <w:tc>
          <w:tcPr>
            <w:tcW w:w="1137" w:type="dxa"/>
            <w:shd w:val="clear" w:color="auto" w:fill="F4F7FB"/>
            <w:vAlign w:val="top"/>
          </w:tcPr>
          <w:p>
            <w:pPr>
              <w:pStyle w:val="TableText"/>
              <w:jc w:val="left"/>
            </w:pPr>
            <w:r>
              <w:t xml:space="preserve">15 minutes</w:t>
            </w:r>
          </w:p>
        </w:tc>
        <w:tc>
          <w:tcPr>
            <w:tcW w:w="2317" w:type="dxa"/>
            <w:shd w:val="clear" w:color="auto" w:fill="F4F7FB"/>
            <w:vAlign w:val="top"/>
          </w:tcPr>
          <w:p>
            <w:pPr>
              <w:pStyle w:val="TableText"/>
              <w:jc w:val="left"/>
            </w:pPr>
            <w:r>
              <w:t xml:space="preserve">Delivery team</w:t>
            </w:r>
          </w:p>
        </w:tc>
        <w:tc>
          <w:tcPr>
            <w:tcW w:w="2362" w:type="dxa"/>
            <w:shd w:val="clear" w:color="auto" w:fill="F4F7FB"/>
            <w:vAlign w:val="top"/>
          </w:tcPr>
          <w:p>
            <w:pPr>
              <w:pStyle w:val="TableText"/>
              <w:jc w:val="left"/>
            </w:pPr>
            <w:r>
              <w:t xml:space="preserve">Impediments raised</w:t>
            </w:r>
          </w:p>
        </w:tc>
      </w:tr>
      <w:tr>
        <w:trPr>
          <w:cantSplit/>
        </w:trPr>
        <w:tc>
          <w:tcPr>
            <w:tcW w:w="1864" w:type="dxa"/>
            <w:vAlign w:val="top"/>
          </w:tcPr>
          <w:p>
            <w:pPr>
              <w:pStyle w:val="TableText"/>
              <w:jc w:val="left"/>
            </w:pPr>
            <w:r>
              <w:t xml:space="preserve">Backlog refinement</w:t>
            </w:r>
          </w:p>
        </w:tc>
        <w:tc>
          <w:tcPr>
            <w:tcW w:w="1347" w:type="dxa"/>
            <w:vAlign w:val="top"/>
          </w:tcPr>
          <w:p>
            <w:pPr>
              <w:pStyle w:val="TableText"/>
              <w:jc w:val="left"/>
            </w:pPr>
            <w:r>
              <w:t xml:space="preserve">Weekly</w:t>
            </w:r>
          </w:p>
        </w:tc>
        <w:tc>
          <w:tcPr>
            <w:tcW w:w="1137" w:type="dxa"/>
            <w:vAlign w:val="top"/>
          </w:tcPr>
          <w:p>
            <w:pPr>
              <w:pStyle w:val="TableText"/>
              <w:jc w:val="left"/>
            </w:pPr>
            <w:r>
              <w:t xml:space="preserve">90 minutes</w:t>
            </w:r>
          </w:p>
        </w:tc>
        <w:tc>
          <w:tcPr>
            <w:tcW w:w="2317" w:type="dxa"/>
            <w:vAlign w:val="top"/>
          </w:tcPr>
          <w:p>
            <w:pPr>
              <w:pStyle w:val="TableText"/>
              <w:jc w:val="left"/>
            </w:pPr>
            <w:r>
              <w:t xml:space="preserve">Product owner, analyst, architect, QA</w:t>
            </w:r>
          </w:p>
        </w:tc>
        <w:tc>
          <w:tcPr>
            <w:tcW w:w="2362" w:type="dxa"/>
            <w:vAlign w:val="top"/>
          </w:tcPr>
          <w:p>
            <w:pPr>
              <w:pStyle w:val="TableText"/>
              <w:jc w:val="left"/>
            </w:pPr>
            <w:r>
              <w:t xml:space="preserve">Stories that meet the definition of ready</w:t>
            </w:r>
          </w:p>
        </w:tc>
      </w:tr>
      <w:tr>
        <w:trPr>
          <w:cantSplit/>
        </w:trPr>
        <w:tc>
          <w:tcPr>
            <w:tcW w:w="1864" w:type="dxa"/>
            <w:shd w:val="clear" w:color="auto" w:fill="F4F7FB"/>
            <w:vAlign w:val="top"/>
          </w:tcPr>
          <w:p>
            <w:pPr>
              <w:pStyle w:val="TableText"/>
              <w:jc w:val="left"/>
            </w:pPr>
            <w:r>
              <w:t xml:space="preserve">Integration sync</w:t>
            </w:r>
          </w:p>
        </w:tc>
        <w:tc>
          <w:tcPr>
            <w:tcW w:w="1347" w:type="dxa"/>
            <w:shd w:val="clear" w:color="auto" w:fill="F4F7FB"/>
            <w:vAlign w:val="top"/>
          </w:tcPr>
          <w:p>
            <w:pPr>
              <w:pStyle w:val="TableText"/>
              <w:jc w:val="left"/>
            </w:pPr>
            <w:r>
              <w:t xml:space="preserve">Twice a week</w:t>
            </w:r>
          </w:p>
        </w:tc>
        <w:tc>
          <w:tcPr>
            <w:tcW w:w="1137" w:type="dxa"/>
            <w:shd w:val="clear" w:color="auto" w:fill="F4F7FB"/>
            <w:vAlign w:val="top"/>
          </w:tcPr>
          <w:p>
            <w:pPr>
              <w:pStyle w:val="TableText"/>
              <w:jc w:val="left"/>
            </w:pPr>
            <w:r>
              <w:t xml:space="preserve">30 minutes</w:t>
            </w:r>
          </w:p>
        </w:tc>
        <w:tc>
          <w:tcPr>
            <w:tcW w:w="2317" w:type="dxa"/>
            <w:shd w:val="clear" w:color="auto" w:fill="F4F7FB"/>
            <w:vAlign w:val="top"/>
          </w:tcPr>
          <w:p>
            <w:pPr>
              <w:pStyle w:val="TableText"/>
              <w:jc w:val="left"/>
            </w:pPr>
            <w:r>
              <w:t xml:space="preserve">Integration lead, TASCO IT, VETC integration lead</w:t>
            </w:r>
          </w:p>
        </w:tc>
        <w:tc>
          <w:tcPr>
            <w:tcW w:w="2362" w:type="dxa"/>
            <w:shd w:val="clear" w:color="auto" w:fill="F4F7FB"/>
            <w:vAlign w:val="top"/>
          </w:tcPr>
          <w:p>
            <w:pPr>
              <w:pStyle w:val="TableText"/>
              <w:jc w:val="left"/>
            </w:pPr>
            <w:r>
              <w:t xml:space="preserve">Interface questions and sandbox issues resolved</w:t>
            </w:r>
          </w:p>
        </w:tc>
      </w:tr>
      <w:tr>
        <w:trPr>
          <w:cantSplit/>
        </w:trPr>
        <w:tc>
          <w:tcPr>
            <w:tcW w:w="1864" w:type="dxa"/>
            <w:vAlign w:val="top"/>
          </w:tcPr>
          <w:p>
            <w:pPr>
              <w:pStyle w:val="TableText"/>
              <w:jc w:val="left"/>
            </w:pPr>
            <w:r>
              <w:t xml:space="preserve">Rules workshop</w:t>
            </w:r>
          </w:p>
        </w:tc>
        <w:tc>
          <w:tcPr>
            <w:tcW w:w="1347" w:type="dxa"/>
            <w:vAlign w:val="top"/>
          </w:tcPr>
          <w:p>
            <w:pPr>
              <w:pStyle w:val="TableText"/>
              <w:jc w:val="left"/>
            </w:pPr>
            <w:r>
              <w:t xml:space="preserve">Weekly</w:t>
            </w:r>
          </w:p>
        </w:tc>
        <w:tc>
          <w:tcPr>
            <w:tcW w:w="1137" w:type="dxa"/>
            <w:vAlign w:val="top"/>
          </w:tcPr>
          <w:p>
            <w:pPr>
              <w:pStyle w:val="TableText"/>
              <w:jc w:val="left"/>
            </w:pPr>
            <w:r>
              <w:t xml:space="preserve">60 minutes</w:t>
            </w:r>
          </w:p>
        </w:tc>
        <w:tc>
          <w:tcPr>
            <w:tcW w:w="2317" w:type="dxa"/>
            <w:vAlign w:val="top"/>
          </w:tcPr>
          <w:p>
            <w:pPr>
              <w:pStyle w:val="TableText"/>
              <w:jc w:val="left"/>
            </w:pPr>
            <w:r>
              <w:t xml:space="preserve">Analyst, TASCO product team, compliance</w:t>
            </w:r>
          </w:p>
        </w:tc>
        <w:tc>
          <w:tcPr>
            <w:tcW w:w="2362" w:type="dxa"/>
            <w:vAlign w:val="top"/>
          </w:tcPr>
          <w:p>
            <w:pPr>
              <w:pStyle w:val="TableText"/>
              <w:jc w:val="left"/>
            </w:pPr>
            <w:r>
              <w:t xml:space="preserve">Rule changes drafted and simulated</w:t>
            </w:r>
          </w:p>
        </w:tc>
      </w:tr>
      <w:tr>
        <w:trPr>
          <w:cantSplit/>
        </w:trPr>
        <w:tc>
          <w:tcPr>
            <w:tcW w:w="1864" w:type="dxa"/>
            <w:shd w:val="clear" w:color="auto" w:fill="F4F7FB"/>
            <w:vAlign w:val="top"/>
          </w:tcPr>
          <w:p>
            <w:pPr>
              <w:pStyle w:val="TableText"/>
              <w:jc w:val="left"/>
            </w:pPr>
            <w:r>
              <w:t xml:space="preserve">Sprint review</w:t>
            </w:r>
          </w:p>
        </w:tc>
        <w:tc>
          <w:tcPr>
            <w:tcW w:w="1347" w:type="dxa"/>
            <w:shd w:val="clear" w:color="auto" w:fill="F4F7FB"/>
            <w:vAlign w:val="top"/>
          </w:tcPr>
          <w:p>
            <w:pPr>
              <w:pStyle w:val="TableText"/>
              <w:jc w:val="left"/>
            </w:pPr>
            <w:r>
              <w:t xml:space="preserve">Last day of sprint</w:t>
            </w:r>
          </w:p>
        </w:tc>
        <w:tc>
          <w:tcPr>
            <w:tcW w:w="1137" w:type="dxa"/>
            <w:shd w:val="clear" w:color="auto" w:fill="F4F7FB"/>
            <w:vAlign w:val="top"/>
          </w:tcPr>
          <w:p>
            <w:pPr>
              <w:pStyle w:val="TableText"/>
              <w:jc w:val="left"/>
            </w:pPr>
            <w:r>
              <w:t xml:space="preserve">90 minutes</w:t>
            </w:r>
          </w:p>
        </w:tc>
        <w:tc>
          <w:tcPr>
            <w:tcW w:w="2317" w:type="dxa"/>
            <w:shd w:val="clear" w:color="auto" w:fill="F4F7FB"/>
            <w:vAlign w:val="top"/>
          </w:tcPr>
          <w:p>
            <w:pPr>
              <w:pStyle w:val="TableText"/>
              <w:jc w:val="left"/>
            </w:pPr>
            <w:r>
              <w:t xml:space="preserve">Product owner, key users, delivery team</w:t>
            </w:r>
          </w:p>
        </w:tc>
        <w:tc>
          <w:tcPr>
            <w:tcW w:w="2362" w:type="dxa"/>
            <w:shd w:val="clear" w:color="auto" w:fill="F4F7FB"/>
            <w:vAlign w:val="top"/>
          </w:tcPr>
          <w:p>
            <w:pPr>
              <w:pStyle w:val="TableText"/>
              <w:jc w:val="left"/>
            </w:pPr>
            <w:r>
              <w:t xml:space="preserve">Increment demonstrated against acceptance criteria</w:t>
            </w:r>
          </w:p>
        </w:tc>
      </w:tr>
      <w:tr>
        <w:trPr>
          <w:cantSplit/>
        </w:trPr>
        <w:tc>
          <w:tcPr>
            <w:tcW w:w="1864" w:type="dxa"/>
            <w:vAlign w:val="top"/>
          </w:tcPr>
          <w:p>
            <w:pPr>
              <w:pStyle w:val="TableText"/>
              <w:jc w:val="left"/>
            </w:pPr>
            <w:r>
              <w:t xml:space="preserve">Retrospective</w:t>
            </w:r>
          </w:p>
        </w:tc>
        <w:tc>
          <w:tcPr>
            <w:tcW w:w="1347" w:type="dxa"/>
            <w:vAlign w:val="top"/>
          </w:tcPr>
          <w:p>
            <w:pPr>
              <w:pStyle w:val="TableText"/>
              <w:jc w:val="left"/>
            </w:pPr>
            <w:r>
              <w:t xml:space="preserve">Last day of sprint</w:t>
            </w:r>
          </w:p>
        </w:tc>
        <w:tc>
          <w:tcPr>
            <w:tcW w:w="1137" w:type="dxa"/>
            <w:vAlign w:val="top"/>
          </w:tcPr>
          <w:p>
            <w:pPr>
              <w:pStyle w:val="TableText"/>
              <w:jc w:val="left"/>
            </w:pPr>
            <w:r>
              <w:t xml:space="preserve">60 minutes</w:t>
            </w:r>
          </w:p>
        </w:tc>
        <w:tc>
          <w:tcPr>
            <w:tcW w:w="2317" w:type="dxa"/>
            <w:vAlign w:val="top"/>
          </w:tcPr>
          <w:p>
            <w:pPr>
              <w:pStyle w:val="TableText"/>
              <w:jc w:val="left"/>
            </w:pPr>
            <w:r>
              <w:t xml:space="preserve">Delivery team</w:t>
            </w:r>
          </w:p>
        </w:tc>
        <w:tc>
          <w:tcPr>
            <w:tcW w:w="2362" w:type="dxa"/>
            <w:vAlign w:val="top"/>
          </w:tcPr>
          <w:p>
            <w:pPr>
              <w:pStyle w:val="TableText"/>
              <w:jc w:val="left"/>
            </w:pPr>
            <w:r>
              <w:t xml:space="preserve">Two or three improvement actions</w:t>
            </w:r>
          </w:p>
        </w:tc>
      </w:tr>
    </w:tbl>
    <w:p>
      <w:pPr>
        <w:pStyle w:val="BodyText"/>
        <w:spacing w:before="160"/>
      </w:pPr>
      <w:r>
        <w:t xml:space="preserve">During hypercare and the pilot, releases move to a weekly cadence outside the Tết change freeze.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3" w:name="_Toc300000009"/>
      <w:r>
        <w:rPr>
          <w:rStyle w:val="BookTitle"/>
          <w:bCs w:val="0"/>
          <w:i w:val="0"/>
          <w:iCs w:val="0"/>
          <w:spacing w:val="0"/>
        </w:rPr>
        <w:t xml:space="preserve">Definition of ready</w:t>
      </w:r>
      <w:bookmarkEnd w:id="13"/>
    </w:p>
    <w:p>
      <w:pPr>
        <w:pStyle w:val="FirstParagraph"/>
      </w:pPr>
      <w:r>
        <w:t xml:space="preserve">A story enters a sprint when:</w:t>
      </w:r>
    </w:p>
    <w:p>
      <w:pPr>
        <w:pStyle w:val="Compact"/>
        <w:numPr>
          <w:ilvl w:val="0"/>
          <w:numId w:val="1001"/>
        </w:numPr>
      </w:pPr>
      <w:r>
        <w:t xml:space="preserve">It names the user role and the screen or interface it affects.</w:t>
      </w:r>
    </w:p>
    <w:p>
      <w:pPr>
        <w:pStyle w:val="Compact"/>
        <w:numPr>
          <w:ilvl w:val="0"/>
          <w:numId w:val="1001"/>
        </w:numPr>
      </w:pPr>
      <w:r>
        <w:t xml:space="preserve">Its acceptance criteria are written as Given/When/Then scenarios, including at least one failure case (permission refused, invalid input or rule violated).</w:t>
      </w:r>
    </w:p>
    <w:p>
      <w:pPr>
        <w:pStyle w:val="Compact"/>
        <w:numPr>
          <w:ilvl w:val="0"/>
          <w:numId w:val="1001"/>
        </w:numPr>
      </w:pPr>
      <w:r>
        <w:t xml:space="preserve">The permission it needs is identified. Any change to roles and permissions is flagged for security review.</w:t>
      </w:r>
    </w:p>
    <w:p>
      <w:pPr>
        <w:pStyle w:val="Compact"/>
        <w:numPr>
          <w:ilvl w:val="0"/>
          <w:numId w:val="1001"/>
        </w:numPr>
      </w:pPr>
      <w:r>
        <w:t xml:space="preserve">The design is approved, or marked</w:t>
      </w:r>
      <w:r>
        <w:t xml:space="preserve"> </w:t>
      </w:r>
      <w:r>
        <w:t xml:space="preserve">“</w:t>
      </w:r>
      <w:r>
        <w:t xml:space="preserve">no screen change</w:t>
      </w:r>
      <w:r>
        <w:t xml:space="preserve">”</w:t>
      </w:r>
      <w:r>
        <w:t xml:space="preserve">, with Vietnamese and English text supplied.</w:t>
      </w:r>
    </w:p>
    <w:p>
      <w:pPr>
        <w:pStyle w:val="Compact"/>
        <w:numPr>
          <w:ilvl w:val="0"/>
          <w:numId w:val="1001"/>
        </w:numPr>
      </w:pPr>
      <w:r>
        <w:t xml:space="preserve">The personal data it touches is identified, with its masking rule.</w:t>
      </w:r>
    </w:p>
    <w:p>
      <w:pPr>
        <w:pStyle w:val="Compact"/>
        <w:numPr>
          <w:ilvl w:val="0"/>
          <w:numId w:val="1001"/>
        </w:numPr>
      </w:pPr>
      <w:r>
        <w:t xml:space="preserve">Any integration it depends on has an agreed specification or a simulated adapter.</w:t>
      </w:r>
    </w:p>
    <w:p>
      <w:pPr>
        <w:pStyle w:val="Compact"/>
        <w:numPr>
          <w:ilvl w:val="0"/>
          <w:numId w:val="1001"/>
        </w:numPr>
      </w:pPr>
      <w:r>
        <w:t xml:space="preserve">Any regulated element has a named approver (compliance, underwriting or legal).</w:t>
      </w:r>
    </w:p>
    <w:p>
      <w:pPr>
        <w:pStyle w:val="Compact"/>
        <w:numPr>
          <w:ilvl w:val="0"/>
          <w:numId w:val="1001"/>
        </w:numPr>
      </w:pPr>
      <w:r>
        <w:t xml:space="preserve">It is estimated and fits in one sprint.</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4" w:name="_Toc300000010"/>
      <w:r>
        <w:rPr>
          <w:rStyle w:val="BookTitle"/>
          <w:bCs w:val="0"/>
          <w:i w:val="0"/>
          <w:iCs w:val="0"/>
          <w:spacing w:val="0"/>
        </w:rPr>
        <w:t xml:space="preserve">Definition of done</w:t>
      </w:r>
      <w:bookmarkEnd w:id="14"/>
    </w:p>
    <w:p>
      <w:pPr>
        <w:pStyle w:val="FirstParagraph"/>
      </w:pPr>
      <w:r>
        <w:t xml:space="preserve">A story is done when every applicable item is met.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5686"/>
        <w:gridCol w:w="3341"/>
      </w:tblGrid>
      <w:tr>
        <w:trPr>
          <w:cantSplit/>
          <w:tblHeader/>
        </w:trPr>
        <w:tc>
          <w:tcPr>
            <w:tcW w:w="5686" w:type="dxa"/>
            <w:shd w:val="clear" w:color="auto" w:fill="0F4761"/>
            <w:vAlign w:val="center"/>
          </w:tcPr>
          <w:p>
            <w:pPr>
              <w:pStyle w:val="TableHeading"/>
              <w:jc w:val="left"/>
            </w:pPr>
            <w:r>
              <w:rPr>
                <w:color w:val="FFFFFF"/>
              </w:rPr>
              <w:t xml:space="preserve">Criterion</w:t>
            </w:r>
          </w:p>
        </w:tc>
        <w:tc>
          <w:tcPr>
            <w:tcW w:w="3341" w:type="dxa"/>
            <w:shd w:val="clear" w:color="auto" w:fill="0F4761"/>
            <w:vAlign w:val="center"/>
          </w:tcPr>
          <w:p>
            <w:pPr>
              <w:pStyle w:val="TableHeading"/>
              <w:jc w:val="left"/>
            </w:pPr>
            <w:r>
              <w:rPr>
                <w:color w:val="FFFFFF"/>
              </w:rPr>
              <w:t xml:space="preserve">How it is checked</w:t>
            </w:r>
          </w:p>
        </w:tc>
      </w:tr>
      <w:tr>
        <w:trPr>
          <w:cantSplit/>
        </w:trPr>
        <w:tc>
          <w:tcPr>
            <w:tcW w:w="5686" w:type="dxa"/>
            <w:vAlign w:val="top"/>
          </w:tcPr>
          <w:p>
            <w:pPr>
              <w:pStyle w:val="TableText"/>
              <w:jc w:val="left"/>
            </w:pPr>
            <w:r>
              <w:t xml:space="preserve">Code reviewed and merged by someone other than the author</w:t>
            </w:r>
          </w:p>
        </w:tc>
        <w:tc>
          <w:tcPr>
            <w:tcW w:w="3341" w:type="dxa"/>
            <w:vAlign w:val="top"/>
          </w:tcPr>
          <w:p>
            <w:pPr>
              <w:pStyle w:val="TableText"/>
              <w:jc w:val="left"/>
            </w:pPr>
            <w:r>
              <w:t xml:space="preserve">Branch protection</w:t>
            </w:r>
          </w:p>
        </w:tc>
      </w:tr>
      <w:tr>
        <w:trPr>
          <w:cantSplit/>
        </w:trPr>
        <w:tc>
          <w:tcPr>
            <w:tcW w:w="5686" w:type="dxa"/>
            <w:shd w:val="clear" w:color="auto" w:fill="F4F7FB"/>
            <w:vAlign w:val="top"/>
          </w:tcPr>
          <w:p>
            <w:pPr>
              <w:pStyle w:val="TableText"/>
              <w:jc w:val="left"/>
            </w:pPr>
            <w:r>
              <w:t xml:space="preserve">Lint clean</w:t>
            </w:r>
          </w:p>
        </w:tc>
        <w:tc>
          <w:tcPr>
            <w:tcW w:w="3341" w:type="dxa"/>
            <w:shd w:val="clear" w:color="auto" w:fill="F4F7FB"/>
            <w:vAlign w:val="top"/>
          </w:tcPr>
          <w:p>
            <w:pPr>
              <w:pStyle w:val="TableText"/>
              <w:jc w:val="left"/>
            </w:pPr>
            <w:r>
              <w:rPr>
                <w:rStyle w:val="CodeChar"/>
              </w:rPr>
              <w:t xml:space="preserve">npm run lint</w:t>
            </w:r>
            <w:r>
              <w:t xml:space="preserve"> </w:t>
            </w:r>
            <w:r>
              <w:t xml:space="preserve">in CI</w:t>
            </w:r>
          </w:p>
        </w:tc>
      </w:tr>
      <w:tr>
        <w:trPr>
          <w:cantSplit/>
        </w:trPr>
        <w:tc>
          <w:tcPr>
            <w:tcW w:w="5686" w:type="dxa"/>
            <w:vAlign w:val="top"/>
          </w:tcPr>
          <w:p>
            <w:pPr>
              <w:pStyle w:val="TableText"/>
              <w:jc w:val="left"/>
            </w:pPr>
            <w:r>
              <w:t xml:space="preserve">Automated tests written and passing, including one functional test per acceptance scenario</w:t>
            </w:r>
          </w:p>
        </w:tc>
        <w:tc>
          <w:tcPr>
            <w:tcW w:w="3341" w:type="dxa"/>
            <w:vAlign w:val="top"/>
          </w:tcPr>
          <w:p>
            <w:pPr>
              <w:pStyle w:val="TableText"/>
              <w:jc w:val="left"/>
            </w:pPr>
            <w:r>
              <w:rPr>
                <w:rStyle w:val="CodeChar"/>
              </w:rPr>
              <w:t xml:space="preserve">npm test</w:t>
            </w:r>
          </w:p>
        </w:tc>
      </w:tr>
      <w:tr>
        <w:trPr>
          <w:cantSplit/>
        </w:trPr>
        <w:tc>
          <w:tcPr>
            <w:tcW w:w="5686" w:type="dxa"/>
            <w:shd w:val="clear" w:color="auto" w:fill="F4F7FB"/>
            <w:vAlign w:val="top"/>
          </w:tcPr>
          <w:p>
            <w:pPr>
              <w:pStyle w:val="TableText"/>
              <w:jc w:val="left"/>
            </w:pPr>
            <w:r>
              <w:t xml:space="preserve">Coverage at least 80% of lines and functions and 70% of branches</w:t>
            </w:r>
          </w:p>
        </w:tc>
        <w:tc>
          <w:tcPr>
            <w:tcW w:w="3341" w:type="dxa"/>
            <w:shd w:val="clear" w:color="auto" w:fill="F4F7FB"/>
            <w:vAlign w:val="top"/>
          </w:tcPr>
          <w:p>
            <w:pPr>
              <w:pStyle w:val="TableText"/>
              <w:jc w:val="left"/>
            </w:pPr>
            <w:r>
              <w:rPr>
                <w:rStyle w:val="CodeChar"/>
              </w:rPr>
              <w:t xml:space="preserve">npm run test:coverage</w:t>
            </w:r>
          </w:p>
        </w:tc>
      </w:tr>
      <w:tr>
        <w:trPr>
          <w:cantSplit/>
        </w:trPr>
        <w:tc>
          <w:tcPr>
            <w:tcW w:w="5686" w:type="dxa"/>
            <w:vAlign w:val="top"/>
          </w:tcPr>
          <w:p>
            <w:pPr>
              <w:pStyle w:val="TableText"/>
              <w:jc w:val="left"/>
            </w:pPr>
            <w:r>
              <w:t xml:space="preserve">No new critical or high security findings</w:t>
            </w:r>
          </w:p>
        </w:tc>
        <w:tc>
          <w:tcPr>
            <w:tcW w:w="3341" w:type="dxa"/>
            <w:vAlign w:val="top"/>
          </w:tcPr>
          <w:p>
            <w:pPr>
              <w:pStyle w:val="TableText"/>
              <w:jc w:val="left"/>
            </w:pPr>
            <w:r>
              <w:t xml:space="preserve">Security tests, SAST, dependency audit, secret scan</w:t>
            </w:r>
          </w:p>
        </w:tc>
      </w:tr>
      <w:tr>
        <w:trPr>
          <w:cantSplit/>
        </w:trPr>
        <w:tc>
          <w:tcPr>
            <w:tcW w:w="5686" w:type="dxa"/>
            <w:shd w:val="clear" w:color="auto" w:fill="F4F7FB"/>
            <w:vAlign w:val="top"/>
          </w:tcPr>
          <w:p>
            <w:pPr>
              <w:pStyle w:val="TableText"/>
              <w:jc w:val="left"/>
            </w:pPr>
            <w:r>
              <w:t xml:space="preserve">Permission tested: the allowed role succeeds, others are refused</w:t>
            </w:r>
          </w:p>
        </w:tc>
        <w:tc>
          <w:tcPr>
            <w:tcW w:w="3341" w:type="dxa"/>
            <w:shd w:val="clear" w:color="auto" w:fill="F4F7FB"/>
            <w:vAlign w:val="top"/>
          </w:tcPr>
          <w:p>
            <w:pPr>
              <w:pStyle w:val="TableText"/>
              <w:jc w:val="left"/>
            </w:pPr>
            <w:r>
              <w:t xml:space="preserve">API tests</w:t>
            </w:r>
          </w:p>
        </w:tc>
      </w:tr>
      <w:tr>
        <w:trPr>
          <w:cantSplit/>
        </w:trPr>
        <w:tc>
          <w:tcPr>
            <w:tcW w:w="5686" w:type="dxa"/>
            <w:vAlign w:val="top"/>
          </w:tcPr>
          <w:p>
            <w:pPr>
              <w:pStyle w:val="TableText"/>
              <w:jc w:val="left"/>
            </w:pPr>
            <w:r>
              <w:t xml:space="preserve">Accessibility: no serious automated findings; keyboard walkthrough on changed screens</w:t>
            </w:r>
          </w:p>
        </w:tc>
        <w:tc>
          <w:tcPr>
            <w:tcW w:w="3341" w:type="dxa"/>
            <w:vAlign w:val="top"/>
          </w:tcPr>
          <w:p>
            <w:pPr>
              <w:pStyle w:val="TableText"/>
              <w:jc w:val="left"/>
            </w:pPr>
            <w:r>
              <w:t xml:space="preserve">QA checklist from TGP-UX-02 UX Standards and Accessibility</w:t>
            </w:r>
          </w:p>
        </w:tc>
      </w:tr>
      <w:tr>
        <w:trPr>
          <w:cantSplit/>
        </w:trPr>
        <w:tc>
          <w:tcPr>
            <w:tcW w:w="5686" w:type="dxa"/>
            <w:shd w:val="clear" w:color="auto" w:fill="F4F7FB"/>
            <w:vAlign w:val="top"/>
          </w:tcPr>
          <w:p>
            <w:pPr>
              <w:pStyle w:val="TableText"/>
              <w:jc w:val="left"/>
            </w:pPr>
            <w:r>
              <w:t xml:space="preserve">Vietnamese and English text present; dates as DD/MM/YYYY; amounts in VND</w:t>
            </w:r>
          </w:p>
        </w:tc>
        <w:tc>
          <w:tcPr>
            <w:tcW w:w="3341" w:type="dxa"/>
            <w:shd w:val="clear" w:color="auto" w:fill="F4F7FB"/>
            <w:vAlign w:val="top"/>
          </w:tcPr>
          <w:p>
            <w:pPr>
              <w:pStyle w:val="TableText"/>
              <w:jc w:val="left"/>
            </w:pPr>
            <w:r>
              <w:t xml:space="preserve">UI review</w:t>
            </w:r>
          </w:p>
        </w:tc>
      </w:tr>
      <w:tr>
        <w:trPr>
          <w:cantSplit/>
        </w:trPr>
        <w:tc>
          <w:tcPr>
            <w:tcW w:w="5686" w:type="dxa"/>
            <w:vAlign w:val="top"/>
          </w:tcPr>
          <w:p>
            <w:pPr>
              <w:pStyle w:val="TableText"/>
              <w:jc w:val="left"/>
            </w:pPr>
            <w:r>
              <w:t xml:space="preserve">Audit event recorded for every change affecting customers, money, access or rules</w:t>
            </w:r>
          </w:p>
        </w:tc>
        <w:tc>
          <w:tcPr>
            <w:tcW w:w="3341" w:type="dxa"/>
            <w:vAlign w:val="top"/>
          </w:tcPr>
          <w:p>
            <w:pPr>
              <w:pStyle w:val="TableText"/>
              <w:jc w:val="left"/>
            </w:pPr>
            <w:r>
              <w:t xml:space="preserve">Test asserts the audit entry</w:t>
            </w:r>
          </w:p>
        </w:tc>
      </w:tr>
      <w:tr>
        <w:trPr>
          <w:cantSplit/>
        </w:trPr>
        <w:tc>
          <w:tcPr>
            <w:tcW w:w="5686" w:type="dxa"/>
            <w:shd w:val="clear" w:color="auto" w:fill="F4F7FB"/>
            <w:vAlign w:val="top"/>
          </w:tcPr>
          <w:p>
            <w:pPr>
              <w:pStyle w:val="TableText"/>
              <w:jc w:val="left"/>
            </w:pPr>
            <w:r>
              <w:t xml:space="preserve">API specification regenerated if routes changed</w:t>
            </w:r>
          </w:p>
        </w:tc>
        <w:tc>
          <w:tcPr>
            <w:tcW w:w="3341" w:type="dxa"/>
            <w:shd w:val="clear" w:color="auto" w:fill="F4F7FB"/>
            <w:vAlign w:val="top"/>
          </w:tcPr>
          <w:p>
            <w:pPr>
              <w:pStyle w:val="TableText"/>
              <w:jc w:val="left"/>
            </w:pPr>
            <w:r>
              <w:t xml:space="preserve">OpenAPI job</w:t>
            </w:r>
          </w:p>
        </w:tc>
      </w:tr>
      <w:tr>
        <w:trPr>
          <w:cantSplit/>
        </w:trPr>
        <w:tc>
          <w:tcPr>
            <w:tcW w:w="5686" w:type="dxa"/>
            <w:vAlign w:val="top"/>
          </w:tcPr>
          <w:p>
            <w:pPr>
              <w:pStyle w:val="TableText"/>
              <w:jc w:val="left"/>
            </w:pPr>
            <w:r>
              <w:t xml:space="preserve">User documentation and runbooks updated</w:t>
            </w:r>
          </w:p>
        </w:tc>
        <w:tc>
          <w:tcPr>
            <w:tcW w:w="3341" w:type="dxa"/>
            <w:vAlign w:val="top"/>
          </w:tcPr>
          <w:p>
            <w:pPr>
              <w:pStyle w:val="TableText"/>
              <w:jc w:val="left"/>
            </w:pPr>
            <w:r>
              <w:t xml:space="preserve">Pull request checklist</w:t>
            </w:r>
          </w:p>
        </w:tc>
      </w:tr>
      <w:tr>
        <w:trPr>
          <w:cantSplit/>
        </w:trPr>
        <w:tc>
          <w:tcPr>
            <w:tcW w:w="5686" w:type="dxa"/>
            <w:shd w:val="clear" w:color="auto" w:fill="F4F7FB"/>
            <w:vAlign w:val="top"/>
          </w:tcPr>
          <w:p>
            <w:pPr>
              <w:pStyle w:val="TableText"/>
              <w:jc w:val="left"/>
            </w:pPr>
            <w:r>
              <w:t xml:space="preserve">Accepted by the product owner at the sprint review</w:t>
            </w:r>
          </w:p>
        </w:tc>
        <w:tc>
          <w:tcPr>
            <w:tcW w:w="3341" w:type="dxa"/>
            <w:shd w:val="clear" w:color="auto" w:fill="F4F7FB"/>
            <w:vAlign w:val="top"/>
          </w:tcPr>
          <w:p>
            <w:pPr>
              <w:pStyle w:val="TableText"/>
              <w:jc w:val="left"/>
            </w:pPr>
            <w:r>
              <w:t xml:space="preserve">Story status</w:t>
            </w:r>
          </w:p>
        </w:tc>
      </w:tr>
    </w:tbl>
    <w:p>
      <w:pPr>
        <w:pStyle w:val="BodyText"/>
        <w:spacing w:before="160"/>
      </w:pPr>
      <w:r>
        <w:t xml:space="preserve">A rule change is done when it passes the platform’s checks, simulation results on representative customers are attached to the change request for scoring, journeys, next best action and benefits, a different user has approved it, and the expected effect is monitored for seven days after activation. Rollback creates a new draft that also needs approval.</w:t>
      </w:r>
    </w:p>
    <w:p>
      <w:pPr>
        <w:pStyle w:val="BodyText"/>
      </w:pPr>
      <w:r>
        <w:t xml:space="preserve">Today the platform has 255 automated tests (252 pass, 3 to-do for manual or roadmap scenarios), with 99.41% line, 88.25% branch and 97.12% function coverage. A separate suite of 8 tests runs against PostgreSQL.</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5" w:name="_Toc300000011"/>
      <w:r>
        <w:rPr>
          <w:rStyle w:val="BookTitle"/>
          <w:bCs w:val="0"/>
          <w:i w:val="0"/>
          <w:iCs w:val="0"/>
          <w:spacing w:val="0"/>
        </w:rPr>
        <w:t xml:space="preserve">Quality gates</w:t>
      </w:r>
      <w:bookmarkEnd w:id="1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36"/>
        <w:gridCol w:w="2069"/>
        <w:gridCol w:w="3681"/>
        <w:gridCol w:w="1641"/>
      </w:tblGrid>
      <w:tr>
        <w:trPr>
          <w:cantSplit/>
          <w:tblHeader/>
        </w:trPr>
        <w:tc>
          <w:tcPr>
            <w:tcW w:w="1636" w:type="dxa"/>
            <w:shd w:val="clear" w:color="auto" w:fill="0F4761"/>
            <w:vAlign w:val="center"/>
          </w:tcPr>
          <w:p>
            <w:pPr>
              <w:pStyle w:val="TableHeading"/>
              <w:jc w:val="left"/>
            </w:pPr>
            <w:r>
              <w:rPr>
                <w:color w:val="FFFFFF"/>
              </w:rPr>
              <w:t xml:space="preserve">Gate</w:t>
            </w:r>
          </w:p>
        </w:tc>
        <w:tc>
          <w:tcPr>
            <w:tcW w:w="2069" w:type="dxa"/>
            <w:shd w:val="clear" w:color="auto" w:fill="0F4761"/>
            <w:vAlign w:val="center"/>
          </w:tcPr>
          <w:p>
            <w:pPr>
              <w:pStyle w:val="TableHeading"/>
              <w:jc w:val="left"/>
            </w:pPr>
            <w:r>
              <w:rPr>
                <w:color w:val="FFFFFF"/>
              </w:rPr>
              <w:t xml:space="preserve">Where</w:t>
            </w:r>
          </w:p>
        </w:tc>
        <w:tc>
          <w:tcPr>
            <w:tcW w:w="3681" w:type="dxa"/>
            <w:shd w:val="clear" w:color="auto" w:fill="0F4761"/>
            <w:vAlign w:val="center"/>
          </w:tcPr>
          <w:p>
            <w:pPr>
              <w:pStyle w:val="TableHeading"/>
              <w:jc w:val="left"/>
            </w:pPr>
            <w:r>
              <w:rPr>
                <w:color w:val="FFFFFF"/>
              </w:rPr>
              <w:t xml:space="preserve">Pass criteria</w:t>
            </w:r>
          </w:p>
        </w:tc>
        <w:tc>
          <w:tcPr>
            <w:tcW w:w="1641" w:type="dxa"/>
            <w:shd w:val="clear" w:color="auto" w:fill="0F4761"/>
            <w:vAlign w:val="center"/>
          </w:tcPr>
          <w:p>
            <w:pPr>
              <w:pStyle w:val="TableHeading"/>
              <w:jc w:val="left"/>
            </w:pPr>
            <w:r>
              <w:rPr>
                <w:color w:val="FFFFFF"/>
              </w:rPr>
              <w:t xml:space="preserve">Blocks</w:t>
            </w:r>
          </w:p>
        </w:tc>
      </w:tr>
      <w:tr>
        <w:trPr>
          <w:cantSplit/>
        </w:trPr>
        <w:tc>
          <w:tcPr>
            <w:tcW w:w="1636" w:type="dxa"/>
            <w:vAlign w:val="top"/>
          </w:tcPr>
          <w:p>
            <w:pPr>
              <w:pStyle w:val="TableText"/>
              <w:jc w:val="left"/>
            </w:pPr>
            <w:r>
              <w:t xml:space="preserve">Pull request</w:t>
            </w:r>
          </w:p>
        </w:tc>
        <w:tc>
          <w:tcPr>
            <w:tcW w:w="2069" w:type="dxa"/>
            <w:vAlign w:val="top"/>
          </w:tcPr>
          <w:p>
            <w:pPr>
              <w:pStyle w:val="TableText"/>
              <w:jc w:val="left"/>
            </w:pPr>
            <w:r>
              <w:t xml:space="preserve">CI</w:t>
            </w:r>
          </w:p>
        </w:tc>
        <w:tc>
          <w:tcPr>
            <w:tcW w:w="3681" w:type="dxa"/>
            <w:vAlign w:val="top"/>
          </w:tcPr>
          <w:p>
            <w:pPr>
              <w:pStyle w:val="TableText"/>
              <w:jc w:val="left"/>
            </w:pPr>
            <w:r>
              <w:t xml:space="preserve">All tests, coverage thresholds, dependency audit, secret scan, SAST</w:t>
            </w:r>
          </w:p>
        </w:tc>
        <w:tc>
          <w:tcPr>
            <w:tcW w:w="1641" w:type="dxa"/>
            <w:vAlign w:val="top"/>
          </w:tcPr>
          <w:p>
            <w:pPr>
              <w:pStyle w:val="TableText"/>
              <w:jc w:val="left"/>
            </w:pPr>
            <w:r>
              <w:t xml:space="preserve">Merge</w:t>
            </w:r>
          </w:p>
        </w:tc>
      </w:tr>
      <w:tr>
        <w:trPr>
          <w:cantSplit/>
        </w:trPr>
        <w:tc>
          <w:tcPr>
            <w:tcW w:w="1636" w:type="dxa"/>
            <w:shd w:val="clear" w:color="auto" w:fill="F4F7FB"/>
            <w:vAlign w:val="top"/>
          </w:tcPr>
          <w:p>
            <w:pPr>
              <w:pStyle w:val="TableText"/>
              <w:jc w:val="left"/>
            </w:pPr>
            <w:r>
              <w:t xml:space="preserve">Integration</w:t>
            </w:r>
          </w:p>
        </w:tc>
        <w:tc>
          <w:tcPr>
            <w:tcW w:w="2069" w:type="dxa"/>
            <w:shd w:val="clear" w:color="auto" w:fill="F4F7FB"/>
            <w:vAlign w:val="top"/>
          </w:tcPr>
          <w:p>
            <w:pPr>
              <w:pStyle w:val="TableText"/>
              <w:jc w:val="left"/>
            </w:pPr>
            <w:r>
              <w:t xml:space="preserve">SIT, nightly</w:t>
            </w:r>
          </w:p>
        </w:tc>
        <w:tc>
          <w:tcPr>
            <w:tcW w:w="3681" w:type="dxa"/>
            <w:shd w:val="clear" w:color="auto" w:fill="F4F7FB"/>
            <w:vAlign w:val="top"/>
          </w:tcPr>
          <w:p>
            <w:pPr>
              <w:pStyle w:val="TableText"/>
              <w:jc w:val="left"/>
            </w:pPr>
            <w:r>
              <w:t xml:space="preserve">Contract tests against TASCO core and VETC sandboxes; PostgreSQL suite</w:t>
            </w:r>
          </w:p>
        </w:tc>
        <w:tc>
          <w:tcPr>
            <w:tcW w:w="1641" w:type="dxa"/>
            <w:shd w:val="clear" w:color="auto" w:fill="F4F7FB"/>
            <w:vAlign w:val="top"/>
          </w:tcPr>
          <w:p>
            <w:pPr>
              <w:pStyle w:val="TableText"/>
              <w:jc w:val="left"/>
            </w:pPr>
            <w:r>
              <w:t xml:space="preserve">Release candidate</w:t>
            </w:r>
          </w:p>
        </w:tc>
      </w:tr>
      <w:tr>
        <w:trPr>
          <w:cantSplit/>
        </w:trPr>
        <w:tc>
          <w:tcPr>
            <w:tcW w:w="1636" w:type="dxa"/>
            <w:vAlign w:val="top"/>
          </w:tcPr>
          <w:p>
            <w:pPr>
              <w:pStyle w:val="TableText"/>
              <w:jc w:val="left"/>
            </w:pPr>
            <w:r>
              <w:t xml:space="preserve">Release candidate</w:t>
            </w:r>
          </w:p>
        </w:tc>
        <w:tc>
          <w:tcPr>
            <w:tcW w:w="2069" w:type="dxa"/>
            <w:vAlign w:val="top"/>
          </w:tcPr>
          <w:p>
            <w:pPr>
              <w:pStyle w:val="TableText"/>
              <w:jc w:val="left"/>
            </w:pPr>
            <w:r>
              <w:t xml:space="preserve">Pre-production</w:t>
            </w:r>
          </w:p>
        </w:tc>
        <w:tc>
          <w:tcPr>
            <w:tcW w:w="3681" w:type="dxa"/>
            <w:vAlign w:val="top"/>
          </w:tcPr>
          <w:p>
            <w:pPr>
              <w:pStyle w:val="TableText"/>
              <w:jc w:val="left"/>
            </w:pPr>
            <w:r>
              <w:t xml:space="preserve">Regression, DAST, performance, accessibility, API change review</w:t>
            </w:r>
          </w:p>
        </w:tc>
        <w:tc>
          <w:tcPr>
            <w:tcW w:w="1641" w:type="dxa"/>
            <w:vAlign w:val="top"/>
          </w:tcPr>
          <w:p>
            <w:pPr>
              <w:pStyle w:val="TableText"/>
              <w:jc w:val="left"/>
            </w:pPr>
            <w:r>
              <w:t xml:space="preserve">Production release</w:t>
            </w:r>
          </w:p>
        </w:tc>
      </w:tr>
      <w:tr>
        <w:trPr>
          <w:cantSplit/>
        </w:trPr>
        <w:tc>
          <w:tcPr>
            <w:tcW w:w="1636" w:type="dxa"/>
            <w:shd w:val="clear" w:color="auto" w:fill="F4F7FB"/>
            <w:vAlign w:val="top"/>
          </w:tcPr>
          <w:p>
            <w:pPr>
              <w:pStyle w:val="TableText"/>
              <w:jc w:val="left"/>
            </w:pPr>
            <w:r>
              <w:t xml:space="preserve">Production</w:t>
            </w:r>
          </w:p>
        </w:tc>
        <w:tc>
          <w:tcPr>
            <w:tcW w:w="2069" w:type="dxa"/>
            <w:shd w:val="clear" w:color="auto" w:fill="F4F7FB"/>
            <w:vAlign w:val="top"/>
          </w:tcPr>
          <w:p>
            <w:pPr>
              <w:pStyle w:val="TableText"/>
              <w:jc w:val="left"/>
            </w:pPr>
            <w:r>
              <w:t xml:space="preserve">TASCO change advisory board</w:t>
            </w:r>
          </w:p>
        </w:tc>
        <w:tc>
          <w:tcPr>
            <w:tcW w:w="3681" w:type="dxa"/>
            <w:shd w:val="clear" w:color="auto" w:fill="F4F7FB"/>
            <w:vAlign w:val="top"/>
          </w:tcPr>
          <w:p>
            <w:pPr>
              <w:pStyle w:val="TableText"/>
              <w:jc w:val="left"/>
            </w:pPr>
            <w:r>
              <w:t xml:space="preserve">Release notes, rollback plan, runbooks updated, on-call confirmed, outside the change freeze</w:t>
            </w:r>
          </w:p>
        </w:tc>
        <w:tc>
          <w:tcPr>
            <w:tcW w:w="1641" w:type="dxa"/>
            <w:shd w:val="clear" w:color="auto" w:fill="F4F7FB"/>
            <w:vAlign w:val="top"/>
          </w:tcPr>
          <w:p>
            <w:pPr>
              <w:pStyle w:val="TableText"/>
              <w:jc w:val="left"/>
            </w:pPr>
            <w:r>
              <w:t xml:space="preserve">Deployment</w:t>
            </w:r>
          </w:p>
        </w:tc>
      </w:tr>
      <w:tr>
        <w:trPr>
          <w:cantSplit/>
        </w:trPr>
        <w:tc>
          <w:tcPr>
            <w:tcW w:w="1636" w:type="dxa"/>
            <w:vAlign w:val="top"/>
          </w:tcPr>
          <w:p>
            <w:pPr>
              <w:pStyle w:val="TableText"/>
              <w:jc w:val="left"/>
            </w:pPr>
            <w:r>
              <w:t xml:space="preserve">Milestone</w:t>
            </w:r>
          </w:p>
        </w:tc>
        <w:tc>
          <w:tcPr>
            <w:tcW w:w="2069" w:type="dxa"/>
            <w:vAlign w:val="top"/>
          </w:tcPr>
          <w:p>
            <w:pPr>
              <w:pStyle w:val="TableText"/>
              <w:jc w:val="left"/>
            </w:pPr>
            <w:r>
              <w:t xml:space="preserve">Steering committee</w:t>
            </w:r>
          </w:p>
        </w:tc>
        <w:tc>
          <w:tcPr>
            <w:tcW w:w="3681" w:type="dxa"/>
            <w:vAlign w:val="top"/>
          </w:tcPr>
          <w:p>
            <w:pPr>
              <w:pStyle w:val="TableText"/>
              <w:jc w:val="left"/>
            </w:pPr>
            <w:r>
              <w:t xml:space="preserve">Evidence for M1 to M4 in TGP-DEL-01 Project Plan</w:t>
            </w:r>
          </w:p>
        </w:tc>
        <w:tc>
          <w:tcPr>
            <w:tcW w:w="1641" w:type="dxa"/>
            <w:vAlign w:val="top"/>
          </w:tcPr>
          <w:p>
            <w:pPr>
              <w:pStyle w:val="TableText"/>
              <w:jc w:val="left"/>
            </w:pPr>
            <w:r>
              <w:t xml:space="preserve">Next stage and payment</w:t>
            </w:r>
          </w:p>
        </w:tc>
      </w:tr>
    </w:tbl>
    <w:p>
      <w:pPr>
        <w:pStyle w:val="BodyText"/>
        <w:spacing w:before="160"/>
      </w:pPr>
      <w:r>
        <w:t xml:space="preserve">Each sprint report tracks escaped defects, coverage trend, open security findings by severity and age, and open accessibility issues.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6" w:name="_Toc300000012"/>
      <w:r>
        <w:rPr>
          <w:rStyle w:val="BookTitle"/>
          <w:bCs w:val="0"/>
          <w:i w:val="0"/>
          <w:iCs w:val="0"/>
          <w:spacing w:val="0"/>
        </w:rPr>
        <w:t xml:space="preserve">Environments</w:t>
      </w:r>
      <w:bookmarkEnd w:id="16"/>
    </w:p>
    <w:p>
      <w:pPr>
        <w:pStyle w:val="FirstParagraph"/>
      </w:pPr>
      <w:r>
        <w:t xml:space="preserve">Releases move through four environments, as in the proposal, section 13.2. The diagram shows the promotion path.</w:t>
      </w:r>
    </w:p>
    <w:p xmlns:a="http://schemas.openxmlformats.org/drawingml/2006/main" xmlns:pic="http://schemas.openxmlformats.org/drawingml/2006/picture">
      <w:pPr>
        <w:pStyle w:val="Figure"/>
      </w:pPr>
      <w:r>
        <w:drawing>
          <wp:inline>
            <wp:extent cx="1724399" cy="3286799"/>
            <wp:effectExtent b="0" l="0" r="0" t="0"/>
            <wp:docPr descr="Promotion path through the four environments" title="" id="5002" name="Picture"/>
            <a:graphic>
              <a:graphicData uri="http://schemas.openxmlformats.org/drawingml/2006/picture">
                <pic:pic>
                  <pic:nvPicPr>
                    <pic:cNvPr descr="/tmp/claude-0/-home-user-TASCO/19e5534d-12b5-5956-9b60-3e77efde0f49/scratchpad/gen/.cache/mermaid/dc381f721393e3f4.png" id="31" name="Picture"/>
                    <pic:cNvPicPr>
                      <a:picLocks noChangeArrowheads="1" noChangeAspect="1"/>
                    </pic:cNvPicPr>
                  </pic:nvPicPr>
                  <pic:blipFill>
                    <a:blip r:embed="rIdG1"/>
                    <a:stretch>
                      <a:fillRect/>
                    </a:stretch>
                  </pic:blipFill>
                  <pic:spPr bwMode="auto">
                    <a:xfrm>
                      <a:off x="0" y="0"/>
                      <a:ext cx="1724399" cy="3286799"/>
                    </a:xfrm>
                    <a:prstGeom prst="rect">
                      <a:avLst/>
                    </a:prstGeom>
                    <a:noFill/>
                    <a:ln w="9525">
                      <a:noFill/>
                      <a:headEnd/>
                      <a:tailEnd/>
                    </a:ln>
                  </pic:spPr>
                </pic:pic>
              </a:graphicData>
            </a:graphic>
          </wp:inline>
        </w:drawing>
      </w:r>
    </w:p>
    <w:p>
      <w:pPr>
        <w:pStyle w:val="Caption"/>
      </w:pPr>
      <w:r>
        <w:t xml:space="preserve">Figure 1 – Promotion path through the four environments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92"/>
        <w:gridCol w:w="3527"/>
        <w:gridCol w:w="1669"/>
        <w:gridCol w:w="1939"/>
      </w:tblGrid>
      <w:tr>
        <w:trPr>
          <w:cantSplit/>
          <w:tblHeader/>
        </w:trPr>
        <w:tc>
          <w:tcPr>
            <w:tcW w:w="1892" w:type="dxa"/>
            <w:shd w:val="clear" w:color="auto" w:fill="0F4761"/>
            <w:vAlign w:val="center"/>
          </w:tcPr>
          <w:p>
            <w:pPr>
              <w:pStyle w:val="TableHeading"/>
              <w:jc w:val="left"/>
            </w:pPr>
            <w:r>
              <w:rPr>
                <w:color w:val="FFFFFF"/>
              </w:rPr>
              <w:t xml:space="preserve">Environment</w:t>
            </w:r>
          </w:p>
        </w:tc>
        <w:tc>
          <w:tcPr>
            <w:tcW w:w="3527" w:type="dxa"/>
            <w:shd w:val="clear" w:color="auto" w:fill="0F4761"/>
            <w:vAlign w:val="center"/>
          </w:tcPr>
          <w:p>
            <w:pPr>
              <w:pStyle w:val="TableHeading"/>
              <w:jc w:val="left"/>
            </w:pPr>
            <w:r>
              <w:rPr>
                <w:color w:val="FFFFFF"/>
              </w:rPr>
              <w:t xml:space="preserve">Purpose</w:t>
            </w:r>
          </w:p>
        </w:tc>
        <w:tc>
          <w:tcPr>
            <w:tcW w:w="1669" w:type="dxa"/>
            <w:shd w:val="clear" w:color="auto" w:fill="0F4761"/>
            <w:vAlign w:val="center"/>
          </w:tcPr>
          <w:p>
            <w:pPr>
              <w:pStyle w:val="TableHeading"/>
              <w:jc w:val="left"/>
            </w:pPr>
            <w:r>
              <w:rPr>
                <w:color w:val="FFFFFF"/>
              </w:rPr>
              <w:t xml:space="preserve">Data</w:t>
            </w:r>
          </w:p>
        </w:tc>
        <w:tc>
          <w:tcPr>
            <w:tcW w:w="1939" w:type="dxa"/>
            <w:shd w:val="clear" w:color="auto" w:fill="0F4761"/>
            <w:vAlign w:val="center"/>
          </w:tcPr>
          <w:p>
            <w:pPr>
              <w:pStyle w:val="TableHeading"/>
              <w:jc w:val="left"/>
            </w:pPr>
            <w:r>
              <w:rPr>
                <w:color w:val="FFFFFF"/>
              </w:rPr>
              <w:t xml:space="preserve">Demo mode</w:t>
            </w:r>
          </w:p>
        </w:tc>
      </w:tr>
      <w:tr>
        <w:trPr>
          <w:cantSplit/>
        </w:trPr>
        <w:tc>
          <w:tcPr>
            <w:tcW w:w="1892" w:type="dxa"/>
            <w:vAlign w:val="top"/>
          </w:tcPr>
          <w:p>
            <w:pPr>
              <w:pStyle w:val="TableText"/>
              <w:jc w:val="left"/>
            </w:pPr>
            <w:r>
              <w:t xml:space="preserve">Development</w:t>
            </w:r>
          </w:p>
        </w:tc>
        <w:tc>
          <w:tcPr>
            <w:tcW w:w="3527" w:type="dxa"/>
            <w:vAlign w:val="top"/>
          </w:tcPr>
          <w:p>
            <w:pPr>
              <w:pStyle w:val="TableText"/>
              <w:jc w:val="left"/>
            </w:pPr>
            <w:r>
              <w:t xml:space="preserve">Daily engineering</w:t>
            </w:r>
          </w:p>
        </w:tc>
        <w:tc>
          <w:tcPr>
            <w:tcW w:w="1669" w:type="dxa"/>
            <w:vAlign w:val="top"/>
          </w:tcPr>
          <w:p>
            <w:pPr>
              <w:pStyle w:val="TableText"/>
              <w:jc w:val="left"/>
            </w:pPr>
            <w:r>
              <w:t xml:space="preserve">Synthetic only</w:t>
            </w:r>
          </w:p>
        </w:tc>
        <w:tc>
          <w:tcPr>
            <w:tcW w:w="1939" w:type="dxa"/>
            <w:vAlign w:val="top"/>
          </w:tcPr>
          <w:p>
            <w:pPr>
              <w:pStyle w:val="TableText"/>
              <w:jc w:val="left"/>
            </w:pPr>
            <w:r>
              <w:t xml:space="preserve">On</w:t>
            </w:r>
          </w:p>
        </w:tc>
      </w:tr>
      <w:tr>
        <w:trPr>
          <w:cantSplit/>
        </w:trPr>
        <w:tc>
          <w:tcPr>
            <w:tcW w:w="1892" w:type="dxa"/>
            <w:shd w:val="clear" w:color="auto" w:fill="F4F7FB"/>
            <w:vAlign w:val="top"/>
          </w:tcPr>
          <w:p>
            <w:pPr>
              <w:pStyle w:val="TableText"/>
              <w:jc w:val="left"/>
            </w:pPr>
            <w:r>
              <w:t xml:space="preserve">SIT and UAT</w:t>
            </w:r>
          </w:p>
        </w:tc>
        <w:tc>
          <w:tcPr>
            <w:tcW w:w="3527" w:type="dxa"/>
            <w:shd w:val="clear" w:color="auto" w:fill="F4F7FB"/>
            <w:vAlign w:val="top"/>
          </w:tcPr>
          <w:p>
            <w:pPr>
              <w:pStyle w:val="TableText"/>
              <w:jc w:val="left"/>
            </w:pPr>
            <w:r>
              <w:t xml:space="preserve">Integration with TASCO and VETC sandboxes; user acceptance; training</w:t>
            </w:r>
          </w:p>
        </w:tc>
        <w:tc>
          <w:tcPr>
            <w:tcW w:w="1669" w:type="dxa"/>
            <w:shd w:val="clear" w:color="auto" w:fill="F4F7FB"/>
            <w:vAlign w:val="top"/>
          </w:tcPr>
          <w:p>
            <w:pPr>
              <w:pStyle w:val="TableText"/>
              <w:jc w:val="left"/>
            </w:pPr>
            <w:r>
              <w:t xml:space="preserve">Synthetic or masked</w:t>
            </w:r>
          </w:p>
        </w:tc>
        <w:tc>
          <w:tcPr>
            <w:tcW w:w="1939" w:type="dxa"/>
            <w:shd w:val="clear" w:color="auto" w:fill="F4F7FB"/>
            <w:vAlign w:val="top"/>
          </w:tcPr>
          <w:p>
            <w:pPr>
              <w:pStyle w:val="TableText"/>
              <w:jc w:val="left"/>
            </w:pPr>
            <w:r>
              <w:t xml:space="preserve">On in UAT only, for named demo accounts</w:t>
            </w:r>
          </w:p>
        </w:tc>
      </w:tr>
      <w:tr>
        <w:trPr>
          <w:cantSplit/>
        </w:trPr>
        <w:tc>
          <w:tcPr>
            <w:tcW w:w="1892" w:type="dxa"/>
            <w:vAlign w:val="top"/>
          </w:tcPr>
          <w:p>
            <w:pPr>
              <w:pStyle w:val="TableText"/>
              <w:jc w:val="left"/>
            </w:pPr>
            <w:r>
              <w:t xml:space="preserve">Pre-production</w:t>
            </w:r>
          </w:p>
        </w:tc>
        <w:tc>
          <w:tcPr>
            <w:tcW w:w="3527" w:type="dxa"/>
            <w:vAlign w:val="top"/>
          </w:tcPr>
          <w:p>
            <w:pPr>
              <w:pStyle w:val="TableText"/>
              <w:jc w:val="left"/>
            </w:pPr>
            <w:r>
              <w:t xml:space="preserve">Performance and security testing, release rehearsal</w:t>
            </w:r>
          </w:p>
        </w:tc>
        <w:tc>
          <w:tcPr>
            <w:tcW w:w="1669" w:type="dxa"/>
            <w:vAlign w:val="top"/>
          </w:tcPr>
          <w:p>
            <w:pPr>
              <w:pStyle w:val="TableText"/>
              <w:jc w:val="left"/>
            </w:pPr>
            <w:r>
              <w:t xml:space="preserve">Masked</w:t>
            </w:r>
          </w:p>
        </w:tc>
        <w:tc>
          <w:tcPr>
            <w:tcW w:w="1939" w:type="dxa"/>
            <w:vAlign w:val="top"/>
          </w:tcPr>
          <w:p>
            <w:pPr>
              <w:pStyle w:val="TableText"/>
              <w:jc w:val="left"/>
            </w:pPr>
            <w:r>
              <w:t xml:space="preserve">Off</w:t>
            </w:r>
          </w:p>
        </w:tc>
      </w:tr>
      <w:tr>
        <w:trPr>
          <w:cantSplit/>
        </w:trPr>
        <w:tc>
          <w:tcPr>
            <w:tcW w:w="1892" w:type="dxa"/>
            <w:shd w:val="clear" w:color="auto" w:fill="F4F7FB"/>
            <w:vAlign w:val="top"/>
          </w:tcPr>
          <w:p>
            <w:pPr>
              <w:pStyle w:val="TableText"/>
              <w:jc w:val="left"/>
            </w:pPr>
            <w:r>
              <w:t xml:space="preserve">Production</w:t>
            </w:r>
          </w:p>
        </w:tc>
        <w:tc>
          <w:tcPr>
            <w:tcW w:w="3527" w:type="dxa"/>
            <w:shd w:val="clear" w:color="auto" w:fill="F4F7FB"/>
            <w:vAlign w:val="top"/>
          </w:tcPr>
          <w:p>
            <w:pPr>
              <w:pStyle w:val="TableText"/>
              <w:jc w:val="left"/>
            </w:pPr>
            <w:r>
              <w:t xml:space="preserve">Live service</w:t>
            </w:r>
          </w:p>
        </w:tc>
        <w:tc>
          <w:tcPr>
            <w:tcW w:w="1669" w:type="dxa"/>
            <w:shd w:val="clear" w:color="auto" w:fill="F4F7FB"/>
            <w:vAlign w:val="top"/>
          </w:tcPr>
          <w:p>
            <w:pPr>
              <w:pStyle w:val="TableText"/>
              <w:jc w:val="left"/>
            </w:pPr>
            <w:r>
              <w:t xml:space="preserve">Real, encrypted</w:t>
            </w:r>
          </w:p>
        </w:tc>
        <w:tc>
          <w:tcPr>
            <w:tcW w:w="1939" w:type="dxa"/>
            <w:shd w:val="clear" w:color="auto" w:fill="F4F7FB"/>
            <w:vAlign w:val="top"/>
          </w:tcPr>
          <w:p>
            <w:pPr>
              <w:pStyle w:val="TableText"/>
              <w:jc w:val="left"/>
            </w:pPr>
            <w:r>
              <w:t xml:space="preserve">Off</w:t>
            </w:r>
          </w:p>
        </w:tc>
      </w:tr>
    </w:tbl>
    <w:p>
      <w:pPr>
        <w:pStyle w:val="BodyText"/>
        <w:spacing w:before="160"/>
      </w:pPr>
      <w:r>
        <w:t xml:space="preserve">The hosted UAT used for the proposal walk-through already runs on PostgreSQL. UAT credentials are issued in the access workbook and are never written in documents. Production refuses to start without a database connection, refuses demo mode, and refuses local rating unless TASCO approves it explicitly. Rule sets are promoted through the rules studio in each environment, not by copying databases. Production data is never copied to a lower environment unmasked.</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7" w:name="_Toc300000013"/>
      <w:r>
        <w:rPr>
          <w:rStyle w:val="BookTitle"/>
          <w:bCs w:val="0"/>
          <w:i w:val="0"/>
          <w:iCs w:val="0"/>
          <w:spacing w:val="0"/>
        </w:rPr>
        <w:t xml:space="preserve">Governance</w:t>
      </w:r>
      <w:bookmarkEnd w:id="17"/>
    </w:p>
    <w:p>
      <w:pPr>
        <w:pStyle w:val="Heading2"/>
      </w:pPr>
      <w:bookmarkStart w:id="18" w:name="_Toc300000014"/>
      <w:r>
        <w:t xml:space="preserve">Forums</w:t>
      </w:r>
      <w:bookmarkEnd w:id="18"/>
    </w:p>
    <w:p>
      <w:pPr>
        <w:pStyle w:val="FirstParagraph"/>
      </w:pPr>
      <w:r>
        <w:t xml:space="preserve">The governance forums are those in the proposal, section 22. The diagram shows how decisions flow from the steering committee to the delivery team; feedback from each sprint review goes back to the product council.</w:t>
      </w:r>
    </w:p>
    <w:p xmlns:a="http://schemas.openxmlformats.org/drawingml/2006/main" xmlns:pic="http://schemas.openxmlformats.org/drawingml/2006/picture">
      <w:pPr>
        <w:pStyle w:val="Figure"/>
      </w:pPr>
      <w:r>
        <w:drawing>
          <wp:inline>
            <wp:extent cx="5727700" cy="3648371"/>
            <wp:effectExtent b="0" l="0" r="0" t="0"/>
            <wp:docPr descr="Governance forums and how decisions flow to the delivery team" title="" id="5003" name="Picture"/>
            <a:graphic>
              <a:graphicData uri="http://schemas.openxmlformats.org/drawingml/2006/picture">
                <pic:pic>
                  <pic:nvPicPr>
                    <pic:cNvPr descr="/tmp/claude-0/-home-user-TASCO/19e5534d-12b5-5956-9b60-3e77efde0f49/scratchpad/gen/.cache/mermaid/85b5a6d9be4849eb.png" id="35" name="Picture"/>
                    <pic:cNvPicPr>
                      <a:picLocks noChangeArrowheads="1" noChangeAspect="1"/>
                    </pic:cNvPicPr>
                  </pic:nvPicPr>
                  <pic:blipFill>
                    <a:blip r:embed="rIdG2"/>
                    <a:stretch>
                      <a:fillRect/>
                    </a:stretch>
                  </pic:blipFill>
                  <pic:spPr bwMode="auto">
                    <a:xfrm>
                      <a:off x="0" y="0"/>
                      <a:ext cx="5727700" cy="3648371"/>
                    </a:xfrm>
                    <a:prstGeom prst="rect">
                      <a:avLst/>
                    </a:prstGeom>
                    <a:noFill/>
                    <a:ln w="9525">
                      <a:noFill/>
                      <a:headEnd/>
                      <a:tailEnd/>
                    </a:ln>
                  </pic:spPr>
                </pic:pic>
              </a:graphicData>
            </a:graphic>
          </wp:inline>
        </w:drawing>
      </w:r>
    </w:p>
    <w:p>
      <w:pPr>
        <w:pStyle w:val="Caption"/>
      </w:pPr>
      <w:r>
        <w:t xml:space="preserve">Figure 2 – Governance forums and how decisions flow to the delivery team</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92"/>
        <w:gridCol w:w="1710"/>
        <w:gridCol w:w="2717"/>
        <w:gridCol w:w="2908"/>
      </w:tblGrid>
      <w:tr>
        <w:trPr>
          <w:cantSplit/>
          <w:tblHeader/>
        </w:trPr>
        <w:tc>
          <w:tcPr>
            <w:tcW w:w="1692" w:type="dxa"/>
            <w:shd w:val="clear" w:color="auto" w:fill="0F4761"/>
            <w:vAlign w:val="center"/>
          </w:tcPr>
          <w:p>
            <w:pPr>
              <w:pStyle w:val="TableHeading"/>
              <w:jc w:val="left"/>
            </w:pPr>
            <w:r>
              <w:rPr>
                <w:color w:val="FFFFFF"/>
              </w:rPr>
              <w:t xml:space="preserve">Forum</w:t>
            </w:r>
          </w:p>
        </w:tc>
        <w:tc>
          <w:tcPr>
            <w:tcW w:w="1710" w:type="dxa"/>
            <w:shd w:val="clear" w:color="auto" w:fill="0F4761"/>
            <w:vAlign w:val="center"/>
          </w:tcPr>
          <w:p>
            <w:pPr>
              <w:pStyle w:val="TableHeading"/>
              <w:jc w:val="left"/>
            </w:pPr>
            <w:r>
              <w:rPr>
                <w:color w:val="FFFFFF"/>
              </w:rPr>
              <w:t xml:space="preserve">How often</w:t>
            </w:r>
          </w:p>
        </w:tc>
        <w:tc>
          <w:tcPr>
            <w:tcW w:w="2717" w:type="dxa"/>
            <w:shd w:val="clear" w:color="auto" w:fill="0F4761"/>
            <w:vAlign w:val="center"/>
          </w:tcPr>
          <w:p>
            <w:pPr>
              <w:pStyle w:val="TableHeading"/>
              <w:jc w:val="left"/>
            </w:pPr>
            <w:r>
              <w:rPr>
                <w:color w:val="FFFFFF"/>
              </w:rPr>
              <w:t xml:space="preserve">Who attends</w:t>
            </w:r>
          </w:p>
        </w:tc>
        <w:tc>
          <w:tcPr>
            <w:tcW w:w="2908" w:type="dxa"/>
            <w:shd w:val="clear" w:color="auto" w:fill="0F4761"/>
            <w:vAlign w:val="center"/>
          </w:tcPr>
          <w:p>
            <w:pPr>
              <w:pStyle w:val="TableHeading"/>
              <w:jc w:val="left"/>
            </w:pPr>
            <w:r>
              <w:rPr>
                <w:color w:val="FFFFFF"/>
              </w:rPr>
              <w:t xml:space="preserve">Purpose</w:t>
            </w:r>
          </w:p>
        </w:tc>
      </w:tr>
      <w:tr>
        <w:trPr>
          <w:cantSplit/>
        </w:trPr>
        <w:tc>
          <w:tcPr>
            <w:tcW w:w="1692" w:type="dxa"/>
            <w:vAlign w:val="top"/>
          </w:tcPr>
          <w:p>
            <w:pPr>
              <w:pStyle w:val="TableText"/>
              <w:jc w:val="left"/>
            </w:pPr>
            <w:r>
              <w:t xml:space="preserve">Steering committee</w:t>
            </w:r>
          </w:p>
        </w:tc>
        <w:tc>
          <w:tcPr>
            <w:tcW w:w="1710" w:type="dxa"/>
            <w:vAlign w:val="top"/>
          </w:tcPr>
          <w:p>
            <w:pPr>
              <w:pStyle w:val="TableText"/>
              <w:jc w:val="left"/>
            </w:pPr>
            <w:r>
              <w:t xml:space="preserve">Monthly, and at each milestone</w:t>
            </w:r>
          </w:p>
        </w:tc>
        <w:tc>
          <w:tcPr>
            <w:tcW w:w="2717" w:type="dxa"/>
            <w:vAlign w:val="top"/>
          </w:tcPr>
          <w:p>
            <w:pPr>
              <w:pStyle w:val="TableText"/>
              <w:jc w:val="left"/>
            </w:pPr>
            <w:r>
              <w:t xml:space="preserve">TASCO and VETC sponsors, iorta TechNXT engagement manager</w:t>
            </w:r>
          </w:p>
        </w:tc>
        <w:tc>
          <w:tcPr>
            <w:tcW w:w="2908" w:type="dxa"/>
            <w:vAlign w:val="top"/>
          </w:tcPr>
          <w:p>
            <w:pPr>
              <w:pStyle w:val="TableText"/>
              <w:jc w:val="left"/>
            </w:pPr>
            <w:r>
              <w:t xml:space="preserve">Direction, budget, milestones, risks, pilot results</w:t>
            </w:r>
          </w:p>
        </w:tc>
      </w:tr>
      <w:tr>
        <w:trPr>
          <w:cantSplit/>
        </w:trPr>
        <w:tc>
          <w:tcPr>
            <w:tcW w:w="1692" w:type="dxa"/>
            <w:shd w:val="clear" w:color="auto" w:fill="F4F7FB"/>
            <w:vAlign w:val="top"/>
          </w:tcPr>
          <w:p>
            <w:pPr>
              <w:pStyle w:val="TableText"/>
              <w:jc w:val="left"/>
            </w:pPr>
            <w:r>
              <w:t xml:space="preserve">Product council</w:t>
            </w:r>
          </w:p>
        </w:tc>
        <w:tc>
          <w:tcPr>
            <w:tcW w:w="1710" w:type="dxa"/>
            <w:shd w:val="clear" w:color="auto" w:fill="F4F7FB"/>
            <w:vAlign w:val="top"/>
          </w:tcPr>
          <w:p>
            <w:pPr>
              <w:pStyle w:val="TableText"/>
              <w:jc w:val="left"/>
            </w:pPr>
            <w:r>
              <w:t xml:space="preserve">Every two weeks</w:t>
            </w:r>
          </w:p>
        </w:tc>
        <w:tc>
          <w:tcPr>
            <w:tcW w:w="2717" w:type="dxa"/>
            <w:shd w:val="clear" w:color="auto" w:fill="F4F7FB"/>
            <w:vAlign w:val="top"/>
          </w:tcPr>
          <w:p>
            <w:pPr>
              <w:pStyle w:val="TableText"/>
              <w:jc w:val="left"/>
            </w:pPr>
            <w:r>
              <w:t xml:space="preserve">TASCO product owner, VETC lead, iorta TechNXT analyst and architect</w:t>
            </w:r>
          </w:p>
        </w:tc>
        <w:tc>
          <w:tcPr>
            <w:tcW w:w="2908" w:type="dxa"/>
            <w:shd w:val="clear" w:color="auto" w:fill="F4F7FB"/>
            <w:vAlign w:val="top"/>
          </w:tcPr>
          <w:p>
            <w:pPr>
              <w:pStyle w:val="TableText"/>
              <w:jc w:val="left"/>
            </w:pPr>
            <w:r>
              <w:t xml:space="preserve">Priorities, rule changes, scope decisions</w:t>
            </w:r>
          </w:p>
        </w:tc>
      </w:tr>
      <w:tr>
        <w:trPr>
          <w:cantSplit/>
        </w:trPr>
        <w:tc>
          <w:tcPr>
            <w:tcW w:w="1692" w:type="dxa"/>
            <w:vAlign w:val="top"/>
          </w:tcPr>
          <w:p>
            <w:pPr>
              <w:pStyle w:val="TableText"/>
              <w:jc w:val="left"/>
            </w:pPr>
            <w:r>
              <w:t xml:space="preserve">Sprint review</w:t>
            </w:r>
          </w:p>
        </w:tc>
        <w:tc>
          <w:tcPr>
            <w:tcW w:w="1710" w:type="dxa"/>
            <w:vAlign w:val="top"/>
          </w:tcPr>
          <w:p>
            <w:pPr>
              <w:pStyle w:val="TableText"/>
              <w:jc w:val="left"/>
            </w:pPr>
            <w:r>
              <w:t xml:space="preserve">Every two weeks</w:t>
            </w:r>
          </w:p>
        </w:tc>
        <w:tc>
          <w:tcPr>
            <w:tcW w:w="2717" w:type="dxa"/>
            <w:vAlign w:val="top"/>
          </w:tcPr>
          <w:p>
            <w:pPr>
              <w:pStyle w:val="TableText"/>
              <w:jc w:val="left"/>
            </w:pPr>
            <w:r>
              <w:t xml:space="preserve">Product owner and key users</w:t>
            </w:r>
          </w:p>
        </w:tc>
        <w:tc>
          <w:tcPr>
            <w:tcW w:w="2908" w:type="dxa"/>
            <w:vAlign w:val="top"/>
          </w:tcPr>
          <w:p>
            <w:pPr>
              <w:pStyle w:val="TableText"/>
              <w:jc w:val="left"/>
            </w:pPr>
            <w:r>
              <w:t xml:space="preserve">Demonstration against acceptance criteria</w:t>
            </w:r>
          </w:p>
        </w:tc>
      </w:tr>
      <w:tr>
        <w:trPr>
          <w:cantSplit/>
        </w:trPr>
        <w:tc>
          <w:tcPr>
            <w:tcW w:w="1692" w:type="dxa"/>
            <w:shd w:val="clear" w:color="auto" w:fill="F4F7FB"/>
            <w:vAlign w:val="top"/>
          </w:tcPr>
          <w:p>
            <w:pPr>
              <w:pStyle w:val="TableText"/>
              <w:jc w:val="left"/>
            </w:pPr>
            <w:r>
              <w:t xml:space="preserve">Change control</w:t>
            </w:r>
          </w:p>
        </w:tc>
        <w:tc>
          <w:tcPr>
            <w:tcW w:w="1710" w:type="dxa"/>
            <w:shd w:val="clear" w:color="auto" w:fill="F4F7FB"/>
            <w:vAlign w:val="top"/>
          </w:tcPr>
          <w:p>
            <w:pPr>
              <w:pStyle w:val="TableText"/>
              <w:jc w:val="left"/>
            </w:pPr>
            <w:r>
              <w:t xml:space="preserve">As needed</w:t>
            </w:r>
          </w:p>
        </w:tc>
        <w:tc>
          <w:tcPr>
            <w:tcW w:w="2717" w:type="dxa"/>
            <w:shd w:val="clear" w:color="auto" w:fill="F4F7FB"/>
            <w:vAlign w:val="top"/>
          </w:tcPr>
          <w:p>
            <w:pPr>
              <w:pStyle w:val="TableText"/>
              <w:jc w:val="left"/>
            </w:pPr>
            <w:r>
              <w:t xml:space="preserve">Product owner and engagement manager</w:t>
            </w:r>
          </w:p>
        </w:tc>
        <w:tc>
          <w:tcPr>
            <w:tcW w:w="2908" w:type="dxa"/>
            <w:shd w:val="clear" w:color="auto" w:fill="F4F7FB"/>
            <w:vAlign w:val="top"/>
          </w:tcPr>
          <w:p>
            <w:pPr>
              <w:pStyle w:val="TableText"/>
              <w:jc w:val="left"/>
            </w:pPr>
            <w:r>
              <w:t xml:space="preserve">Assess and approve changes to scope, price or time</w:t>
            </w:r>
          </w:p>
        </w:tc>
      </w:tr>
      <w:tr>
        <w:trPr>
          <w:cantSplit/>
        </w:trPr>
        <w:tc>
          <w:tcPr>
            <w:tcW w:w="1692" w:type="dxa"/>
            <w:vAlign w:val="top"/>
          </w:tcPr>
          <w:p>
            <w:pPr>
              <w:pStyle w:val="TableText"/>
              <w:jc w:val="left"/>
            </w:pPr>
            <w:r>
              <w:t xml:space="preserve">Compliance checkpoint</w:t>
            </w:r>
          </w:p>
        </w:tc>
        <w:tc>
          <w:tcPr>
            <w:tcW w:w="1710" w:type="dxa"/>
            <w:vAlign w:val="top"/>
          </w:tcPr>
          <w:p>
            <w:pPr>
              <w:pStyle w:val="TableText"/>
              <w:jc w:val="left"/>
            </w:pPr>
            <w:r>
              <w:t xml:space="preserve">Each release</w:t>
            </w:r>
          </w:p>
        </w:tc>
        <w:tc>
          <w:tcPr>
            <w:tcW w:w="2717" w:type="dxa"/>
            <w:vAlign w:val="top"/>
          </w:tcPr>
          <w:p>
            <w:pPr>
              <w:pStyle w:val="TableText"/>
              <w:jc w:val="left"/>
            </w:pPr>
            <w:r>
              <w:t xml:space="preserve">TASCO compliance</w:t>
            </w:r>
          </w:p>
        </w:tc>
        <w:tc>
          <w:tcPr>
            <w:tcW w:w="2908" w:type="dxa"/>
            <w:vAlign w:val="top"/>
          </w:tcPr>
          <w:p>
            <w:pPr>
              <w:pStyle w:val="TableText"/>
              <w:jc w:val="left"/>
            </w:pPr>
            <w:r>
              <w:t xml:space="preserve">Customer wording, consent, privacy, audit evidence</w:t>
            </w:r>
          </w:p>
        </w:tc>
      </w:tr>
    </w:tbl>
    <w:p>
      <w:pPr>
        <w:pStyle w:val="BodyText"/>
        <w:spacing w:before="160"/>
      </w:pPr>
      <w:r>
        <w:t xml:space="preserve">Production releases also pass TASCO’s change advisory board, as described in TGP-OPS-06 Release and Change Management. Architecture decisions are recorded in TGP-ARC-07 Architecture Decision Records and reviewed with TASCO IT in the integration sync.</w:t>
      </w:r>
    </w:p>
    <w:p>
      <w:pPr>
        <w:pStyle w:val="Heading2"/>
      </w:pPr>
      <w:bookmarkStart w:id="19" w:name="_Toc300000015"/>
      <w:r>
        <w:t xml:space="preserve">Change control</w:t>
      </w:r>
      <w:bookmarkEnd w:id="19"/>
    </w:p>
    <w:p>
      <w:pPr>
        <w:pStyle w:val="FirstParagraph"/>
      </w:pPr>
      <w:r>
        <w:t xml:space="preserve">A change request states the change, the reason, the effect on scope, price and time, and the proposed funding. The engagement manager assesses it within five business days. The product owner and engagement manager decide on it in change control. The USD 5,200 change reserve is held by TASCO and is used only with TASCO’s approval; a change that exceeds the reserve or moves a milestone goes to the steering committee. Approved changes are priced at the rate card in TGP-BUS-07 Commercials and Engagement Model.</w:t>
      </w:r>
    </w:p>
    <w:p>
      <w:pPr>
        <w:pStyle w:val="Heading2"/>
      </w:pPr>
      <w:bookmarkStart w:id="20" w:name="_Toc300000016"/>
      <w:r>
        <w:t xml:space="preserve">Escalation</w:t>
      </w:r>
      <w:bookmarkEnd w:id="2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850"/>
        <w:gridCol w:w="3442"/>
        <w:gridCol w:w="4735"/>
      </w:tblGrid>
      <w:tr>
        <w:trPr>
          <w:cantSplit/>
          <w:tblHeader/>
        </w:trPr>
        <w:tc>
          <w:tcPr>
            <w:tcW w:w="850" w:type="dxa"/>
            <w:shd w:val="clear" w:color="auto" w:fill="0F4761"/>
            <w:vAlign w:val="center"/>
          </w:tcPr>
          <w:p>
            <w:pPr>
              <w:pStyle w:val="TableHeading"/>
              <w:jc w:val="left"/>
            </w:pPr>
            <w:r>
              <w:rPr>
                <w:color w:val="FFFFFF"/>
              </w:rPr>
              <w:t xml:space="preserve">Level</w:t>
            </w:r>
          </w:p>
        </w:tc>
        <w:tc>
          <w:tcPr>
            <w:tcW w:w="3442" w:type="dxa"/>
            <w:shd w:val="clear" w:color="auto" w:fill="0F4761"/>
            <w:vAlign w:val="center"/>
          </w:tcPr>
          <w:p>
            <w:pPr>
              <w:pStyle w:val="TableHeading"/>
              <w:jc w:val="left"/>
            </w:pPr>
            <w:r>
              <w:rPr>
                <w:color w:val="FFFFFF"/>
              </w:rPr>
              <w:t xml:space="preserve">Who</w:t>
            </w:r>
          </w:p>
        </w:tc>
        <w:tc>
          <w:tcPr>
            <w:tcW w:w="4735" w:type="dxa"/>
            <w:shd w:val="clear" w:color="auto" w:fill="0F4761"/>
            <w:vAlign w:val="center"/>
          </w:tcPr>
          <w:p>
            <w:pPr>
              <w:pStyle w:val="TableHeading"/>
              <w:jc w:val="left"/>
            </w:pPr>
            <w:r>
              <w:rPr>
                <w:color w:val="FFFFFF"/>
              </w:rPr>
              <w:t xml:space="preserve">Time to respond</w:t>
            </w:r>
          </w:p>
        </w:tc>
      </w:tr>
      <w:tr>
        <w:trPr>
          <w:cantSplit/>
        </w:trPr>
        <w:tc>
          <w:tcPr>
            <w:tcW w:w="850" w:type="dxa"/>
            <w:vAlign w:val="top"/>
          </w:tcPr>
          <w:p>
            <w:pPr>
              <w:pStyle w:val="TableText"/>
              <w:jc w:val="left"/>
            </w:pPr>
            <w:r>
              <w:t xml:space="preserve">1</w:t>
            </w:r>
          </w:p>
        </w:tc>
        <w:tc>
          <w:tcPr>
            <w:tcW w:w="3442" w:type="dxa"/>
            <w:vAlign w:val="top"/>
          </w:tcPr>
          <w:p>
            <w:pPr>
              <w:pStyle w:val="TableText"/>
              <w:jc w:val="left"/>
            </w:pPr>
            <w:r>
              <w:t xml:space="preserve">Engagement manager and TASCO product owner</w:t>
            </w:r>
          </w:p>
        </w:tc>
        <w:tc>
          <w:tcPr>
            <w:tcW w:w="4735" w:type="dxa"/>
            <w:vAlign w:val="top"/>
          </w:tcPr>
          <w:p>
            <w:pPr>
              <w:pStyle w:val="TableText"/>
              <w:jc w:val="left"/>
            </w:pPr>
            <w:r>
              <w:t xml:space="preserve">One business day</w:t>
            </w:r>
          </w:p>
        </w:tc>
      </w:tr>
      <w:tr>
        <w:trPr>
          <w:cantSplit/>
        </w:trPr>
        <w:tc>
          <w:tcPr>
            <w:tcW w:w="850" w:type="dxa"/>
            <w:shd w:val="clear" w:color="auto" w:fill="F4F7FB"/>
            <w:vAlign w:val="top"/>
          </w:tcPr>
          <w:p>
            <w:pPr>
              <w:pStyle w:val="TableText"/>
              <w:jc w:val="left"/>
            </w:pPr>
            <w:r>
              <w:t xml:space="preserve">2</w:t>
            </w:r>
          </w:p>
        </w:tc>
        <w:tc>
          <w:tcPr>
            <w:tcW w:w="3442" w:type="dxa"/>
            <w:shd w:val="clear" w:color="auto" w:fill="F4F7FB"/>
            <w:vAlign w:val="top"/>
          </w:tcPr>
          <w:p>
            <w:pPr>
              <w:pStyle w:val="TableText"/>
              <w:jc w:val="left"/>
            </w:pPr>
            <w:r>
              <w:t xml:space="preserve">Product council</w:t>
            </w:r>
          </w:p>
        </w:tc>
        <w:tc>
          <w:tcPr>
            <w:tcW w:w="4735" w:type="dxa"/>
            <w:shd w:val="clear" w:color="auto" w:fill="F4F7FB"/>
            <w:vAlign w:val="top"/>
          </w:tcPr>
          <w:p>
            <w:pPr>
              <w:pStyle w:val="TableText"/>
              <w:jc w:val="left"/>
            </w:pPr>
            <w:r>
              <w:t xml:space="preserve">Next session, or within three business days</w:t>
            </w:r>
          </w:p>
        </w:tc>
      </w:tr>
      <w:tr>
        <w:trPr>
          <w:cantSplit/>
        </w:trPr>
        <w:tc>
          <w:tcPr>
            <w:tcW w:w="850" w:type="dxa"/>
            <w:vAlign w:val="top"/>
          </w:tcPr>
          <w:p>
            <w:pPr>
              <w:pStyle w:val="TableText"/>
              <w:jc w:val="left"/>
            </w:pPr>
            <w:r>
              <w:t xml:space="preserve">3</w:t>
            </w:r>
          </w:p>
        </w:tc>
        <w:tc>
          <w:tcPr>
            <w:tcW w:w="3442" w:type="dxa"/>
            <w:vAlign w:val="top"/>
          </w:tcPr>
          <w:p>
            <w:pPr>
              <w:pStyle w:val="TableText"/>
              <w:jc w:val="left"/>
            </w:pPr>
            <w:r>
              <w:t xml:space="preserve">Steering committee</w:t>
            </w:r>
          </w:p>
        </w:tc>
        <w:tc>
          <w:tcPr>
            <w:tcW w:w="4735" w:type="dxa"/>
            <w:vAlign w:val="top"/>
          </w:tcPr>
          <w:p>
            <w:pPr>
              <w:pStyle w:val="TableText"/>
              <w:jc w:val="left"/>
            </w:pPr>
            <w:r>
              <w:t xml:space="preserve">Next session, or an extraordinary session for red items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1" w:name="_Toc300000017"/>
      <w:r>
        <w:rPr>
          <w:rStyle w:val="BookTitle"/>
          <w:bCs w:val="0"/>
          <w:i w:val="0"/>
          <w:iCs w:val="0"/>
          <w:spacing w:val="0"/>
        </w:rPr>
        <w:t xml:space="preserve">Reporting</w:t>
      </w:r>
      <w:bookmarkEnd w:id="2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58"/>
        <w:gridCol w:w="2086"/>
        <w:gridCol w:w="2261"/>
        <w:gridCol w:w="3322"/>
      </w:tblGrid>
      <w:tr>
        <w:trPr>
          <w:cantSplit/>
          <w:tblHeader/>
        </w:trPr>
        <w:tc>
          <w:tcPr>
            <w:tcW w:w="1358" w:type="dxa"/>
            <w:shd w:val="clear" w:color="auto" w:fill="0F4761"/>
            <w:vAlign w:val="center"/>
          </w:tcPr>
          <w:p>
            <w:pPr>
              <w:pStyle w:val="TableHeading"/>
              <w:jc w:val="left"/>
            </w:pPr>
            <w:r>
              <w:rPr>
                <w:color w:val="FFFFFF"/>
              </w:rPr>
              <w:t xml:space="preserve">Report</w:t>
            </w:r>
          </w:p>
        </w:tc>
        <w:tc>
          <w:tcPr>
            <w:tcW w:w="2086" w:type="dxa"/>
            <w:shd w:val="clear" w:color="auto" w:fill="0F4761"/>
            <w:vAlign w:val="center"/>
          </w:tcPr>
          <w:p>
            <w:pPr>
              <w:pStyle w:val="TableHeading"/>
              <w:jc w:val="left"/>
            </w:pPr>
            <w:r>
              <w:rPr>
                <w:color w:val="FFFFFF"/>
              </w:rPr>
              <w:t xml:space="preserve">Audience</w:t>
            </w:r>
          </w:p>
        </w:tc>
        <w:tc>
          <w:tcPr>
            <w:tcW w:w="2261" w:type="dxa"/>
            <w:shd w:val="clear" w:color="auto" w:fill="0F4761"/>
            <w:vAlign w:val="center"/>
          </w:tcPr>
          <w:p>
            <w:pPr>
              <w:pStyle w:val="TableHeading"/>
              <w:jc w:val="left"/>
            </w:pPr>
            <w:r>
              <w:rPr>
                <w:color w:val="FFFFFF"/>
              </w:rPr>
              <w:t xml:space="preserve">Frequency</w:t>
            </w:r>
          </w:p>
        </w:tc>
        <w:tc>
          <w:tcPr>
            <w:tcW w:w="3322" w:type="dxa"/>
            <w:shd w:val="clear" w:color="auto" w:fill="0F4761"/>
            <w:vAlign w:val="center"/>
          </w:tcPr>
          <w:p>
            <w:pPr>
              <w:pStyle w:val="TableHeading"/>
              <w:jc w:val="left"/>
            </w:pPr>
            <w:r>
              <w:rPr>
                <w:color w:val="FFFFFF"/>
              </w:rPr>
              <w:t xml:space="preserve">Content</w:t>
            </w:r>
          </w:p>
        </w:tc>
      </w:tr>
      <w:tr>
        <w:trPr>
          <w:cantSplit/>
        </w:trPr>
        <w:tc>
          <w:tcPr>
            <w:tcW w:w="1358" w:type="dxa"/>
            <w:vAlign w:val="top"/>
          </w:tcPr>
          <w:p>
            <w:pPr>
              <w:pStyle w:val="TableText"/>
              <w:jc w:val="left"/>
            </w:pPr>
            <w:r>
              <w:t xml:space="preserve">Status report</w:t>
            </w:r>
          </w:p>
        </w:tc>
        <w:tc>
          <w:tcPr>
            <w:tcW w:w="2086" w:type="dxa"/>
            <w:vAlign w:val="top"/>
          </w:tcPr>
          <w:p>
            <w:pPr>
              <w:pStyle w:val="TableText"/>
              <w:jc w:val="left"/>
            </w:pPr>
            <w:r>
              <w:t xml:space="preserve">Product owner, steering committee members</w:t>
            </w:r>
          </w:p>
        </w:tc>
        <w:tc>
          <w:tcPr>
            <w:tcW w:w="2261" w:type="dxa"/>
            <w:vAlign w:val="top"/>
          </w:tcPr>
          <w:p>
            <w:pPr>
              <w:pStyle w:val="TableText"/>
              <w:jc w:val="left"/>
            </w:pPr>
            <w:r>
              <w:t xml:space="preserve">Weekly, Friday</w:t>
            </w:r>
          </w:p>
        </w:tc>
        <w:tc>
          <w:tcPr>
            <w:tcW w:w="3322" w:type="dxa"/>
            <w:vAlign w:val="top"/>
          </w:tcPr>
          <w:p>
            <w:pPr>
              <w:pStyle w:val="TableText"/>
              <w:jc w:val="left"/>
            </w:pPr>
            <w:r>
              <w:t xml:space="preserve">RAG status, milestone forecast, top risks and issues, decisions needed</w:t>
            </w:r>
          </w:p>
        </w:tc>
      </w:tr>
      <w:tr>
        <w:trPr>
          <w:cantSplit/>
        </w:trPr>
        <w:tc>
          <w:tcPr>
            <w:tcW w:w="1358" w:type="dxa"/>
            <w:shd w:val="clear" w:color="auto" w:fill="F4F7FB"/>
            <w:vAlign w:val="top"/>
          </w:tcPr>
          <w:p>
            <w:pPr>
              <w:pStyle w:val="TableText"/>
              <w:jc w:val="left"/>
            </w:pPr>
            <w:r>
              <w:t xml:space="preserve">Sprint report</w:t>
            </w:r>
          </w:p>
        </w:tc>
        <w:tc>
          <w:tcPr>
            <w:tcW w:w="2086" w:type="dxa"/>
            <w:shd w:val="clear" w:color="auto" w:fill="F4F7FB"/>
            <w:vAlign w:val="top"/>
          </w:tcPr>
          <w:p>
            <w:pPr>
              <w:pStyle w:val="TableText"/>
              <w:jc w:val="left"/>
            </w:pPr>
            <w:r>
              <w:t xml:space="preserve">Product owner, product council</w:t>
            </w:r>
          </w:p>
        </w:tc>
        <w:tc>
          <w:tcPr>
            <w:tcW w:w="2261" w:type="dxa"/>
            <w:shd w:val="clear" w:color="auto" w:fill="F4F7FB"/>
            <w:vAlign w:val="top"/>
          </w:tcPr>
          <w:p>
            <w:pPr>
              <w:pStyle w:val="TableText"/>
              <w:jc w:val="left"/>
            </w:pPr>
            <w:r>
              <w:t xml:space="preserve">Each sprint</w:t>
            </w:r>
          </w:p>
        </w:tc>
        <w:tc>
          <w:tcPr>
            <w:tcW w:w="3322" w:type="dxa"/>
            <w:shd w:val="clear" w:color="auto" w:fill="F4F7FB"/>
            <w:vAlign w:val="top"/>
          </w:tcPr>
          <w:p>
            <w:pPr>
              <w:pStyle w:val="TableText"/>
              <w:jc w:val="left"/>
            </w:pPr>
            <w:r>
              <w:t xml:space="preserve">Sprint goal met or not, scope change, quality measures</w:t>
            </w:r>
          </w:p>
        </w:tc>
      </w:tr>
      <w:tr>
        <w:trPr>
          <w:cantSplit/>
        </w:trPr>
        <w:tc>
          <w:tcPr>
            <w:tcW w:w="1358" w:type="dxa"/>
            <w:vAlign w:val="top"/>
          </w:tcPr>
          <w:p>
            <w:pPr>
              <w:pStyle w:val="TableText"/>
              <w:jc w:val="left"/>
            </w:pPr>
            <w:r>
              <w:t xml:space="preserve">Steering pack</w:t>
            </w:r>
          </w:p>
        </w:tc>
        <w:tc>
          <w:tcPr>
            <w:tcW w:w="2086" w:type="dxa"/>
            <w:vAlign w:val="top"/>
          </w:tcPr>
          <w:p>
            <w:pPr>
              <w:pStyle w:val="TableText"/>
              <w:jc w:val="left"/>
            </w:pPr>
            <w:r>
              <w:t xml:space="preserve">Steering committee</w:t>
            </w:r>
          </w:p>
        </w:tc>
        <w:tc>
          <w:tcPr>
            <w:tcW w:w="2261" w:type="dxa"/>
            <w:vAlign w:val="top"/>
          </w:tcPr>
          <w:p>
            <w:pPr>
              <w:pStyle w:val="TableText"/>
              <w:jc w:val="left"/>
            </w:pPr>
            <w:r>
              <w:t xml:space="preserve">Monthly</w:t>
            </w:r>
          </w:p>
        </w:tc>
        <w:tc>
          <w:tcPr>
            <w:tcW w:w="3322" w:type="dxa"/>
            <w:vAlign w:val="top"/>
          </w:tcPr>
          <w:p>
            <w:pPr>
              <w:pStyle w:val="TableText"/>
              <w:jc w:val="left"/>
            </w:pPr>
            <w:r>
              <w:t xml:space="preserve">Milestones, budget and change reserve, risk summary, pilot measures</w:t>
            </w:r>
          </w:p>
        </w:tc>
      </w:tr>
      <w:tr>
        <w:trPr>
          <w:cantSplit/>
        </w:trPr>
        <w:tc>
          <w:tcPr>
            <w:tcW w:w="1358" w:type="dxa"/>
            <w:shd w:val="clear" w:color="auto" w:fill="F4F7FB"/>
            <w:vAlign w:val="top"/>
          </w:tcPr>
          <w:p>
            <w:pPr>
              <w:pStyle w:val="TableText"/>
              <w:jc w:val="left"/>
            </w:pPr>
            <w:r>
              <w:t xml:space="preserve">Pilot report</w:t>
            </w:r>
          </w:p>
        </w:tc>
        <w:tc>
          <w:tcPr>
            <w:tcW w:w="2086" w:type="dxa"/>
            <w:shd w:val="clear" w:color="auto" w:fill="F4F7FB"/>
            <w:vAlign w:val="top"/>
          </w:tcPr>
          <w:p>
            <w:pPr>
              <w:pStyle w:val="TableText"/>
              <w:jc w:val="left"/>
            </w:pPr>
            <w:r>
              <w:t xml:space="preserve">Steering committee</w:t>
            </w:r>
          </w:p>
        </w:tc>
        <w:tc>
          <w:tcPr>
            <w:tcW w:w="2261" w:type="dxa"/>
            <w:shd w:val="clear" w:color="auto" w:fill="F4F7FB"/>
            <w:vAlign w:val="top"/>
          </w:tcPr>
          <w:p>
            <w:pPr>
              <w:pStyle w:val="TableText"/>
              <w:jc w:val="left"/>
            </w:pPr>
            <w:r>
              <w:t xml:space="preserve">Weekly digest during the pilot; full report at the read-out</w:t>
            </w:r>
          </w:p>
        </w:tc>
        <w:tc>
          <w:tcPr>
            <w:tcW w:w="3322" w:type="dxa"/>
            <w:shd w:val="clear" w:color="auto" w:fill="F4F7FB"/>
            <w:vAlign w:val="top"/>
          </w:tcPr>
          <w:p>
            <w:pPr>
              <w:pStyle w:val="TableText"/>
              <w:jc w:val="left"/>
            </w:pPr>
            <w:r>
              <w:t xml:space="preserve">Pilot measures against targets and the control group</w:t>
            </w:r>
          </w:p>
        </w:tc>
      </w:tr>
    </w:tbl>
    <w:p>
      <w:pPr>
        <w:pStyle w:val="BodyText"/>
        <w:spacing w:before="160"/>
      </w:pPr>
      <w:r>
        <w:t xml:space="preserve">Green means on track. Amber means at risk, with a recovery plan owned by the responsible lead. Red means a milestone will be missed without a steering committee decision.</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2" w:name="_Toc300000018"/>
      <w:r>
        <w:rPr>
          <w:rStyle w:val="BookTitle"/>
          <w:bCs w:val="0"/>
          <w:i w:val="0"/>
          <w:iCs w:val="0"/>
          <w:spacing w:val="0"/>
        </w:rPr>
        <w:t xml:space="preserve">Tooling</w:t>
      </w:r>
      <w:bookmarkEnd w:id="2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105"/>
        <w:gridCol w:w="6922"/>
      </w:tblGrid>
      <w:tr>
        <w:trPr>
          <w:cantSplit/>
          <w:tblHeader/>
        </w:trPr>
        <w:tc>
          <w:tcPr>
            <w:tcW w:w="2105" w:type="dxa"/>
            <w:shd w:val="clear" w:color="auto" w:fill="0F4761"/>
            <w:vAlign w:val="center"/>
          </w:tcPr>
          <w:p>
            <w:pPr>
              <w:pStyle w:val="TableHeading"/>
              <w:jc w:val="left"/>
            </w:pPr>
            <w:r>
              <w:rPr>
                <w:color w:val="FFFFFF"/>
              </w:rPr>
              <w:t xml:space="preserve">Purpose</w:t>
            </w:r>
          </w:p>
        </w:tc>
        <w:tc>
          <w:tcPr>
            <w:tcW w:w="6922" w:type="dxa"/>
            <w:shd w:val="clear" w:color="auto" w:fill="0F4761"/>
            <w:vAlign w:val="center"/>
          </w:tcPr>
          <w:p>
            <w:pPr>
              <w:pStyle w:val="TableHeading"/>
              <w:jc w:val="left"/>
            </w:pPr>
            <w:r>
              <w:rPr>
                <w:color w:val="FFFFFF"/>
              </w:rPr>
              <w:t xml:space="preserve">Tool</w:t>
            </w:r>
          </w:p>
        </w:tc>
      </w:tr>
      <w:tr>
        <w:trPr>
          <w:cantSplit/>
        </w:trPr>
        <w:tc>
          <w:tcPr>
            <w:tcW w:w="2105" w:type="dxa"/>
            <w:vAlign w:val="top"/>
          </w:tcPr>
          <w:p>
            <w:pPr>
              <w:pStyle w:val="TableText"/>
              <w:jc w:val="left"/>
            </w:pPr>
            <w:r>
              <w:t xml:space="preserve">Backlog and sprints</w:t>
            </w:r>
          </w:p>
        </w:tc>
        <w:tc>
          <w:tcPr>
            <w:tcW w:w="6922" w:type="dxa"/>
            <w:vAlign w:val="top"/>
          </w:tcPr>
          <w:p>
            <w:pPr>
              <w:pStyle w:val="TableText"/>
              <w:jc w:val="left"/>
            </w:pPr>
            <w:r>
              <w:t xml:space="preserve">Jira or Azure Boards, or the TASCO standard</w:t>
            </w:r>
          </w:p>
        </w:tc>
      </w:tr>
      <w:tr>
        <w:trPr>
          <w:cantSplit/>
        </w:trPr>
        <w:tc>
          <w:tcPr>
            <w:tcW w:w="2105" w:type="dxa"/>
            <w:shd w:val="clear" w:color="auto" w:fill="F4F7FB"/>
            <w:vAlign w:val="top"/>
          </w:tcPr>
          <w:p>
            <w:pPr>
              <w:pStyle w:val="TableText"/>
              <w:jc w:val="left"/>
            </w:pPr>
            <w:r>
              <w:t xml:space="preserve">Source code and CI</w:t>
            </w:r>
          </w:p>
        </w:tc>
        <w:tc>
          <w:tcPr>
            <w:tcW w:w="6922" w:type="dxa"/>
            <w:shd w:val="clear" w:color="auto" w:fill="F4F7FB"/>
            <w:vAlign w:val="top"/>
          </w:tcPr>
          <w:p>
            <w:pPr>
              <w:pStyle w:val="TableText"/>
              <w:jc w:val="left"/>
            </w:pPr>
            <w:r>
              <w:t xml:space="preserve">Git repository with branch protection; CI pipeline running lint, tests, coverage and security checks</w:t>
            </w:r>
          </w:p>
        </w:tc>
      </w:tr>
      <w:tr>
        <w:trPr>
          <w:cantSplit/>
        </w:trPr>
        <w:tc>
          <w:tcPr>
            <w:tcW w:w="2105" w:type="dxa"/>
            <w:vAlign w:val="top"/>
          </w:tcPr>
          <w:p>
            <w:pPr>
              <w:pStyle w:val="TableText"/>
              <w:jc w:val="left"/>
            </w:pPr>
            <w:r>
              <w:t xml:space="preserve">Test management</w:t>
            </w:r>
          </w:p>
        </w:tc>
        <w:tc>
          <w:tcPr>
            <w:tcW w:w="6922" w:type="dxa"/>
            <w:vAlign w:val="top"/>
          </w:tcPr>
          <w:p>
            <w:pPr>
              <w:pStyle w:val="TableText"/>
              <w:jc w:val="left"/>
            </w:pPr>
            <w:r>
              <w:t xml:space="preserve">Test-case workbook (TGP-QA-02 Test Case Catalogue), handed over at acceptance</w:t>
            </w:r>
          </w:p>
        </w:tc>
      </w:tr>
      <w:tr>
        <w:trPr>
          <w:cantSplit/>
        </w:trPr>
        <w:tc>
          <w:tcPr>
            <w:tcW w:w="2105" w:type="dxa"/>
            <w:shd w:val="clear" w:color="auto" w:fill="F4F7FB"/>
            <w:vAlign w:val="top"/>
          </w:tcPr>
          <w:p>
            <w:pPr>
              <w:pStyle w:val="TableText"/>
              <w:jc w:val="left"/>
            </w:pPr>
            <w:r>
              <w:t xml:space="preserve">Documentation</w:t>
            </w:r>
          </w:p>
        </w:tc>
        <w:tc>
          <w:tcPr>
            <w:tcW w:w="6922" w:type="dxa"/>
            <w:shd w:val="clear" w:color="auto" w:fill="F4F7FB"/>
            <w:vAlign w:val="top"/>
          </w:tcPr>
          <w:p>
            <w:pPr>
              <w:pStyle w:val="TableText"/>
              <w:jc w:val="left"/>
            </w:pPr>
            <w:r>
              <w:t xml:space="preserve">Word documents listed in TGP-00 Document Register</w:t>
            </w:r>
          </w:p>
        </w:tc>
      </w:tr>
      <w:tr>
        <w:trPr>
          <w:cantSplit/>
        </w:trPr>
        <w:tc>
          <w:tcPr>
            <w:tcW w:w="2105" w:type="dxa"/>
            <w:vAlign w:val="top"/>
          </w:tcPr>
          <w:p>
            <w:pPr>
              <w:pStyle w:val="TableText"/>
              <w:jc w:val="left"/>
            </w:pPr>
            <w:r>
              <w:t xml:space="preserve">Monitoring</w:t>
            </w:r>
          </w:p>
        </w:tc>
        <w:tc>
          <w:tcPr>
            <w:tcW w:w="6922" w:type="dxa"/>
            <w:vAlign w:val="top"/>
          </w:tcPr>
          <w:p>
            <w:pPr>
              <w:pStyle w:val="TableText"/>
              <w:jc w:val="left"/>
            </w:pPr>
            <w:r>
              <w:t xml:space="preserve">Prometheus metrics, structured logs, alerting, as in TGP-OPS-02 Monitoring and Alerting</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23" w:name="_Toc300000019"/>
      <w:r>
        <w:rPr>
          <w:rStyle w:val="BookTitle"/>
          <w:bCs w:val="0"/>
          <w:i w:val="0"/>
          <w:iCs w:val="0"/>
          <w:spacing w:val="0"/>
        </w:rPr>
        <w:t xml:space="preserve">Sign-Off</w:t>
      </w:r>
      <w:bookmarkEnd w:id="2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6060"/>
        <w:gridCol w:w="1023"/>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6060"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1023"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6060"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Backlog and test management tools (TASCO standard or iorta TechNXT default) agreed in discovery</w:t>
            </w:r>
          </w:p>
        </w:tc>
        <w:tc>
          <w:tcPr>
            <w:tcW w:w="1023"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6060"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Release path to production through the TASCO change advisory board agreed</w:t>
            </w:r>
          </w:p>
        </w:tc>
        <w:tc>
          <w:tcPr>
            <w:tcW w:w="1023"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062"/>
        <w:gridCol w:w="1671"/>
        <w:gridCol w:w="2619"/>
        <w:gridCol w:w="3675"/>
      </w:tblGrid>
      <w:tr w:rsidR="002B183A" w14:paraId="731A77C7" w14:textId="77777777" w:rsidTr="002923F3">
        <w:trPr>
          <w:cantSplit/>
          <w:trHeight w:val="440"/>
          <w:tblHeader/>
        </w:trPr>
        <w:tc>
          <w:tcPr>
            <w:tcW w:w="1062"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671"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619"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3675"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1062"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71"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19"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67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1062"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71"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19"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67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Management</w:t>
            </w:r>
          </w:p>
        </w:tc>
      </w:tr>
      <w:tr w:rsidR="002B183A" w:rsidRPr="00BB346A" w14:paraId="2AD1806B" w14:textId="77777777" w:rsidTr="002923F3">
        <w:trPr>
          <w:cantSplit/>
          <w:trHeight w:val="760"/>
        </w:trPr>
        <w:tc>
          <w:tcPr>
            <w:tcW w:w="1062"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71"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19"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67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Delivery Management</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411">
    <w:nsid w:val="A99411"/>
    <w:multiLevelType w:val="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num w:numId="1" w16cid:durableId="1413504409">
    <w:abstractNumId w:val="0"/>
  </w:num>
  <w:num w:numId="2" w16cid:durableId="1722510407">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G1" Type="http://schemas.openxmlformats.org/officeDocument/2006/relationships/image" Target="media/body_001.png"/><Relationship Id="rIdG2" Type="http://schemas.openxmlformats.org/officeDocument/2006/relationships/image" Target="media/body_00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Delivery Methodology</dc:title>
  <dc:subject>TGP-DEL-02</dc:subject>
  <dc:creator>iorta TechNXT</dc:creator>
  <cp:keywords>TGP-DEL-02; TASCO Insurance; iorta TechNXT</cp:keywords>
  <dc:description>TASCO Motor Insurance Growth Platform</dc:description>
  <cp:lastModifiedBy>iorta TechNXT</cp:lastModifiedBy>
  <cp:revision>1</cp:revision>
  <dcterms:created xsi:type="dcterms:W3CDTF">2026-10-08T02:23:20Z</dcterms:created>
  <dcterms:modified xsi:type="dcterms:W3CDTF">2026-10-08T02:23:20Z</dcterms:modified>
</cp:coreProperties>
</file>