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2CD8" w14:textId="0D544CAB" w:rsidR="00DD7430" w:rsidRDefault="004E4690" w:rsidP="3B384731">
      <w:r>
        <w:rPr>
          <w:noProof/>
        </w:rPr>
        <w:drawing>
          <wp:anchor distT="0" distB="0" distL="114300" distR="114300" simplePos="0" relativeHeight="251658241" behindDoc="1" locked="0" layoutInCell="1" allowOverlap="1" wp14:anchorId="7FDD2D24" wp14:editId="42CB1C55">
            <wp:simplePos x="0" y="0"/>
            <wp:positionH relativeFrom="margin">
              <wp:posOffset>-914400</wp:posOffset>
            </wp:positionH>
            <wp:positionV relativeFrom="margin">
              <wp:posOffset>-914426</wp:posOffset>
            </wp:positionV>
            <wp:extent cx="7553960" cy="10685198"/>
            <wp:effectExtent l="0" t="0" r="8890" b="1905"/>
            <wp:wrapNone/>
            <wp:docPr id="205315688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3E1FE75-9233-4911-9AF8-8DA8FB5453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6881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5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7A1">
        <w:rPr>
          <w:noProof/>
        </w:rPr>
        <w:drawing>
          <wp:anchor distT="0" distB="0" distL="114300" distR="114300" simplePos="0" relativeHeight="251658247" behindDoc="1" locked="0" layoutInCell="1" allowOverlap="1" wp14:anchorId="68FBBCEA" wp14:editId="760DF883">
            <wp:simplePos x="0" y="0"/>
            <wp:positionH relativeFrom="margin">
              <wp:align>center</wp:align>
            </wp:positionH>
            <wp:positionV relativeFrom="margin">
              <wp:posOffset>244432</wp:posOffset>
            </wp:positionV>
            <wp:extent cx="2000250" cy="568367"/>
            <wp:effectExtent l="0" t="0" r="0" b="3175"/>
            <wp:wrapNone/>
            <wp:docPr id="94063927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3627AEF-EF2A-408D-AEDD-9163B5905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279" name="Picture 9406392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6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D2E5" w14:textId="7C6911E0" w:rsidR="00DD7430" w:rsidRDefault="003F0D95"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04C02CC" wp14:editId="65DFA600">
                <wp:simplePos x="0" y="0"/>
                <wp:positionH relativeFrom="margin">
                  <wp:align>center</wp:align>
                </wp:positionH>
                <wp:positionV relativeFrom="paragraph">
                  <wp:posOffset>1979157</wp:posOffset>
                </wp:positionV>
                <wp:extent cx="5760000" cy="337820"/>
                <wp:effectExtent l="0" t="0" r="0" b="5080"/>
                <wp:wrapSquare wrapText="bothSides"/>
                <wp:docPr id="129451324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23173A-31B4-4C1A-9AA6-993E5CA1A4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A1EBF" w14:textId="6A6CA9D8" w:rsidR="00913938" w:rsidRPr="00851AA2" w:rsidRDefault="002D24EB" w:rsidP="00913938">
                            <w:pPr>
                              <w:jc w:val="center"/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  <w:t xml:space="preserve">TASCO Motor Insurance Growth Platform · TGP-DEL-03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1DE2BF4" wp14:editId="07BA52AE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5760000" cy="476885"/>
                <wp:effectExtent l="0" t="0" r="0" b="0"/>
                <wp:wrapSquare wrapText="bothSides"/>
                <wp:docPr id="57877127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7603B8-5035-4623-849E-672EC358E0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063F1" w14:textId="4B04DDEF" w:rsidR="003F0D95" w:rsidRPr="00E75E19" w:rsidRDefault="003F0D95" w:rsidP="003F0D95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  <w:t xml:space="preserve">RACI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BF25123" wp14:editId="646212E8">
                <wp:simplePos x="0" y="0"/>
                <wp:positionH relativeFrom="page">
                  <wp:posOffset>4791400</wp:posOffset>
                </wp:positionH>
                <wp:positionV relativeFrom="paragraph">
                  <wp:posOffset>4124960</wp:posOffset>
                </wp:positionV>
                <wp:extent cx="2600000" cy="266700"/>
                <wp:effectExtent l="0" t="0" r="0" b="0"/>
                <wp:wrapSquare wrapText="bothSides"/>
                <wp:docPr id="212128818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A37AE-CBDC-4F83-9202-1C48F3B8FDC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779C" w14:textId="169D6E01" w:rsidR="003C3BF4" w:rsidRPr="002F15FD" w:rsidRDefault="0064254C" w:rsidP="003C3BF4">
                            <w:pPr>
                              <w:jc w:val="right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07 October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8C23128" wp14:editId="498091B1">
                <wp:simplePos x="0" y="0"/>
                <wp:positionH relativeFrom="page">
                  <wp:posOffset>2930472</wp:posOffset>
                </wp:positionH>
                <wp:positionV relativeFrom="paragraph">
                  <wp:posOffset>4124960</wp:posOffset>
                </wp:positionV>
                <wp:extent cx="1700000" cy="266700"/>
                <wp:effectExtent l="0" t="0" r="0" b="0"/>
                <wp:wrapSquare wrapText="bothSides"/>
                <wp:docPr id="72818795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24D743-A85E-4208-9BF2-3E490CC7E55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BCAB9" w14:textId="1233059B" w:rsidR="003C3BF4" w:rsidRPr="002F15FD" w:rsidRDefault="003C3BF4" w:rsidP="003C3BF4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EC0DBF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D43415C" wp14:editId="2B893344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3000000" cy="266700"/>
                <wp:effectExtent l="0" t="0" r="0" b="0"/>
                <wp:wrapSquare wrapText="bothSides"/>
                <wp:docPr id="5001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4E5FFD-7012-4F5C-89A4-E2F28B264C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F8422" w14:textId="69B19D89" w:rsidR="00EC0DBF" w:rsidRPr="002F15FD" w:rsidRDefault="00EC0DBF" w:rsidP="00EC0DBF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iorta TechNXT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DD7430">
        <w:br w:type="page"/>
      </w:r>
    </w:p>
    <w:p w14:paraId="11016166" w14:textId="77777777" w:rsidR="002B183A" w:rsidRPr="00F52543" w:rsidRDefault="002B183A" w:rsidP="002B183A">
      <w:pPr>
        <w:pStyle w:val="TOCHeading"/>
        <w:tabs>
          <w:tab w:val="left" w:pos="1991"/>
          <w:tab w:val="center" w:pos="4725"/>
          <w:tab w:val="right" w:pos="9450"/>
        </w:tabs>
        <w:rPr>
          <w:rFonts w:ascii="Segoe UI" w:hAnsi="Segoe UI" w:cs="Segoe UI"/>
          <w:b/>
          <w:color w:val="003399"/>
        </w:rPr>
      </w:pPr>
      <w:r w:rsidRPr="00F52543">
        <w:rPr>
          <w:rFonts w:ascii="Segoe UI" w:eastAsia="Arial" w:hAnsi="Segoe UI" w:cs="Segoe UI"/>
          <w:b/>
          <w:color w:val="003399"/>
        </w:rPr>
        <w:lastRenderedPageBreak/>
        <w:t>TABLE OF CONTENTS</w:t>
      </w:r>
    </w:p>
    <w:p>
      <w:pPr>
        <w:pStyle w:val="TOC1"/>
      </w:pPr>
      <w:r>
        <w:rPr>
          <w:noProof/>
        </w:rPr>
        <w:fldChar w:fldCharType="begin"/>
      </w:r>
      <w:r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  <w:hyperlink w:anchor="_Toc300000001" w:history="1">
        <w:r>
          <w:rPr>
            <w:noProof/>
          </w:rPr>
          <w:t>1.</w:t>
        </w:r>
        <w:r>
          <w:rPr>
            <w:noProof/>
          </w:rPr>
          <w:tab/>
        </w:r>
        <w:r>
          <w:rPr>
            <w:noProof/>
          </w:rPr>
          <w:t xml:space="preserve"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2" w:history="1">
        <w:r>
          <w:rPr>
            <w:noProof/>
          </w:rPr>
          <w:t>2.</w:t>
        </w:r>
        <w:r>
          <w:rPr>
            <w:noProof/>
          </w:rPr>
          <w:tab/>
        </w:r>
        <w:r>
          <w:rPr>
            <w:noProof/>
          </w:rPr>
          <w:t xml:space="preserve"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3" w:history="1">
        <w:r>
          <w:rPr>
            <w:noProof/>
          </w:rPr>
          <w:t>3.</w:t>
        </w:r>
        <w:r>
          <w:rPr>
            <w:noProof/>
          </w:rPr>
          <w:tab/>
        </w:r>
        <w:r>
          <w:rPr>
            <w:noProof/>
          </w:rPr>
          <w:t xml:space="preserve"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4" w:history="1">
        <w:r>
          <w:rPr>
            <w:noProof/>
          </w:rPr>
          <w:t>4.</w:t>
        </w:r>
        <w:r>
          <w:rPr>
            <w:noProof/>
          </w:rPr>
          <w:tab/>
        </w:r>
        <w:r>
          <w:rPr>
            <w:noProof/>
          </w:rPr>
          <w:t xml:space="preserve">How to read the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5" w:history="1">
        <w:r>
          <w:rPr>
            <w:noProof/>
          </w:rPr>
          <w:t>5.</w:t>
        </w:r>
        <w:r>
          <w:rPr>
            <w:noProof/>
          </w:rPr>
          <w:tab/>
        </w:r>
        <w:r>
          <w:rPr>
            <w:noProof/>
          </w:rPr>
          <w:t xml:space="preserve">Parties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6" w:history="1">
        <w:r>
          <w:rPr>
            <w:noProof/>
          </w:rPr>
          <w:t>6.</w:t>
        </w:r>
        <w:r>
          <w:rPr>
            <w:noProof/>
          </w:rPr>
          <w:tab/>
        </w:r>
        <w:r>
          <w:rPr>
            <w:noProof/>
          </w:rPr>
          <w:t xml:space="preserve">Discovery and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7" w:history="1">
        <w:r>
          <w:rPr>
            <w:noProof/>
          </w:rPr>
          <w:t>7.</w:t>
        </w:r>
        <w:r>
          <w:rPr>
            <w:noProof/>
          </w:rPr>
          <w:tab/>
        </w:r>
        <w:r>
          <w:rPr>
            <w:noProof/>
          </w:rPr>
          <w:t xml:space="preserve">Build and integrate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8" w:history="1">
        <w:r>
          <w:rPr>
            <w:noProof/>
          </w:rPr>
          <w:t>8.</w:t>
        </w:r>
        <w:r>
          <w:rPr>
            <w:noProof/>
          </w:rPr>
          <w:tab/>
        </w:r>
        <w:r>
          <w:rPr>
            <w:noProof/>
          </w:rPr>
          <w:t xml:space="preserve">Test and go-live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9" w:history="1">
        <w:r>
          <w:rPr>
            <w:noProof/>
          </w:rPr>
          <w:t>9.</w:t>
        </w:r>
        <w:r>
          <w:rPr>
            <w:noProof/>
          </w:rPr>
          <w:tab/>
        </w:r>
        <w:r>
          <w:rPr>
            <w:noProof/>
          </w:rPr>
          <w:t xml:space="preserve">Hypercare and 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0" w:history="1">
        <w:r>
          <w:rPr>
            <w:noProof/>
          </w:rPr>
          <w:t>10.</w:t>
        </w:r>
        <w:r>
          <w:rPr>
            <w:noProof/>
          </w:rPr>
          <w:tab/>
        </w:r>
        <w:r>
          <w:rPr>
            <w:noProof/>
          </w:rPr>
          <w:t xml:space="preserve">Compliance and support from go-live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1" w:history="1">
        <w:r>
          <w:rPr>
            <w:noProof/>
          </w:rPr>
          <w:t>11.</w:t>
        </w:r>
        <w:r>
          <w:rPr>
            <w:noProof/>
          </w:rPr>
          <w:tab/>
        </w:r>
        <w:r>
          <w:rPr>
            <w:noProof/>
          </w:rPr>
          <w:t xml:space="preserve">Separation of duties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2" w:history="1">
        <w:r>
          <w:rPr>
            <w:noProof/>
          </w:rPr>
          <w:t>12.</w:t>
        </w:r>
        <w:r>
          <w:rPr>
            <w:noProof/>
          </w:rPr>
          <w:tab/>
        </w:r>
        <w:r>
          <w:rPr>
            <w:noProof/>
          </w:rPr>
          <w:t xml:space="preserve">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3" w:history="1">
        <w:r>
          <w:rPr>
            <w:noProof/>
          </w:rPr>
          <w:t>13.</w:t>
        </w:r>
        <w:r>
          <w:rPr>
            <w:noProof/>
          </w:rPr>
          <w:tab/>
        </w:r>
        <w:r>
          <w:rPr>
            <w:noProof/>
          </w:rPr>
          <w:t xml:space="preserve">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  <w:r>
        <w:rPr>
          <w:noProof/>
        </w:rPr>
        <w:fldChar w:fldCharType="end"/>
      </w:r>
    </w:p>
    <w:p w14:paraId="375D9C08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" w:name="_Toc11824118"/>
      <w:bookmarkStart w:id="2" w:name="_Toc48319687"/>
      <w:bookmarkStart w:id="3" w:name="_Toc300000001"/>
      <w:r w:rsidRPr="00212D69">
        <w:rPr>
          <w:rStyle w:val="BookTitle"/>
          <w:b w:val="0"/>
        </w:rPr>
        <w:t xml:space="preserve"> </w:t>
      </w:r>
      <w:bookmarkStart w:id="4" w:name="_Toc233203387"/>
      <w:r w:rsidRPr="00465CAB">
        <w:rPr>
          <w:rStyle w:val="BookTitle"/>
          <w:bCs w:val="0"/>
          <w:i w:val="0"/>
          <w:iCs w:val="0"/>
          <w:spacing w:val="0"/>
        </w:rPr>
        <w:t>Document Control</w:t>
      </w:r>
      <w:bookmarkEnd w:id="1"/>
      <w:bookmarkEnd w:id="2"/>
      <w:bookmarkEnd w:id="4"/>
      <w:bookmarkEnd w:id="3"/>
    </w:p>
    <w:p w14:paraId="1D37A198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201"/>
        <w:gridCol w:w="925"/>
        <w:gridCol w:w="1700"/>
        <w:gridCol w:w="2000"/>
        <w:gridCol w:w="2000"/>
        <w:gridCol w:w="1201"/>
      </w:tblGrid>
      <w:tr w:rsidR="002B183A" w14:paraId="4E198CD6" w14:textId="77777777" w:rsidTr="002923F3">
        <w:trPr>
          <w:cantSplit/>
          <w:trHeight w:val="440"/>
          <w:tblHeader/>
        </w:trPr>
        <w:tc>
          <w:tcPr>
            <w:tcW w:w="1201" w:type="dxa"/>
            <w:shd w:val="clear" w:color="auto" w:fill="0F4761"/>
            <w:vAlign w:val="center"/>
          </w:tcPr>
          <w:p w14:paraId="7A3F1104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925" w:type="dxa"/>
            <w:shd w:val="clear" w:color="auto" w:fill="0F4761"/>
            <w:vAlign w:val="center"/>
          </w:tcPr>
          <w:p w14:paraId="607CCD9F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700" w:type="dxa"/>
            <w:shd w:val="clear" w:color="auto" w:fill="0F4761"/>
            <w:vAlign w:val="center"/>
          </w:tcPr>
          <w:p w14:paraId="2EE940A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Author &amp; Business Unit Info</w:t>
            </w:r>
          </w:p>
        </w:tc>
        <w:tc>
          <w:tcPr>
            <w:tcW w:w="2000" w:type="dxa"/>
            <w:shd w:val="clear" w:color="auto" w:fill="0F4761"/>
            <w:vAlign w:val="center"/>
          </w:tcPr>
          <w:p w14:paraId="4563069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Reviewed By &amp; Business Unit Info</w:t>
            </w:r>
          </w:p>
        </w:tc>
        <w:tc>
          <w:tcPr>
            <w:tcW w:w="2000" w:type="dxa"/>
            <w:shd w:val="clear" w:color="auto" w:fill="0F4761"/>
            <w:vAlign w:val="center"/>
          </w:tcPr>
          <w:p w14:paraId="03017FBE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 &amp; Business Unit Info</w:t>
            </w:r>
          </w:p>
        </w:tc>
        <w:tc>
          <w:tcPr>
            <w:tcW w:w="1201" w:type="dxa"/>
            <w:shd w:val="clear" w:color="auto" w:fill="0F4761"/>
            <w:vAlign w:val="center"/>
          </w:tcPr>
          <w:p w14:paraId="6B8E532B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Change History</w:t>
            </w:r>
          </w:p>
        </w:tc>
      </w:tr>
      <w:tr w:rsidR="002B183A" w:rsidRPr="00BB346A" w14:paraId="0CC92F71" w14:textId="77777777" w:rsidTr="002923F3">
        <w:trPr>
          <w:cantSplit/>
          <w:trHeight w:val="449"/>
        </w:trPr>
        <w:tc>
          <w:tcPr>
            <w:tcW w:w="1201" w:type="dxa"/>
            <w:vAlign w:val="top"/>
          </w:tcPr>
          <w:p w14:paraId="453CD40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07/10/2026</w:t>
            </w:r>
          </w:p>
        </w:tc>
        <w:tc>
          <w:tcPr>
            <w:tcW w:w="925" w:type="dxa"/>
            <w:vAlign w:val="top"/>
          </w:tcPr>
          <w:p w14:paraId="499E9B5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1.0</w:t>
            </w:r>
          </w:p>
        </w:tc>
        <w:tc>
          <w:tcPr>
            <w:tcW w:w="1700" w:type="dxa"/>
            <w:vAlign w:val="top"/>
          </w:tcPr>
          <w:p w14:paraId="64B9EBB6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Delivery Management</w:t>
            </w:r>
          </w:p>
        </w:tc>
        <w:tc>
          <w:tcPr>
            <w:tcW w:w="2000" w:type="dxa"/>
            <w:vAlign w:val="top"/>
          </w:tcPr>
          <w:p w14:paraId="4B948B2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Programme Management</w:t>
            </w:r>
          </w:p>
        </w:tc>
        <w:tc>
          <w:tcPr>
            <w:tcW w:w="2000" w:type="dxa"/>
            <w:vAlign w:val="top"/>
          </w:tcPr>
          <w:p w14:paraId="1CABD99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Programme Sponsor</w:t>
            </w:r>
          </w:p>
        </w:tc>
        <w:tc>
          <w:tcPr>
            <w:tcW w:w="1201" w:type="dxa"/>
            <w:vAlign w:val="top"/>
          </w:tcPr>
          <w:p w14:paraId="07C7886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Initial issue for submission</w:t>
            </w:r>
          </w:p>
        </w:tc>
      </w:tr>
    </w:tbl>
    <w:p w14:paraId="1D2DA8DE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5" w:name="_Toc233203388"/>
      <w:bookmarkStart w:id="6" w:name="_Toc300000002"/>
      <w:r>
        <w:rPr>
          <w:rStyle w:val="BookTitle"/>
          <w:bCs w:val="0"/>
          <w:i w:val="0"/>
          <w:iCs w:val="0"/>
          <w:spacing w:val="0"/>
        </w:rPr>
        <w:t>Acronyms</w:t>
      </w:r>
      <w:bookmarkEnd w:id="5"/>
      <w:bookmarkEnd w:id="6"/>
    </w:p>
    <w:p w14:paraId="4F3BFBCC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348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922"/>
        <w:gridCol w:w="7105"/>
      </w:tblGrid>
      <w:tr w:rsidR="002B183A" w14:paraId="388F227F" w14:textId="77777777" w:rsidTr="002923F3">
        <w:trPr>
          <w:cantSplit/>
          <w:trHeight w:val="440"/>
          <w:tblHeader/>
        </w:trPr>
        <w:tc>
          <w:tcPr>
            <w:tcW w:w="1922" w:type="dxa"/>
            <w:shd w:val="clear" w:color="auto" w:fill="0F4761"/>
            <w:vAlign w:val="center"/>
          </w:tcPr>
          <w:p w14:paraId="4B379853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Acronym / Symbol</w:t>
            </w:r>
          </w:p>
        </w:tc>
        <w:tc>
          <w:tcPr>
            <w:tcW w:w="7105" w:type="dxa"/>
            <w:shd w:val="clear" w:color="auto" w:fill="0F4761"/>
            <w:vAlign w:val="center"/>
          </w:tcPr>
          <w:p w14:paraId="2EDB927A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Definition / Meaning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ADR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Architecture Decision Record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AI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Artificial Intelligence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API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Application Programming Interface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IT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Information Technology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QA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Quality Assurance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RACI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Responsible, Accountable, Consulted, Informed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SME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Subject-Matter Expert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SMS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Short Message Service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UAT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User Acceptance Testing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UX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User Experience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92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VETC</w:t>
            </w:r>
          </w:p>
        </w:tc>
        <w:tc>
          <w:tcPr>
            <w:tcW w:w="710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VETC Automatic Toll Collection Company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7" w:name="_Toc300000003"/>
      <w:r>
        <w:rPr>
          <w:rStyle w:val="BookTitle"/>
          <w:bCs w:val="0"/>
          <w:i w:val="0"/>
          <w:iCs w:val="0"/>
          <w:spacing w:val="0"/>
        </w:rPr>
        <w:t xml:space="preserve">Introduction</w:t>
      </w:r>
      <w:bookmarkEnd w:id="7"/>
    </w:p>
    <w:p>
      <w:pPr>
        <w:pStyle w:val="FirstParagraph"/>
      </w:pPr>
      <w:r>
        <w:t xml:space="preserve">This matrix states who is responsible, accountable, consulted and informed for each main activity in the delivery of the TASCO Growth Platform (the platform), from discovery to the pilot read-out, and for the recurring compliance and support activities that start at go-live.</w:t>
      </w:r>
    </w:p>
    <w:p>
      <w:pPr>
        <w:pStyle w:val="BodyText"/>
      </w:pPr>
      <w:r>
        <w:t xml:space="preserve">The audience is everyone named in the matrix: TASCO Insurance, VETC, iorta TechNXT, the channel vendors and the pilot partner.</w:t>
      </w:r>
    </w:p>
    <w:p>
      <w:pPr>
        <w:pStyle w:val="BodyText"/>
      </w:pPr>
      <w:r>
        <w:t xml:space="preserve">Related documents: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477"/>
        <w:gridCol w:w="2662"/>
        <w:gridCol w:w="4888"/>
      </w:tblGrid>
      <w:tr>
        <w:trPr>
          <w:cantSplit/>
          <w:tblHeader/>
        </w:trPr>
        <w:tc>
          <w:tcPr>
            <w:tcW w:w="1477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266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Title</w:t>
            </w:r>
          </w:p>
        </w:tc>
        <w:tc>
          <w:tcPr>
            <w:tcW w:w="488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Relationship</w:t>
            </w:r>
          </w:p>
        </w:tc>
      </w:tr>
      <w:tr>
        <w:trPr>
          <w:cantSplit/>
        </w:trPr>
        <w:tc>
          <w:tcPr>
            <w:tcW w:w="147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TGP-DEL-01</w:t>
            </w:r>
          </w:p>
        </w:tc>
        <w:tc>
          <w:tcPr>
            <w:tcW w:w="2662" w:type="dxa"/>
            <w:vAlign w:val="top"/>
          </w:tcPr>
          <w:p>
            <w:pPr>
              <w:pStyle w:val="TableText"/>
              <w:jc w:val="left"/>
            </w:pPr>
            <w:r>
              <w:t xml:space="preserve">Project Plan</w:t>
            </w:r>
          </w:p>
        </w:tc>
        <w:tc>
          <w:tcPr>
            <w:tcW w:w="4888" w:type="dxa"/>
            <w:vAlign w:val="top"/>
          </w:tcPr>
          <w:p>
            <w:pPr>
              <w:pStyle w:val="TableText"/>
              <w:jc w:val="left"/>
            </w:pPr>
            <w:r>
              <w:t xml:space="preserve">The stages and milestones the activities belong to</w:t>
            </w:r>
          </w:p>
        </w:tc>
      </w:tr>
      <w:tr>
        <w:trPr>
          <w:cantSplit/>
        </w:trPr>
        <w:tc>
          <w:tcPr>
            <w:tcW w:w="147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TGP-DEL-02</w:t>
            </w:r>
          </w:p>
        </w:tc>
        <w:tc>
          <w:tcPr>
            <w:tcW w:w="266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Delivery Methodology</w:t>
            </w:r>
          </w:p>
        </w:tc>
        <w:tc>
          <w:tcPr>
            <w:tcW w:w="488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Governance forums and change lanes</w:t>
            </w:r>
          </w:p>
        </w:tc>
      </w:tr>
      <w:tr>
        <w:trPr>
          <w:cantSplit/>
        </w:trPr>
        <w:tc>
          <w:tcPr>
            <w:tcW w:w="147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TGP-DEL-05</w:t>
            </w:r>
          </w:p>
        </w:tc>
        <w:tc>
          <w:tcPr>
            <w:tcW w:w="2662" w:type="dxa"/>
            <w:vAlign w:val="top"/>
          </w:tcPr>
          <w:p>
            <w:pPr>
              <w:pStyle w:val="TableText"/>
              <w:jc w:val="left"/>
            </w:pPr>
            <w:r>
              <w:t xml:space="preserve">Knowledge Transfer Plan</w:t>
            </w:r>
          </w:p>
        </w:tc>
        <w:tc>
          <w:tcPr>
            <w:tcW w:w="4888" w:type="dxa"/>
            <w:vAlign w:val="top"/>
          </w:tcPr>
          <w:p>
            <w:pPr>
              <w:pStyle w:val="TableText"/>
              <w:jc w:val="left"/>
            </w:pPr>
            <w:r>
              <w:t xml:space="preserve">Detail of the technical handover</w:t>
            </w:r>
          </w:p>
        </w:tc>
      </w:tr>
      <w:tr>
        <w:trPr>
          <w:cantSplit/>
        </w:trPr>
        <w:tc>
          <w:tcPr>
            <w:tcW w:w="147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TGP-OPS-01</w:t>
            </w:r>
          </w:p>
        </w:tc>
        <w:tc>
          <w:tcPr>
            <w:tcW w:w="266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Runbook and Support Guide</w:t>
            </w:r>
          </w:p>
        </w:tc>
        <w:tc>
          <w:tcPr>
            <w:tcW w:w="488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Support levels after hypercare</w:t>
            </w:r>
          </w:p>
        </w:tc>
      </w:tr>
      <w:tr>
        <w:trPr>
          <w:cantSplit/>
        </w:trPr>
        <w:tc>
          <w:tcPr>
            <w:tcW w:w="147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TGP-ARC-04</w:t>
            </w:r>
          </w:p>
        </w:tc>
        <w:tc>
          <w:tcPr>
            <w:tcW w:w="2662" w:type="dxa"/>
            <w:vAlign w:val="top"/>
          </w:tcPr>
          <w:p>
            <w:pPr>
              <w:pStyle w:val="TableText"/>
              <w:jc w:val="left"/>
            </w:pPr>
            <w:r>
              <w:t xml:space="preserve">Security Architecture</w:t>
            </w:r>
          </w:p>
        </w:tc>
        <w:tc>
          <w:tcPr>
            <w:tcW w:w="4888" w:type="dxa"/>
            <w:vAlign w:val="top"/>
          </w:tcPr>
          <w:p>
            <w:pPr>
              <w:pStyle w:val="TableText"/>
              <w:jc w:val="left"/>
            </w:pPr>
            <w:r>
              <w:t xml:space="preserve">Roles and separation of duties enforced by the platform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8" w:name="_Toc300000004"/>
      <w:r>
        <w:rPr>
          <w:rStyle w:val="BookTitle"/>
          <w:bCs w:val="0"/>
          <w:i w:val="0"/>
          <w:iCs w:val="0"/>
          <w:spacing w:val="0"/>
        </w:rPr>
        <w:t xml:space="preserve">How to read the matrix</w:t>
      </w:r>
      <w:bookmarkEnd w:id="8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999"/>
        <w:gridCol w:w="8028"/>
      </w:tblGrid>
      <w:tr>
        <w:trPr>
          <w:cantSplit/>
          <w:tblHeader/>
        </w:trPr>
        <w:tc>
          <w:tcPr>
            <w:tcW w:w="99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Letter</w:t>
            </w:r>
          </w:p>
        </w:tc>
        <w:tc>
          <w:tcPr>
            <w:tcW w:w="802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999" w:type="dxa"/>
            <w:vAlign w:val="top"/>
          </w:tcPr>
          <w:p>
            <w:pPr>
              <w:pStyle w:val="TableText"/>
              <w:jc w:val="left"/>
            </w:pPr>
            <w:r>
              <w:t xml:space="preserve">A</w:t>
            </w:r>
          </w:p>
        </w:tc>
        <w:tc>
          <w:tcPr>
            <w:tcW w:w="8028" w:type="dxa"/>
            <w:vAlign w:val="top"/>
          </w:tcPr>
          <w:p>
            <w:pPr>
              <w:pStyle w:val="TableText"/>
              <w:jc w:val="left"/>
            </w:pPr>
            <w:r>
              <w:t xml:space="preserve">Accountable: owns the outcome and signs it off. Exactly one party per activity.</w:t>
            </w:r>
          </w:p>
        </w:tc>
      </w:tr>
      <w:tr>
        <w:trPr>
          <w:cantSplit/>
        </w:trPr>
        <w:tc>
          <w:tcPr>
            <w:tcW w:w="99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</w:t>
            </w:r>
          </w:p>
        </w:tc>
        <w:tc>
          <w:tcPr>
            <w:tcW w:w="802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Responsible: does the work.</w:t>
            </w:r>
          </w:p>
        </w:tc>
      </w:tr>
      <w:tr>
        <w:trPr>
          <w:cantSplit/>
        </w:trPr>
        <w:tc>
          <w:tcPr>
            <w:tcW w:w="999" w:type="dxa"/>
            <w:vAlign w:val="top"/>
          </w:tcPr>
          <w:p>
            <w:pPr>
              <w:pStyle w:val="TableText"/>
              <w:jc w:val="left"/>
            </w:pPr>
            <w:r>
              <w:t xml:space="preserve">C</w:t>
            </w:r>
          </w:p>
        </w:tc>
        <w:tc>
          <w:tcPr>
            <w:tcW w:w="8028" w:type="dxa"/>
            <w:vAlign w:val="top"/>
          </w:tcPr>
          <w:p>
            <w:pPr>
              <w:pStyle w:val="TableText"/>
              <w:jc w:val="left"/>
            </w:pPr>
            <w:r>
              <w:t xml:space="preserve">Consulted: gives input before the decision.</w:t>
            </w:r>
          </w:p>
        </w:tc>
      </w:tr>
      <w:tr>
        <w:trPr>
          <w:cantSplit/>
        </w:trPr>
        <w:tc>
          <w:tcPr>
            <w:tcW w:w="99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</w:t>
            </w:r>
          </w:p>
        </w:tc>
        <w:tc>
          <w:tcPr>
            <w:tcW w:w="802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Informed: told after the decision.</w:t>
            </w:r>
          </w:p>
        </w:tc>
      </w:tr>
    </w:tbl>
    <w:p>
      <w:pPr>
        <w:pStyle w:val="BodyText"/>
        <w:spacing w:before="160"/>
      </w:pPr>
      <w:r>
        <w:t xml:space="preserve">A party that is both accountable and responsible appears in both columns. A party not listed for an activity is not involved in it.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9" w:name="_Toc300000005"/>
      <w:r>
        <w:rPr>
          <w:rStyle w:val="BookTitle"/>
          <w:bCs w:val="0"/>
          <w:i w:val="0"/>
          <w:iCs w:val="0"/>
          <w:spacing w:val="0"/>
        </w:rPr>
        <w:t xml:space="preserve">Parties</w:t>
      </w:r>
      <w:bookmarkEnd w:id="9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2005"/>
        <w:gridCol w:w="759"/>
        <w:gridCol w:w="6263"/>
      </w:tblGrid>
      <w:tr>
        <w:trPr>
          <w:cantSplit/>
          <w:tblHeader/>
        </w:trPr>
        <w:tc>
          <w:tcPr>
            <w:tcW w:w="20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Organisation</w:t>
            </w:r>
          </w:p>
        </w:tc>
        <w:tc>
          <w:tcPr>
            <w:tcW w:w="75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Code</w:t>
            </w:r>
          </w:p>
        </w:tc>
        <w:tc>
          <w:tcPr>
            <w:tcW w:w="626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Party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TASCO Insurance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Programme sponsor (chairs the steering committee)</w:t>
            </w:r>
          </w:p>
        </w:tc>
      </w:tr>
      <w:tr>
        <w:trPr>
          <w:cantSplit/>
        </w:trPr>
        <w:tc>
          <w:tcPr>
            <w:tcW w:w="20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Insurance</w:t>
            </w:r>
          </w:p>
        </w:tc>
        <w:tc>
          <w:tcPr>
            <w:tcW w:w="7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62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Product owner and product team, including the partner manager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TASCO Insurance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TASCO IT, including the core system lead and infrastructure</w:t>
            </w:r>
          </w:p>
        </w:tc>
      </w:tr>
      <w:tr>
        <w:trPr>
          <w:cantSplit/>
        </w:trPr>
        <w:tc>
          <w:tcPr>
            <w:tcW w:w="20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Insurance</w:t>
            </w:r>
          </w:p>
        </w:tc>
        <w:tc>
          <w:tcPr>
            <w:tcW w:w="7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SEC</w:t>
            </w:r>
          </w:p>
        </w:tc>
        <w:tc>
          <w:tcPr>
            <w:tcW w:w="62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IT security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TASCO Insurance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Compliance and legal, including data protection</w:t>
            </w:r>
          </w:p>
        </w:tc>
      </w:tr>
      <w:tr>
        <w:trPr>
          <w:cantSplit/>
        </w:trPr>
        <w:tc>
          <w:tcPr>
            <w:tcW w:w="20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Insurance</w:t>
            </w:r>
          </w:p>
        </w:tc>
        <w:tc>
          <w:tcPr>
            <w:tcW w:w="7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</w:t>
            </w:r>
          </w:p>
        </w:tc>
        <w:tc>
          <w:tcPr>
            <w:tcW w:w="62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Data owner and data stewards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TASCO Insurance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TS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Telesales lead, supervisors and agents</w:t>
            </w:r>
          </w:p>
        </w:tc>
      </w:tr>
      <w:tr>
        <w:trPr>
          <w:cantSplit/>
        </w:trPr>
        <w:tc>
          <w:tcPr>
            <w:tcW w:w="20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</w:t>
            </w:r>
          </w:p>
        </w:tc>
        <w:tc>
          <w:tcPr>
            <w:tcW w:w="7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VS</w:t>
            </w:r>
          </w:p>
        </w:tc>
        <w:tc>
          <w:tcPr>
            <w:tcW w:w="62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 sponsor and product lead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VETC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VI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VETC data and integration lead</w:t>
            </w:r>
          </w:p>
        </w:tc>
      </w:tr>
      <w:tr>
        <w:trPr>
          <w:cantSplit/>
        </w:trPr>
        <w:tc>
          <w:tcPr>
            <w:tcW w:w="20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iorta TechNXT</w:t>
            </w:r>
          </w:p>
        </w:tc>
        <w:tc>
          <w:tcPr>
            <w:tcW w:w="7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62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Engagement manager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iorta TechNXT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SA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Solution architect</w:t>
            </w:r>
          </w:p>
        </w:tc>
      </w:tr>
      <w:tr>
        <w:trPr>
          <w:cantSplit/>
        </w:trPr>
        <w:tc>
          <w:tcPr>
            <w:tcW w:w="20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iorta TechNXT</w:t>
            </w:r>
          </w:p>
        </w:tc>
        <w:tc>
          <w:tcPr>
            <w:tcW w:w="7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BA</w:t>
            </w:r>
          </w:p>
        </w:tc>
        <w:tc>
          <w:tcPr>
            <w:tcW w:w="62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Business analyst and insurance SME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iorta TechNXT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UX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UX and conversation designer</w:t>
            </w:r>
          </w:p>
        </w:tc>
      </w:tr>
      <w:tr>
        <w:trPr>
          <w:cantSplit/>
        </w:trPr>
        <w:tc>
          <w:tcPr>
            <w:tcW w:w="20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iorta TechNXT</w:t>
            </w:r>
          </w:p>
        </w:tc>
        <w:tc>
          <w:tcPr>
            <w:tcW w:w="7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IL</w:t>
            </w:r>
          </w:p>
        </w:tc>
        <w:tc>
          <w:tcPr>
            <w:tcW w:w="62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Senior engineer (integration lead)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iorta TechNXT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ENG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Engineers (backend and frontend)</w:t>
            </w:r>
          </w:p>
        </w:tc>
      </w:tr>
      <w:tr>
        <w:trPr>
          <w:cantSplit/>
        </w:trPr>
        <w:tc>
          <w:tcPr>
            <w:tcW w:w="20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iorta TechNXT</w:t>
            </w:r>
          </w:p>
        </w:tc>
        <w:tc>
          <w:tcPr>
            <w:tcW w:w="7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QA</w:t>
            </w:r>
          </w:p>
        </w:tc>
        <w:tc>
          <w:tcPr>
            <w:tcW w:w="62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QA engineer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iorta TechNXT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DSO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DevSecOps engineer</w:t>
            </w:r>
          </w:p>
        </w:tc>
      </w:tr>
      <w:tr>
        <w:trPr>
          <w:cantSplit/>
        </w:trPr>
        <w:tc>
          <w:tcPr>
            <w:tcW w:w="20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Vendors</w:t>
            </w:r>
          </w:p>
        </w:tc>
        <w:tc>
          <w:tcPr>
            <w:tcW w:w="7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VEN</w:t>
            </w:r>
          </w:p>
        </w:tc>
        <w:tc>
          <w:tcPr>
            <w:tcW w:w="62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Voice AI vendor, Zalo official account, SMS brandname provider</w:t>
            </w:r>
          </w:p>
        </w:tc>
      </w:tr>
      <w:tr>
        <w:trPr>
          <w:cantSplit/>
        </w:trPr>
        <w:tc>
          <w:tcPr>
            <w:tcW w:w="2005" w:type="dxa"/>
            <w:vAlign w:val="top"/>
          </w:tcPr>
          <w:p>
            <w:pPr>
              <w:pStyle w:val="TableText"/>
              <w:jc w:val="left"/>
            </w:pPr>
            <w:r>
              <w:t xml:space="preserve">Partner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jc w:val="left"/>
            </w:pPr>
            <w:r>
              <w:t xml:space="preserve">PTR</w:t>
            </w:r>
          </w:p>
        </w:tc>
        <w:tc>
          <w:tcPr>
            <w:tcW w:w="6263" w:type="dxa"/>
            <w:vAlign w:val="top"/>
          </w:tcPr>
          <w:p>
            <w:pPr>
              <w:pStyle w:val="TableText"/>
              <w:jc w:val="left"/>
            </w:pPr>
            <w:r>
              <w:t xml:space="preserve">The pilot partner on the partner API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footerReference w:type="default" r:id="rId14"/>
          <w:headerReference w:type="first" r:id="rId15"/>
          <w:footerReference w:type="first" r:id="rId16"/>
          <w:pgSz w:w="11907" w:h="16839" w:code="9"/>
          <w:pgMar w:top="1440" w:right="1440" w:bottom="1440" w:left="1440" w:header="1134" w:footer="0" w:gutter="0"/>
          <w:cols w:space="720"/>
          <w:docGrid w:linePitch="360"/>
        </w:sectPr>
      </w:pP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0" w:name="_Toc300000006"/>
      <w:r>
        <w:rPr>
          <w:rStyle w:val="BookTitle"/>
          <w:bCs w:val="0"/>
          <w:i w:val="0"/>
          <w:iCs w:val="0"/>
          <w:spacing w:val="0"/>
        </w:rPr>
        <w:t xml:space="preserve">Discovery and design</w:t>
      </w:r>
      <w:bookmarkEnd w:id="10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829"/>
        <w:gridCol w:w="7789"/>
        <w:gridCol w:w="692"/>
        <w:gridCol w:w="1468"/>
        <w:gridCol w:w="1801"/>
        <w:gridCol w:w="1380"/>
      </w:tblGrid>
      <w:tr>
        <w:trPr>
          <w:cantSplit/>
          <w:tblHeader/>
        </w:trPr>
        <w:tc>
          <w:tcPr>
            <w:tcW w:w="82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No.</w:t>
            </w:r>
          </w:p>
        </w:tc>
        <w:tc>
          <w:tcPr>
            <w:tcW w:w="778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Activity</w:t>
            </w:r>
          </w:p>
        </w:tc>
        <w:tc>
          <w:tcPr>
            <w:tcW w:w="69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</w:t>
            </w:r>
          </w:p>
        </w:tc>
        <w:tc>
          <w:tcPr>
            <w:tcW w:w="146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</w:t>
            </w:r>
          </w:p>
        </w:tc>
        <w:tc>
          <w:tcPr>
            <w:tcW w:w="180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</w:t>
            </w:r>
          </w:p>
        </w:tc>
        <w:tc>
          <w:tcPr>
            <w:tcW w:w="138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1.1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Mobilisation and plan baseline (M0)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PO, VS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All parties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1.2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Discovery report and pilot design (M1)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BA, EM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SP, VS, CMP, TS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SA, UX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1.3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TASCO core integration path and specifications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SA, IL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PO, SEC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1.4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 interface specifications and data extract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VS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VI, IL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SA, PO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1.5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Data-sharing basis and regulatory positions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CMP, BA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PO, VS, VI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1.6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Choice of hosting provider in Vietnam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SA, DSO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SEC, EM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1.7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Security requirements and penetration test scope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SEC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SEC, SA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TIT, DSO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1" w:name="_Toc300000007"/>
      <w:r>
        <w:rPr>
          <w:rStyle w:val="BookTitle"/>
          <w:bCs w:val="0"/>
          <w:i w:val="0"/>
          <w:iCs w:val="0"/>
          <w:spacing w:val="0"/>
        </w:rPr>
        <w:t xml:space="preserve">Build and integrate</w:t>
      </w:r>
      <w:bookmarkEnd w:id="11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829"/>
        <w:gridCol w:w="7789"/>
        <w:gridCol w:w="692"/>
        <w:gridCol w:w="1468"/>
        <w:gridCol w:w="1801"/>
        <w:gridCol w:w="1380"/>
      </w:tblGrid>
      <w:tr>
        <w:trPr>
          <w:cantSplit/>
          <w:tblHeader/>
        </w:trPr>
        <w:tc>
          <w:tcPr>
            <w:tcW w:w="82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No.</w:t>
            </w:r>
          </w:p>
        </w:tc>
        <w:tc>
          <w:tcPr>
            <w:tcW w:w="778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Activity</w:t>
            </w:r>
          </w:p>
        </w:tc>
        <w:tc>
          <w:tcPr>
            <w:tcW w:w="69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</w:t>
            </w:r>
          </w:p>
        </w:tc>
        <w:tc>
          <w:tcPr>
            <w:tcW w:w="146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</w:t>
            </w:r>
          </w:p>
        </w:tc>
        <w:tc>
          <w:tcPr>
            <w:tcW w:w="180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</w:t>
            </w:r>
          </w:p>
        </w:tc>
        <w:tc>
          <w:tcPr>
            <w:tcW w:w="138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2.1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Backlog priorities and scope decisions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BA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VS, SA, EM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Delivery team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2.2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Architecture and design decisions (ADRs)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SA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SA, IL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TIT, SEC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2.3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TASCO core adapters: catalogue, rating, bind and issue, policy extract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IL, ENG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2.4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 adapters: data, events, web view, push, wallet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IL, ENG, VI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VS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2.5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Contracts with the voice AI, Zalo and SMS vendors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EM, CMP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SA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2.6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Integration of the voice AI, Zalo and SMS channels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IL, ENG, VEN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PO, UX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TS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2.7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Rule configuration: scoring, journeys, benefits, templates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BA, PO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CMP, VS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2.8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Approval of rule changes (four-eyes)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PO, BA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2.9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Customer wording and voice script approval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PO, UX, VS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TS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2.10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Products and tariffs confirmed in TASCO core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CMP, BA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2.11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Partner onboarding and API keys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PO, ENG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CMP, SEC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PTR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2.12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Sprint demonstration and story acceptance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EM, BA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TS, VS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2" w:name="_Toc300000008"/>
      <w:r>
        <w:rPr>
          <w:rStyle w:val="BookTitle"/>
          <w:bCs w:val="0"/>
          <w:i w:val="0"/>
          <w:iCs w:val="0"/>
          <w:spacing w:val="0"/>
        </w:rPr>
        <w:t xml:space="preserve">Test and go-live</w:t>
      </w:r>
      <w:bookmarkEnd w:id="12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829"/>
        <w:gridCol w:w="7789"/>
        <w:gridCol w:w="692"/>
        <w:gridCol w:w="1468"/>
        <w:gridCol w:w="1801"/>
        <w:gridCol w:w="1380"/>
      </w:tblGrid>
      <w:tr>
        <w:trPr>
          <w:cantSplit/>
          <w:tblHeader/>
        </w:trPr>
        <w:tc>
          <w:tcPr>
            <w:tcW w:w="82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No.</w:t>
            </w:r>
          </w:p>
        </w:tc>
        <w:tc>
          <w:tcPr>
            <w:tcW w:w="778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Activity</w:t>
            </w:r>
          </w:p>
        </w:tc>
        <w:tc>
          <w:tcPr>
            <w:tcW w:w="69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</w:t>
            </w:r>
          </w:p>
        </w:tc>
        <w:tc>
          <w:tcPr>
            <w:tcW w:w="146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</w:t>
            </w:r>
          </w:p>
        </w:tc>
        <w:tc>
          <w:tcPr>
            <w:tcW w:w="180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</w:t>
            </w:r>
          </w:p>
        </w:tc>
        <w:tc>
          <w:tcPr>
            <w:tcW w:w="138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3.1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System integration testing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QA, IL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TIT, VI, VEN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3.2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Performance testing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QA, DSO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3.3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Security testing and remediation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SEC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DSO, QA, ENG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SA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PO, EM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3.4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UAT execution and sign-off (M3)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PO, TS, QA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CMP, BA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3.5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Training of pilot users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BA, UX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TS, CMP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3.6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Cut-over rehearsal and go-live decision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EM, TIT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PO, CMP, SEC, VS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All parties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3.7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Production deployment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DSO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SA, SEC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3" w:name="_Toc300000009"/>
      <w:r>
        <w:rPr>
          <w:rStyle w:val="BookTitle"/>
          <w:bCs w:val="0"/>
          <w:i w:val="0"/>
          <w:iCs w:val="0"/>
          <w:spacing w:val="0"/>
        </w:rPr>
        <w:t xml:space="preserve">Hypercare and pilot</w:t>
      </w:r>
      <w:bookmarkEnd w:id="13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829"/>
        <w:gridCol w:w="7789"/>
        <w:gridCol w:w="692"/>
        <w:gridCol w:w="1468"/>
        <w:gridCol w:w="1801"/>
        <w:gridCol w:w="1380"/>
      </w:tblGrid>
      <w:tr>
        <w:trPr>
          <w:cantSplit/>
          <w:tblHeader/>
        </w:trPr>
        <w:tc>
          <w:tcPr>
            <w:tcW w:w="82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No.</w:t>
            </w:r>
          </w:p>
        </w:tc>
        <w:tc>
          <w:tcPr>
            <w:tcW w:w="778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Activity</w:t>
            </w:r>
          </w:p>
        </w:tc>
        <w:tc>
          <w:tcPr>
            <w:tcW w:w="69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</w:t>
            </w:r>
          </w:p>
        </w:tc>
        <w:tc>
          <w:tcPr>
            <w:tcW w:w="146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</w:t>
            </w:r>
          </w:p>
        </w:tc>
        <w:tc>
          <w:tcPr>
            <w:tcW w:w="180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</w:t>
            </w:r>
          </w:p>
        </w:tc>
        <w:tc>
          <w:tcPr>
            <w:tcW w:w="138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4.1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Hypercare and Tết on-call (M4)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ENG, IL, DSO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4.2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Pilot operation: campaigns, handoffs, sales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TS, PO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BA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SP, VS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4.3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Technical handover to TASCO IT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SA, DSO, EM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SEC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4.4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Pilot measurement and read-out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BA, PO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VS, EM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All parties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4.5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Scale decision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EM, PO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VS, CMP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All parties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4" w:name="_Toc300000010"/>
      <w:r>
        <w:rPr>
          <w:rStyle w:val="BookTitle"/>
          <w:bCs w:val="0"/>
          <w:i w:val="0"/>
          <w:iCs w:val="0"/>
          <w:spacing w:val="0"/>
        </w:rPr>
        <w:t xml:space="preserve">Compliance and support from go-live</w:t>
      </w:r>
      <w:bookmarkEnd w:id="14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829"/>
        <w:gridCol w:w="7789"/>
        <w:gridCol w:w="692"/>
        <w:gridCol w:w="1468"/>
        <w:gridCol w:w="1801"/>
        <w:gridCol w:w="1380"/>
      </w:tblGrid>
      <w:tr>
        <w:trPr>
          <w:cantSplit/>
          <w:tblHeader/>
        </w:trPr>
        <w:tc>
          <w:tcPr>
            <w:tcW w:w="82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No.</w:t>
            </w:r>
          </w:p>
        </w:tc>
        <w:tc>
          <w:tcPr>
            <w:tcW w:w="778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Activity</w:t>
            </w:r>
          </w:p>
        </w:tc>
        <w:tc>
          <w:tcPr>
            <w:tcW w:w="69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</w:t>
            </w:r>
          </w:p>
        </w:tc>
        <w:tc>
          <w:tcPr>
            <w:tcW w:w="146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</w:t>
            </w:r>
          </w:p>
        </w:tc>
        <w:tc>
          <w:tcPr>
            <w:tcW w:w="180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</w:t>
            </w:r>
          </w:p>
        </w:tc>
        <w:tc>
          <w:tcPr>
            <w:tcW w:w="138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5.1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Data subject requests: access, correction, erasure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TIT, DAT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5.2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Data-quality correction with evidence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PO, VI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BA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5.3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Rule changes after go-live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DAT, BA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5.4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Access reviews and role changes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SEC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5.5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Audit evidence for internal and external audit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TIT, SEC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5.6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Incident handling (first-line)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PO, TS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5.7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Incident handling (second and third line)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ENG, DSO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SEC, VI, VEN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</w:tr>
      <w:tr>
        <w:trPr>
          <w:cantSplit/>
        </w:trPr>
        <w:tc>
          <w:tcPr>
            <w:tcW w:w="82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5.8</w:t>
            </w:r>
          </w:p>
        </w:tc>
        <w:tc>
          <w:tcPr>
            <w:tcW w:w="77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Commission statements to the partner</w:t>
            </w:r>
          </w:p>
        </w:tc>
        <w:tc>
          <w:tcPr>
            <w:tcW w:w="69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80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138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PTR</w:t>
            </w:r>
          </w:p>
        </w:tc>
      </w:tr>
      <w:tr>
        <w:trPr>
          <w:cantSplit/>
        </w:trPr>
        <w:tc>
          <w:tcPr>
            <w:tcW w:w="829" w:type="dxa"/>
            <w:vAlign w:val="top"/>
          </w:tcPr>
          <w:p>
            <w:pPr>
              <w:pStyle w:val="TableText"/>
              <w:jc w:val="left"/>
            </w:pPr>
            <w:r>
              <w:t xml:space="preserve">5.9</w:t>
            </w:r>
          </w:p>
        </w:tc>
        <w:tc>
          <w:tcPr>
            <w:tcW w:w="7789" w:type="dxa"/>
            <w:vAlign w:val="top"/>
          </w:tcPr>
          <w:p>
            <w:pPr>
              <w:pStyle w:val="TableText"/>
              <w:jc w:val="left"/>
            </w:pPr>
            <w:r>
              <w:t xml:space="preserve">Change requests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jc w:val="left"/>
            </w:pPr>
            <w:r>
              <w:t xml:space="preserve">SA, BA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footerReference w:type="default" r:id="rIdFooterLandscape"/>
          <w:headerReference w:type="first" r:id="rId15"/>
          <w:footerReference w:type="first" r:id="rId16"/>
          <w:pgSz w:w="16839" w:h="11907" w:code="9" w:orient="landscape"/>
          <w:pgMar w:top="1440" w:right="1440" w:bottom="1440" w:left="1440" w:header="1134" w:footer="0" w:gutter="0"/>
          <w:cols w:space="720"/>
          <w:docGrid w:linePitch="360"/>
        </w:sectPr>
      </w:pPr>
    </w:p>
    <w:p>
      <w:pPr>
        <w:pStyle w:val="BodyText"/>
        <w:spacing w:before="160"/>
      </w:pPr>
      <w:r>
        <w:t xml:space="preserve">Activities 5.6 and 5.7 assume iorta TechNXT provides the managed service after hypercare. If TASCO runs second and third line itself, R moves to TIT after the knowledge transfer in TGP-DEL-05 Knowledge Transfer Plan.</w:t>
      </w:r>
    </w:p>
    <w:p>
      <w:pPr>
        <w:pStyle w:val="BodyText"/>
      </w:pPr>
      <w:r>
        <w:t xml:space="preserve">Activity 4.2 assumes TASCO runs telesales in the pilot. If VETC’s call centre runs it, R for telesales moves to VETC.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5" w:name="_Toc300000011"/>
      <w:r>
        <w:rPr>
          <w:rStyle w:val="BookTitle"/>
          <w:bCs w:val="0"/>
          <w:i w:val="0"/>
          <w:iCs w:val="0"/>
          <w:spacing w:val="0"/>
        </w:rPr>
        <w:t xml:space="preserve">Separation of duties</w:t>
      </w:r>
      <w:bookmarkEnd w:id="15"/>
    </w:p>
    <w:p>
      <w:pPr>
        <w:pStyle w:val="FirstParagraph"/>
      </w:pPr>
      <w:r>
        <w:t xml:space="preserve">The platform enforces the following rules in code, so the matrix cannot be bypassed in practice. TGP-ARC-04 Security Architecture gives the full role model.</w:t>
      </w:r>
    </w:p>
    <w:p>
      <w:pPr>
        <w:pStyle w:val="Compact"/>
        <w:numPr>
          <w:ilvl w:val="0"/>
          <w:numId w:val="1001"/>
        </w:numPr>
      </w:pPr>
      <w:r>
        <w:t xml:space="preserve">The author of a rule change cannot approve it. The roles of rule author and rule approver cannot be held by the same person.</w:t>
      </w:r>
    </w:p>
    <w:p>
      <w:pPr>
        <w:pStyle w:val="Compact"/>
        <w:numPr>
          <w:ilvl w:val="0"/>
          <w:numId w:val="1001"/>
        </w:numPr>
      </w:pPr>
      <w:r>
        <w:t xml:space="preserve">Changes to contact rules, wording controls, access policies, commission and retention can only be approved by a compliance officer.</w:t>
      </w:r>
    </w:p>
    <w:p>
      <w:pPr>
        <w:pStyle w:val="Compact"/>
        <w:numPr>
          <w:ilvl w:val="0"/>
          <w:numId w:val="1001"/>
        </w:numPr>
      </w:pPr>
      <w:r>
        <w:t xml:space="preserve">Product changes from TASCO core arrive as a proposed change from the catalogue sync and need a human approver.</w:t>
      </w:r>
    </w:p>
    <w:p>
      <w:pPr>
        <w:pStyle w:val="Compact"/>
        <w:numPr>
          <w:ilvl w:val="0"/>
          <w:numId w:val="1001"/>
        </w:numPr>
      </w:pPr>
      <w:r>
        <w:t xml:space="preserve">Administrators manage users and operations but cannot author or approve rules, cannot see customer personal data, and cannot change their own roles or status.</w:t>
      </w:r>
    </w:p>
    <w:p>
      <w:pPr>
        <w:pStyle w:val="Compact"/>
        <w:numPr>
          <w:ilvl w:val="0"/>
          <w:numId w:val="1001"/>
        </w:numPr>
      </w:pPr>
      <w:r>
        <w:t xml:space="preserve">Support engineers run jobs but cannot see dashboards, customers or rules. Auditors have read-only access.</w:t>
      </w:r>
    </w:p>
    <w:p>
      <w:pPr>
        <w:pStyle w:val="Compact"/>
        <w:numPr>
          <w:ilvl w:val="0"/>
          <w:numId w:val="1001"/>
        </w:numPr>
      </w:pPr>
      <w:r>
        <w:t xml:space="preserve">Staff never take payment. Telesales send the quote to the customer’s VETC app, and only the customer pays. Partner sales are collected by the partner.</w:t>
      </w:r>
    </w:p>
    <w:p>
      <w:pPr>
        <w:pStyle w:val="Compact"/>
        <w:numPr>
          <w:ilvl w:val="0"/>
          <w:numId w:val="1001"/>
        </w:numPr>
      </w:pPr>
      <w:r>
        <w:t xml:space="preserve">Changes to roles and permissions are made through a release, never through a runtime switch.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6" w:name="_Toc300000012"/>
      <w:r>
        <w:rPr>
          <w:rStyle w:val="BookTitle"/>
          <w:bCs w:val="0"/>
          <w:i w:val="0"/>
          <w:iCs w:val="0"/>
          <w:spacing w:val="0"/>
        </w:rPr>
        <w:t xml:space="preserve">Maintenance</w:t>
      </w:r>
      <w:bookmarkEnd w:id="16"/>
    </w:p>
    <w:p>
      <w:pPr>
        <w:pStyle w:val="FirstParagraph"/>
      </w:pPr>
      <w:r>
        <w:t xml:space="preserve">The engagement manager maintains this matrix until the end of hypercare, and TASCO IT afterwards. It is reviewed at each milestone and whenever a party or role changes.</w:t>
      </w:r>
    </w:p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7" w:name="_Toc300000013"/>
      <w:r>
        <w:rPr>
          <w:rStyle w:val="BookTitle"/>
          <w:bCs w:val="0"/>
          <w:i w:val="0"/>
          <w:iCs w:val="0"/>
          <w:spacing w:val="0"/>
        </w:rPr>
        <w:t xml:space="preserve">Sign-Off</w:t>
      </w:r>
      <w:bookmarkEnd w:id="17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972"/>
        <w:gridCol w:w="5107"/>
        <w:gridCol w:w="1976"/>
        <w:gridCol w:w="972"/>
      </w:tblGrid>
      <w:tr w:rsidR="002B183A" w14:paraId="0ABAE4AD" w14:textId="77777777" w:rsidTr="002923F3">
        <w:trPr>
          <w:cantSplit/>
          <w:trHeight w:val="440"/>
          <w:tblHeader/>
        </w:trPr>
        <w:tc>
          <w:tcPr>
            <w:tcW w:w="972" w:type="dxa"/>
            <w:shd w:val="clear" w:color="auto" w:fill="0F4761"/>
            <w:vAlign w:val="center"/>
          </w:tcPr>
          <w:p w14:paraId="3EB3C57B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lastRenderedPageBreak/>
              <w:t>Serial Number</w:t>
            </w:r>
          </w:p>
        </w:tc>
        <w:tc>
          <w:tcPr>
            <w:tcW w:w="5107" w:type="dxa"/>
            <w:shd w:val="clear" w:color="auto" w:fill="0F4761"/>
            <w:vAlign w:val="center"/>
          </w:tcPr>
          <w:p w14:paraId="11ABC55F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976" w:type="dxa"/>
            <w:shd w:val="clear" w:color="auto" w:fill="0F4761"/>
            <w:vAlign w:val="center"/>
          </w:tcPr>
          <w:p w14:paraId="05BF7E25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972" w:type="dxa"/>
            <w:shd w:val="clear" w:color="auto" w:fill="0F4761"/>
            <w:vAlign w:val="center"/>
          </w:tcPr>
          <w:p w14:paraId="1E57008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</w:t>
            </w:r>
          </w:p>
        </w:tc>
        <w:tc>
          <w:tcPr>
            <w:tcW w:w="5107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Named individuals for each TASCO and VETC party confirmed at mobilisation</w:t>
            </w:r>
          </w:p>
        </w:tc>
        <w:tc>
          <w:tcPr>
            <w:tcW w:w="1976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Product Owner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2</w:t>
            </w:r>
          </w:p>
        </w:tc>
        <w:tc>
          <w:tcPr>
            <w:tcW w:w="5107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Organisation running telesales in the pilot (TASCO or VETC) confirmed in discovery</w:t>
            </w:r>
          </w:p>
        </w:tc>
        <w:tc>
          <w:tcPr>
            <w:tcW w:w="1976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Programme Sponsor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</w:tbl>
    <w:p w14:paraId="57CC15FC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062"/>
        <w:gridCol w:w="1671"/>
        <w:gridCol w:w="2619"/>
        <w:gridCol w:w="3675"/>
      </w:tblGrid>
      <w:tr w:rsidR="002B183A" w14:paraId="731A77C7" w14:textId="77777777" w:rsidTr="002923F3">
        <w:trPr>
          <w:cantSplit/>
          <w:trHeight w:val="440"/>
          <w:tblHeader/>
        </w:trPr>
        <w:tc>
          <w:tcPr>
            <w:tcW w:w="1062" w:type="dxa"/>
            <w:shd w:val="clear" w:color="auto" w:fill="0F4761"/>
            <w:vAlign w:val="center"/>
          </w:tcPr>
          <w:p w14:paraId="2799E84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 xml:space="preserve">Sign Off </w:t>
            </w: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671" w:type="dxa"/>
            <w:shd w:val="clear" w:color="auto" w:fill="0F4761"/>
            <w:vAlign w:val="center"/>
          </w:tcPr>
          <w:p w14:paraId="56708A83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Signature</w:t>
            </w:r>
          </w:p>
        </w:tc>
        <w:tc>
          <w:tcPr>
            <w:tcW w:w="2619" w:type="dxa"/>
            <w:shd w:val="clear" w:color="auto" w:fill="0F4761"/>
            <w:vAlign w:val="center"/>
          </w:tcPr>
          <w:p w14:paraId="367EAF9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</w:t>
            </w:r>
          </w:p>
        </w:tc>
        <w:tc>
          <w:tcPr>
            <w:tcW w:w="3675" w:type="dxa"/>
            <w:shd w:val="clear" w:color="auto" w:fill="0F4761"/>
            <w:vAlign w:val="center"/>
          </w:tcPr>
          <w:p w14:paraId="3521F75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Department &amp; Project Role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62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671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619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675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Programme Sponsor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62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671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619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675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Programme Management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62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671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619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</w:p>
        </w:tc>
        <w:tc>
          <w:tcPr>
            <w:tcW w:w="3675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Delivery Management</w:t>
            </w:r>
          </w:p>
        </w:tc>
      </w:tr>
    </w:tbl>
    <w:p w14:paraId="1146A836" w14:textId="10B273DD" w:rsidR="00EE516B" w:rsidRDefault="002B183A">
      <w:r w:rsidRPr="00FE19FE">
        <w:br w:type="page"/>
      </w:r>
    </w:p>
    <w:p w14:paraId="1F938E87" w14:textId="77777777" w:rsidR="007B4988" w:rsidRDefault="007B4988"/>
    <w:p w14:paraId="4553482A" w14:textId="1F0B5849" w:rsidR="008501FA" w:rsidRPr="00EF479A" w:rsidRDefault="006470D1" w:rsidP="3B384731">
      <w:r>
        <w:rPr>
          <w:noProof/>
        </w:rPr>
        <w:drawing>
          <wp:anchor distT="0" distB="0" distL="114300" distR="114300" simplePos="0" relativeHeight="251658240" behindDoc="1" locked="0" layoutInCell="1" allowOverlap="1" wp14:anchorId="769CEDFB" wp14:editId="0E98DE0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440" cy="10677525"/>
            <wp:effectExtent l="0" t="0" r="0" b="0"/>
            <wp:wrapNone/>
            <wp:docPr id="8884342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49725D-CA62-47A1-A957-457A136796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4296" name="Picture 8884342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4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01FA" w:rsidRPr="00EF479A" w:rsidSect="004477F0"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113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9D5A" w14:textId="77777777" w:rsidR="00A242E6" w:rsidRDefault="00A242E6">
      <w:pPr>
        <w:spacing w:after="0" w:line="240" w:lineRule="auto"/>
      </w:pPr>
      <w:r>
        <w:separator/>
      </w:r>
    </w:p>
  </w:endnote>
  <w:endnote w:type="continuationSeparator" w:id="0">
    <w:p w14:paraId="749EBE52" w14:textId="77777777" w:rsidR="00A242E6" w:rsidRDefault="00A2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81B" w14:textId="6A123F5D" w:rsidR="00EC1FCB" w:rsidRDefault="00EC1FC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915C0C7" wp14:editId="4783279C">
          <wp:simplePos x="0" y="0"/>
          <wp:positionH relativeFrom="page">
            <wp:align>left</wp:align>
          </wp:positionH>
          <wp:positionV relativeFrom="paragraph">
            <wp:posOffset>-707666</wp:posOffset>
          </wp:positionV>
          <wp:extent cx="8778222" cy="885012"/>
          <wp:effectExtent l="0" t="0" r="4445" b="0"/>
          <wp:wrapNone/>
          <wp:docPr id="1180669579" name="Picture 1180669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78222" cy="885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7DEADF60" w14:textId="77777777" w:rsidTr="2EB1E806">
      <w:trPr>
        <w:trHeight w:val="300"/>
      </w:trPr>
      <w:tc>
        <w:tcPr>
          <w:tcW w:w="3005" w:type="dxa"/>
        </w:tcPr>
        <w:p w14:paraId="1EDD45F7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29D1E92D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74EB3205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368865EE" w14:textId="77777777" w:rsidR="00E75530" w:rsidRDefault="00E755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81B" w14:textId="6A123F5D" w:rsidR="00EC1FCB" w:rsidRDefault="00EC1FC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915C0C7" wp14:editId="4783279C">
          <wp:simplePos x="0" y="0"/>
          <wp:positionH relativeFrom="page">
            <wp:align>left</wp:align>
          </wp:positionH>
          <wp:positionV relativeFrom="paragraph">
            <wp:posOffset>-707666</wp:posOffset>
          </wp:positionV>
          <wp:extent cx="11120475" cy="885012"/>
          <wp:effectExtent l="0" t="0" r="4445" b="0"/>
          <wp:wrapNone/>
          <wp:docPr id="4999" name="Picture 1180669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0475" cy="885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57CB" w14:textId="77777777" w:rsidR="00A242E6" w:rsidRDefault="00A242E6">
      <w:pPr>
        <w:spacing w:after="0" w:line="240" w:lineRule="auto"/>
      </w:pPr>
      <w:r>
        <w:separator/>
      </w:r>
    </w:p>
  </w:footnote>
  <w:footnote w:type="continuationSeparator" w:id="0">
    <w:p w14:paraId="5971213E" w14:textId="77777777" w:rsidR="00A242E6" w:rsidRDefault="00A24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1C7D462D" w14:textId="77777777" w:rsidTr="2EB1E806">
      <w:trPr>
        <w:trHeight w:val="300"/>
      </w:trPr>
      <w:tc>
        <w:tcPr>
          <w:tcW w:w="3005" w:type="dxa"/>
        </w:tcPr>
        <w:p w14:paraId="46651DEC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3039B243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307891C7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0CF9FFBF" w14:textId="77777777" w:rsidR="00E75530" w:rsidRDefault="00E75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0D61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ascii="Segoe UI" w:hAnsi="Segoe UI" w:hint="default"/>
        <w:b/>
        <w:i w:val="0"/>
        <w:color w:val="0F4761"/>
        <w:sz w:val="26"/>
        <w:szCs w:val="26"/>
      </w:rPr>
    </w:lvl>
    <w:lvl w:ilvl="2">
      <w:start w:val="1"/>
      <w:numFmt w:val="decimal"/>
      <w:pStyle w:val="Heading3"/>
      <w:lvlText w:val="%1.%2.%3."/>
      <w:lvlJc w:val="left"/>
      <w:pPr>
        <w:ind w:left="864" w:hanging="864"/>
      </w:pPr>
      <w:rPr>
        <w:rFonts w:ascii="Segoe UI" w:hAnsi="Segoe UI" w:hint="default"/>
        <w:b/>
        <w:i w:val="0"/>
        <w:color w:val="0F4761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16623F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/>
        <w:i w:val="0"/>
        <w:color w:val="003399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003399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•"/>
      <w:lvlJc w:val="left"/>
      <w:pPr>
        <w:ind w:left="360" w:hanging="284"/>
      </w:pPr>
      <w:rPr>
        <w:rFonts w:ascii="Segoe UI" w:hAnsi="Segoe UI" w:eastAsia="Segoe UI" w:cs="Segoe UI"/>
        <w:color w:val="1D74BA"/>
      </w:rPr>
    </w:lvl>
    <w:lvl w:ilvl="1">
      <w:numFmt w:val="bullet"/>
      <w:lvlText w:val="–"/>
      <w:lvlJc w:val="left"/>
      <w:pPr>
        <w:ind w:left="720" w:hanging="284"/>
      </w:pPr>
      <w:rPr>
        <w:rFonts w:ascii="Segoe UI" w:hAnsi="Segoe UI" w:eastAsia="Segoe UI" w:cs="Segoe UI"/>
        <w:color w:val="1D74BA"/>
      </w:rPr>
    </w:lvl>
    <w:lvl w:ilvl="2">
      <w:numFmt w:val="bullet"/>
      <w:lvlText w:val="◦"/>
      <w:lvlJc w:val="left"/>
      <w:pPr>
        <w:ind w:left="1080" w:hanging="284"/>
      </w:pPr>
      <w:rPr>
        <w:rFonts w:ascii="Segoe UI" w:hAnsi="Segoe UI" w:eastAsia="Segoe UI" w:cs="Segoe UI"/>
        <w:color w:val="1D74BA"/>
      </w:rPr>
    </w:lvl>
    <w:lvl w:ilvl="3">
      <w:numFmt w:val="bullet"/>
      <w:lvlText w:val="•"/>
      <w:lvlJc w:val="left"/>
      <w:pPr>
        <w:ind w:left="1440" w:hanging="284"/>
      </w:pPr>
      <w:rPr>
        <w:rFonts w:ascii="Segoe UI" w:hAnsi="Segoe UI" w:eastAsia="Segoe UI" w:cs="Segoe UI"/>
        <w:color w:val="1D74BA"/>
      </w:rPr>
    </w:lvl>
    <w:lvl w:ilvl="4">
      <w:numFmt w:val="bullet"/>
      <w:lvlText w:val="–"/>
      <w:lvlJc w:val="left"/>
      <w:pPr>
        <w:ind w:left="1800" w:hanging="284"/>
      </w:pPr>
      <w:rPr>
        <w:rFonts w:ascii="Segoe UI" w:hAnsi="Segoe UI" w:eastAsia="Segoe UI" w:cs="Segoe UI"/>
        <w:color w:val="1D74BA"/>
      </w:rPr>
    </w:lvl>
    <w:lvl w:ilvl="5">
      <w:numFmt w:val="bullet"/>
      <w:lvlText w:val="◦"/>
      <w:lvlJc w:val="left"/>
      <w:pPr>
        <w:ind w:left="2160" w:hanging="284"/>
      </w:pPr>
      <w:rPr>
        <w:rFonts w:ascii="Segoe UI" w:hAnsi="Segoe UI" w:eastAsia="Segoe UI" w:cs="Segoe UI"/>
        <w:color w:val="1D74BA"/>
      </w:rPr>
    </w:lvl>
    <w:lvl w:ilvl="6">
      <w:numFmt w:val="bullet"/>
      <w:lvlText w:val="•"/>
      <w:lvlJc w:val="left"/>
      <w:pPr>
        <w:ind w:left="2520" w:hanging="284"/>
      </w:pPr>
      <w:rPr>
        <w:rFonts w:ascii="Segoe UI" w:hAnsi="Segoe UI" w:eastAsia="Segoe UI" w:cs="Segoe UI"/>
        <w:color w:val="1D74BA"/>
      </w:rPr>
    </w:lvl>
    <w:lvl w:ilvl="7">
      <w:numFmt w:val="bullet"/>
      <w:lvlText w:val="–"/>
      <w:lvlJc w:val="left"/>
      <w:pPr>
        <w:ind w:left="2880" w:hanging="284"/>
      </w:pPr>
      <w:rPr>
        <w:rFonts w:ascii="Segoe UI" w:hAnsi="Segoe UI" w:eastAsia="Segoe UI" w:cs="Segoe UI"/>
        <w:color w:val="1D74BA"/>
      </w:rPr>
    </w:lvl>
    <w:lvl w:ilvl="8">
      <w:numFmt w:val="bullet"/>
      <w:lvlText w:val="◦"/>
      <w:lvlJc w:val="left"/>
      <w:pPr>
        <w:ind w:left="3240" w:hanging="284"/>
      </w:pPr>
      <w:rPr>
        <w:rFonts w:ascii="Segoe UI" w:hAnsi="Segoe UI" w:eastAsia="Segoe UI" w:cs="Segoe UI"/>
        <w:color w:val="1D74BA"/>
      </w:r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num w:numId="1" w16cid:durableId="1413504409">
    <w:abstractNumId w:val="0"/>
  </w:num>
  <w:num w:numId="2" w16cid:durableId="1722510407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19CAF"/>
    <w:rsid w:val="0000218A"/>
    <w:rsid w:val="00042B57"/>
    <w:rsid w:val="00052F56"/>
    <w:rsid w:val="0005688C"/>
    <w:rsid w:val="000568F1"/>
    <w:rsid w:val="00063BDA"/>
    <w:rsid w:val="000A49F2"/>
    <w:rsid w:val="000B63E5"/>
    <w:rsid w:val="000C0114"/>
    <w:rsid w:val="000C1431"/>
    <w:rsid w:val="000E2CCE"/>
    <w:rsid w:val="000E3A8A"/>
    <w:rsid w:val="000E6F4B"/>
    <w:rsid w:val="000F3FF5"/>
    <w:rsid w:val="000F41A4"/>
    <w:rsid w:val="000F4CCD"/>
    <w:rsid w:val="000F4EB5"/>
    <w:rsid w:val="00101A6A"/>
    <w:rsid w:val="00104904"/>
    <w:rsid w:val="00117C0B"/>
    <w:rsid w:val="001315CF"/>
    <w:rsid w:val="00132BD0"/>
    <w:rsid w:val="00146E08"/>
    <w:rsid w:val="00165D5A"/>
    <w:rsid w:val="0017322E"/>
    <w:rsid w:val="00175012"/>
    <w:rsid w:val="001820B4"/>
    <w:rsid w:val="0019429B"/>
    <w:rsid w:val="001A0057"/>
    <w:rsid w:val="001A0CA8"/>
    <w:rsid w:val="001A308F"/>
    <w:rsid w:val="001B5005"/>
    <w:rsid w:val="001D3CAE"/>
    <w:rsid w:val="001D5721"/>
    <w:rsid w:val="001D63DE"/>
    <w:rsid w:val="001E33AB"/>
    <w:rsid w:val="001E62E7"/>
    <w:rsid w:val="001F3059"/>
    <w:rsid w:val="0021019E"/>
    <w:rsid w:val="00217326"/>
    <w:rsid w:val="00230C12"/>
    <w:rsid w:val="002552E7"/>
    <w:rsid w:val="00266FD0"/>
    <w:rsid w:val="00267AA2"/>
    <w:rsid w:val="00277C08"/>
    <w:rsid w:val="00284E6D"/>
    <w:rsid w:val="00291400"/>
    <w:rsid w:val="00293152"/>
    <w:rsid w:val="002964A1"/>
    <w:rsid w:val="002A380B"/>
    <w:rsid w:val="002A7439"/>
    <w:rsid w:val="002B183A"/>
    <w:rsid w:val="002C210A"/>
    <w:rsid w:val="002C4C51"/>
    <w:rsid w:val="002C702D"/>
    <w:rsid w:val="002D24EB"/>
    <w:rsid w:val="002D2E94"/>
    <w:rsid w:val="002D72E9"/>
    <w:rsid w:val="002E01F0"/>
    <w:rsid w:val="002E33DD"/>
    <w:rsid w:val="002F0D17"/>
    <w:rsid w:val="002F14E6"/>
    <w:rsid w:val="002F15FD"/>
    <w:rsid w:val="002F2AB4"/>
    <w:rsid w:val="00302D80"/>
    <w:rsid w:val="003066FC"/>
    <w:rsid w:val="00332B5D"/>
    <w:rsid w:val="003352B3"/>
    <w:rsid w:val="00342678"/>
    <w:rsid w:val="00344ED2"/>
    <w:rsid w:val="0034793E"/>
    <w:rsid w:val="00347EBD"/>
    <w:rsid w:val="003508EA"/>
    <w:rsid w:val="0036406E"/>
    <w:rsid w:val="003746B4"/>
    <w:rsid w:val="00375053"/>
    <w:rsid w:val="00386071"/>
    <w:rsid w:val="003929B6"/>
    <w:rsid w:val="003A2082"/>
    <w:rsid w:val="003A560F"/>
    <w:rsid w:val="003A6145"/>
    <w:rsid w:val="003A6CCA"/>
    <w:rsid w:val="003A74E0"/>
    <w:rsid w:val="003C3BF4"/>
    <w:rsid w:val="003C514A"/>
    <w:rsid w:val="003C7B6B"/>
    <w:rsid w:val="003D05E3"/>
    <w:rsid w:val="003F0D95"/>
    <w:rsid w:val="00405DF9"/>
    <w:rsid w:val="00413CDB"/>
    <w:rsid w:val="004170F2"/>
    <w:rsid w:val="00432E0E"/>
    <w:rsid w:val="00435034"/>
    <w:rsid w:val="00435327"/>
    <w:rsid w:val="0043534B"/>
    <w:rsid w:val="0044099E"/>
    <w:rsid w:val="00442F0D"/>
    <w:rsid w:val="004477F0"/>
    <w:rsid w:val="004503D4"/>
    <w:rsid w:val="00452E5E"/>
    <w:rsid w:val="004647A1"/>
    <w:rsid w:val="00474CE6"/>
    <w:rsid w:val="004913D2"/>
    <w:rsid w:val="004A02DA"/>
    <w:rsid w:val="004A1359"/>
    <w:rsid w:val="004B2DAF"/>
    <w:rsid w:val="004B625D"/>
    <w:rsid w:val="004C7746"/>
    <w:rsid w:val="004E295B"/>
    <w:rsid w:val="004E4690"/>
    <w:rsid w:val="004F06C7"/>
    <w:rsid w:val="004F3C1D"/>
    <w:rsid w:val="0050492D"/>
    <w:rsid w:val="00506CE2"/>
    <w:rsid w:val="005117B0"/>
    <w:rsid w:val="00515DD1"/>
    <w:rsid w:val="00526F27"/>
    <w:rsid w:val="005274C4"/>
    <w:rsid w:val="00527DC4"/>
    <w:rsid w:val="00530CF1"/>
    <w:rsid w:val="00551FBB"/>
    <w:rsid w:val="00557619"/>
    <w:rsid w:val="0056723D"/>
    <w:rsid w:val="005801AB"/>
    <w:rsid w:val="00582D45"/>
    <w:rsid w:val="005965C9"/>
    <w:rsid w:val="00597C78"/>
    <w:rsid w:val="005B20F7"/>
    <w:rsid w:val="005C6A01"/>
    <w:rsid w:val="005D416F"/>
    <w:rsid w:val="005D66A3"/>
    <w:rsid w:val="005E50D8"/>
    <w:rsid w:val="005E5BDB"/>
    <w:rsid w:val="006035C8"/>
    <w:rsid w:val="0061697C"/>
    <w:rsid w:val="006205C2"/>
    <w:rsid w:val="00635465"/>
    <w:rsid w:val="00636B4E"/>
    <w:rsid w:val="0064254C"/>
    <w:rsid w:val="006470D1"/>
    <w:rsid w:val="006636A0"/>
    <w:rsid w:val="00672F40"/>
    <w:rsid w:val="006A00B9"/>
    <w:rsid w:val="006A3B4D"/>
    <w:rsid w:val="006A5A6F"/>
    <w:rsid w:val="006B0390"/>
    <w:rsid w:val="006C0479"/>
    <w:rsid w:val="006D5B1D"/>
    <w:rsid w:val="006E299A"/>
    <w:rsid w:val="006F00EA"/>
    <w:rsid w:val="006F1953"/>
    <w:rsid w:val="006F76BF"/>
    <w:rsid w:val="006F794B"/>
    <w:rsid w:val="00702A04"/>
    <w:rsid w:val="0070768E"/>
    <w:rsid w:val="00716258"/>
    <w:rsid w:val="0072222E"/>
    <w:rsid w:val="00725646"/>
    <w:rsid w:val="00732BA3"/>
    <w:rsid w:val="0073383D"/>
    <w:rsid w:val="00734A87"/>
    <w:rsid w:val="007526C4"/>
    <w:rsid w:val="00760478"/>
    <w:rsid w:val="0077617F"/>
    <w:rsid w:val="007857E1"/>
    <w:rsid w:val="00785E13"/>
    <w:rsid w:val="00792F52"/>
    <w:rsid w:val="007A4A03"/>
    <w:rsid w:val="007A633B"/>
    <w:rsid w:val="007A71F1"/>
    <w:rsid w:val="007B02D5"/>
    <w:rsid w:val="007B4988"/>
    <w:rsid w:val="007D7821"/>
    <w:rsid w:val="007F11E9"/>
    <w:rsid w:val="007F30C2"/>
    <w:rsid w:val="007F472F"/>
    <w:rsid w:val="008064DE"/>
    <w:rsid w:val="00806B12"/>
    <w:rsid w:val="00810A00"/>
    <w:rsid w:val="008115F2"/>
    <w:rsid w:val="008142DD"/>
    <w:rsid w:val="00816F52"/>
    <w:rsid w:val="0082012F"/>
    <w:rsid w:val="00822C46"/>
    <w:rsid w:val="0083379F"/>
    <w:rsid w:val="0084601F"/>
    <w:rsid w:val="00850063"/>
    <w:rsid w:val="008501FA"/>
    <w:rsid w:val="00851AA2"/>
    <w:rsid w:val="0085347F"/>
    <w:rsid w:val="0088114F"/>
    <w:rsid w:val="00883FF9"/>
    <w:rsid w:val="008962E2"/>
    <w:rsid w:val="008966B3"/>
    <w:rsid w:val="008B2159"/>
    <w:rsid w:val="008C0C77"/>
    <w:rsid w:val="008E432C"/>
    <w:rsid w:val="00905E50"/>
    <w:rsid w:val="009109A9"/>
    <w:rsid w:val="0091281E"/>
    <w:rsid w:val="00913938"/>
    <w:rsid w:val="00914989"/>
    <w:rsid w:val="00915839"/>
    <w:rsid w:val="00922A5C"/>
    <w:rsid w:val="009319BC"/>
    <w:rsid w:val="00962B66"/>
    <w:rsid w:val="009853D4"/>
    <w:rsid w:val="00995621"/>
    <w:rsid w:val="009A509A"/>
    <w:rsid w:val="009B6DDB"/>
    <w:rsid w:val="009C183B"/>
    <w:rsid w:val="009C3226"/>
    <w:rsid w:val="009C54E5"/>
    <w:rsid w:val="009D1BA6"/>
    <w:rsid w:val="009E5C44"/>
    <w:rsid w:val="009F60B4"/>
    <w:rsid w:val="00A05431"/>
    <w:rsid w:val="00A12B12"/>
    <w:rsid w:val="00A242E6"/>
    <w:rsid w:val="00A42EF2"/>
    <w:rsid w:val="00A446DF"/>
    <w:rsid w:val="00A63673"/>
    <w:rsid w:val="00A87E4D"/>
    <w:rsid w:val="00A948CA"/>
    <w:rsid w:val="00A967C0"/>
    <w:rsid w:val="00AB1D58"/>
    <w:rsid w:val="00AB415C"/>
    <w:rsid w:val="00AB5A66"/>
    <w:rsid w:val="00AB70BF"/>
    <w:rsid w:val="00AD2457"/>
    <w:rsid w:val="00AD7E84"/>
    <w:rsid w:val="00AF3120"/>
    <w:rsid w:val="00B03E51"/>
    <w:rsid w:val="00B11280"/>
    <w:rsid w:val="00B145FD"/>
    <w:rsid w:val="00B34C4C"/>
    <w:rsid w:val="00B36355"/>
    <w:rsid w:val="00B41393"/>
    <w:rsid w:val="00B55DFA"/>
    <w:rsid w:val="00B65D18"/>
    <w:rsid w:val="00B67F6B"/>
    <w:rsid w:val="00B92133"/>
    <w:rsid w:val="00BA7965"/>
    <w:rsid w:val="00BB13EB"/>
    <w:rsid w:val="00BB70EE"/>
    <w:rsid w:val="00BD09D6"/>
    <w:rsid w:val="00BD192A"/>
    <w:rsid w:val="00BE35E1"/>
    <w:rsid w:val="00BE7A2E"/>
    <w:rsid w:val="00BF0754"/>
    <w:rsid w:val="00BF0B1E"/>
    <w:rsid w:val="00BF4953"/>
    <w:rsid w:val="00C33D1A"/>
    <w:rsid w:val="00C453D8"/>
    <w:rsid w:val="00C53EE2"/>
    <w:rsid w:val="00C7250E"/>
    <w:rsid w:val="00C73E90"/>
    <w:rsid w:val="00C86161"/>
    <w:rsid w:val="00CA2181"/>
    <w:rsid w:val="00CA3397"/>
    <w:rsid w:val="00CA3752"/>
    <w:rsid w:val="00CB72C2"/>
    <w:rsid w:val="00CC174D"/>
    <w:rsid w:val="00CD4769"/>
    <w:rsid w:val="00CE291D"/>
    <w:rsid w:val="00CE412D"/>
    <w:rsid w:val="00CE55AD"/>
    <w:rsid w:val="00CE59F7"/>
    <w:rsid w:val="00CF36DA"/>
    <w:rsid w:val="00D0151B"/>
    <w:rsid w:val="00D1397F"/>
    <w:rsid w:val="00D1561E"/>
    <w:rsid w:val="00D35AD1"/>
    <w:rsid w:val="00D46CF6"/>
    <w:rsid w:val="00D63589"/>
    <w:rsid w:val="00D64521"/>
    <w:rsid w:val="00D75FF4"/>
    <w:rsid w:val="00D828C7"/>
    <w:rsid w:val="00D8334F"/>
    <w:rsid w:val="00D9094D"/>
    <w:rsid w:val="00DA62B8"/>
    <w:rsid w:val="00DB603E"/>
    <w:rsid w:val="00DC143C"/>
    <w:rsid w:val="00DC5AFC"/>
    <w:rsid w:val="00DD0B50"/>
    <w:rsid w:val="00DD20A9"/>
    <w:rsid w:val="00DD615A"/>
    <w:rsid w:val="00DD7430"/>
    <w:rsid w:val="00DF2344"/>
    <w:rsid w:val="00E06159"/>
    <w:rsid w:val="00E1122A"/>
    <w:rsid w:val="00E1377B"/>
    <w:rsid w:val="00E1476A"/>
    <w:rsid w:val="00E2456D"/>
    <w:rsid w:val="00E25350"/>
    <w:rsid w:val="00E46E45"/>
    <w:rsid w:val="00E53623"/>
    <w:rsid w:val="00E53FF8"/>
    <w:rsid w:val="00E621D8"/>
    <w:rsid w:val="00E75530"/>
    <w:rsid w:val="00E82847"/>
    <w:rsid w:val="00E92ED2"/>
    <w:rsid w:val="00EA48D7"/>
    <w:rsid w:val="00EC0DBF"/>
    <w:rsid w:val="00EC1FCB"/>
    <w:rsid w:val="00EC3C7D"/>
    <w:rsid w:val="00EE516B"/>
    <w:rsid w:val="00EF479A"/>
    <w:rsid w:val="00F00ADB"/>
    <w:rsid w:val="00F22B91"/>
    <w:rsid w:val="00F26BAF"/>
    <w:rsid w:val="00F27EC9"/>
    <w:rsid w:val="00F40452"/>
    <w:rsid w:val="00F51C7F"/>
    <w:rsid w:val="00F65143"/>
    <w:rsid w:val="00F65451"/>
    <w:rsid w:val="00F700CF"/>
    <w:rsid w:val="00F70204"/>
    <w:rsid w:val="00F709B7"/>
    <w:rsid w:val="00F77716"/>
    <w:rsid w:val="00FB21C6"/>
    <w:rsid w:val="00FB2A82"/>
    <w:rsid w:val="00FD67F2"/>
    <w:rsid w:val="00FF7FF8"/>
    <w:rsid w:val="01CA9D05"/>
    <w:rsid w:val="055BFCB9"/>
    <w:rsid w:val="0687B841"/>
    <w:rsid w:val="0E539202"/>
    <w:rsid w:val="1763029D"/>
    <w:rsid w:val="1795DE0D"/>
    <w:rsid w:val="19651ED0"/>
    <w:rsid w:val="1A2B37AE"/>
    <w:rsid w:val="1B9AC10C"/>
    <w:rsid w:val="1CF41131"/>
    <w:rsid w:val="1DE7F87D"/>
    <w:rsid w:val="22B94435"/>
    <w:rsid w:val="25F16803"/>
    <w:rsid w:val="2810A832"/>
    <w:rsid w:val="29630CD1"/>
    <w:rsid w:val="2A929015"/>
    <w:rsid w:val="2EB1E806"/>
    <w:rsid w:val="2F7DEDA7"/>
    <w:rsid w:val="3050B4C0"/>
    <w:rsid w:val="3B384731"/>
    <w:rsid w:val="41E865D3"/>
    <w:rsid w:val="423B9943"/>
    <w:rsid w:val="465B543B"/>
    <w:rsid w:val="4FD68526"/>
    <w:rsid w:val="528B570B"/>
    <w:rsid w:val="58619CAF"/>
    <w:rsid w:val="59FE61E3"/>
    <w:rsid w:val="5D67F8AB"/>
    <w:rsid w:val="5EC7D5D1"/>
    <w:rsid w:val="5F792426"/>
    <w:rsid w:val="6241B22A"/>
    <w:rsid w:val="65EF8D46"/>
    <w:rsid w:val="6BFAB9C3"/>
    <w:rsid w:val="6D706F02"/>
    <w:rsid w:val="75B95BFB"/>
    <w:rsid w:val="76E53D01"/>
    <w:rsid w:val="783C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5C7AF"/>
  <w15:chartTrackingRefBased/>
  <w15:docId w15:val="{E1FC862B-6EF8-40CD-AC6E-FBDED42D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526C4"/>
  </w:style>
  <w:style w:type="character" w:customStyle="1" w:styleId="FooterChar">
    <w:name w:val="Footer Char"/>
    <w:basedOn w:val="DefaultParagraphFont"/>
    <w:link w:val="Footer"/>
    <w:uiPriority w:val="99"/>
    <w:rsid w:val="007A4A03"/>
  </w:style>
  <w:style w:type="character" w:customStyle="1" w:styleId="Heading1Char">
    <w:name w:val="Heading 1 Char"/>
    <w:basedOn w:val="DefaultParagraphFont"/>
    <w:link w:val="Heading1"/>
    <w:uiPriority w:val="9"/>
    <w:rsid w:val="002B1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before="480" w:line="276" w:lineRule="auto"/>
      <w:outlineLvl w:val="9"/>
    </w:pPr>
    <w:rPr>
      <w:rFonts w:ascii="Arial" w:eastAsia="Times New Roman" w:hAnsi="Arial" w:cs="Arial"/>
      <w:bCs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left" w:pos="900"/>
        <w:tab w:val="right" w:leader="dot" w:pos="9350"/>
      </w:tabs>
      <w:spacing w:after="100" w:line="276" w:lineRule="auto"/>
      <w:jc w:val="both"/>
    </w:pPr>
    <w:rPr>
      <w:rFonts w:ascii="Segoe UI" w:eastAsia="Times New Roman" w:hAnsi="Segoe UI" w:cs="Times New Roman"/>
      <w:b/>
      <w:color w:val="101820"/>
      <w:sz w:val="20"/>
      <w:szCs w:val="22"/>
      <w:lang w:eastAsia="en-US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paragraph" w:styleId="BodyText">
    <w:name w:val="Body Text"/>
    <w:basedOn w:val="Normal"/>
    <w:qFormat/>
    <w:pPr>
      <w:spacing w:before="0" w:after="140" w:line="276" w:lineRule="auto"/>
      <w:jc w:val="both"/>
    </w:pPr>
    <w:rPr>
      <w:rFonts w:ascii="Segoe UI" w:hAnsi="Segoe UI" w:eastAsia="Segoe UI" w:cs="Segoe UI"/>
      <w:color w:val="101820"/>
      <w:sz w:val="22"/>
      <w:szCs w:val="22"/>
    </w:r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0" w:after="60"/>
      <w:jc w:val="left"/>
    </w:pPr>
  </w:style>
  <w:style w:type="paragraph" w:customStyle="1" w:styleId="TableText">
    <w:name w:val="Table Text"/>
    <w:basedOn w:val="Normal"/>
    <w:qFormat/>
    <w:pPr>
      <w:spacing w:before="20" w:after="20" w:line="245" w:lineRule="auto"/>
      <w:jc w:val="left"/>
    </w:pPr>
    <w:rPr>
      <w:rFonts w:ascii="Segoe UI" w:hAnsi="Segoe UI" w:eastAsia="Segoe UI" w:cs="Segoe UI"/>
      <w:color w:val="101820"/>
      <w:sz w:val="19"/>
      <w:szCs w:val="19"/>
    </w:rPr>
  </w:style>
  <w:style w:type="paragraph" w:customStyle="1" w:styleId="TableHeading">
    <w:name w:val="Table Heading"/>
    <w:basedOn w:val="TableText"/>
    <w:qFormat/>
    <w:pPr>
      <w:keepNext/>
    </w:pPr>
    <w:rPr>
      <w:b/>
      <w:bCs/>
      <w:color w:val="FFFFFF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numPr>
        <w:ilvl w:val="1"/>
        <w:numId w:val="1"/>
      </w:numPr>
      <w:spacing w:before="280" w:after="100" w:line="259" w:lineRule="auto"/>
      <w:ind w:left="720" w:hanging="720"/>
      <w:outlineLvl w:val="1"/>
    </w:pPr>
    <w:rPr>
      <w:rFonts w:asciiTheme="majorHAnsi" w:eastAsiaTheme="majorEastAsia" w:hAnsiTheme="majorHAnsi" w:cstheme="majorBidi"/>
      <w:b/>
      <w:bCs/>
      <w:color w:val="0F4761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numPr>
        <w:ilvl w:val="2"/>
        <w:numId w:val="1"/>
      </w:numPr>
      <w:spacing w:before="220" w:after="80" w:line="259" w:lineRule="auto"/>
      <w:ind w:left="864" w:hanging="864"/>
      <w:outlineLvl w:val="2"/>
    </w:pPr>
    <w:rPr>
      <w:rFonts w:asciiTheme="majorHAnsi" w:eastAsiaTheme="majorEastAsia" w:hAnsiTheme="majorHAnsi" w:cstheme="majorBidi"/>
      <w:b/>
      <w:bCs/>
      <w:color w:val="0F4761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80" w:after="60" w:line="259" w:lineRule="auto"/>
      <w:outlineLvl w:val="3"/>
    </w:pPr>
    <w:rPr>
      <w:rFonts w:ascii="Segoe UI" w:hAnsi="Segoe UI" w:eastAsia="Segoe UI" w:cs="Segoe UI"/>
      <w:b/>
      <w:bCs/>
      <w:color w:val="0F4761"/>
      <w:sz w:val="22"/>
      <w:szCs w:val="22"/>
    </w:rPr>
  </w:style>
  <w:style w:type="paragraph" w:styleId="Caption">
    <w:name w:val="caption"/>
    <w:basedOn w:val="Normal"/>
    <w:next w:val="BodyText"/>
    <w:qFormat/>
    <w:pPr>
      <w:spacing w:before="60" w:after="240" w:line="240" w:lineRule="auto"/>
      <w:jc w:val="center"/>
    </w:pPr>
    <w:rPr>
      <w:rFonts w:ascii="Segoe UI" w:hAnsi="Segoe UI" w:eastAsia="Segoe UI" w:cs="Segoe UI"/>
      <w:i/>
      <w:iCs/>
      <w:color w:val="0F4761"/>
      <w:sz w:val="18"/>
      <w:szCs w:val="18"/>
    </w:rPr>
  </w:style>
  <w:style w:type="paragraph" w:customStyle="1" w:styleId="TableCaption">
    <w:name w:val="Table Caption"/>
    <w:basedOn w:val="Caption"/>
    <w:qFormat/>
    <w:pPr>
      <w:keepNext/>
      <w:spacing w:before="160" w:after="80"/>
      <w:jc w:val="left"/>
    </w:pPr>
  </w:style>
  <w:style w:type="paragraph" w:customStyle="1" w:styleId="Figure">
    <w:name w:val="Figure"/>
    <w:basedOn w:val="Normal"/>
    <w:next w:val="Caption"/>
    <w:qFormat/>
    <w:pPr>
      <w:keepNext/>
      <w:spacing w:before="160" w:after="40" w:line="240" w:lineRule="auto"/>
      <w:jc w:val="center"/>
    </w:pPr>
  </w:style>
  <w:style w:type="paragraph" w:customStyle="1" w:styleId="FigureWide">
    <w:name w:val="Figure Wide"/>
    <w:basedOn w:val="Figure"/>
    <w:next w:val="Caption"/>
    <w:qFormat/>
  </w:style>
  <w:style w:type="paragraph" w:customStyle="1" w:styleId="CodeBlock">
    <w:name w:val="Code Block"/>
    <w:basedOn w:val="Normal"/>
    <w:next w:val="BodyText"/>
    <w:qFormat/>
    <w:pPr>
      <w:pBdr>
        <w:top w:val="single" w:sz="4" w:space="4" w:color="D3DCE6"/>
        <w:left w:val="single" w:sz="4" w:space="4" w:color="D3DCE6"/>
        <w:bottom w:val="single" w:sz="4" w:space="4" w:color="D3DCE6"/>
        <w:right w:val="single" w:sz="4" w:space="4" w:color="D3DCE6"/>
      </w:pBdr>
      <w:shd w:val="clear" w:color="auto" w:fill="F3F6FA"/>
      <w:spacing w:before="80" w:after="200" w:line="240" w:lineRule="auto"/>
      <w:ind w:left="113" w:right="113"/>
      <w:jc w:val="left"/>
    </w:pPr>
    <w:rPr>
      <w:rFonts w:ascii="Consolas" w:hAnsi="Consolas" w:eastAsia="Consolas" w:cs="Consolas"/>
      <w:color w:val="1F2937"/>
      <w:sz w:val="18"/>
      <w:szCs w:val="18"/>
    </w:rPr>
  </w:style>
  <w:style w:type="character" w:customStyle="1" w:styleId="CodeChar">
    <w:name w:val="Code Char"/>
    <w:basedOn w:val="DefaultParagraphFont"/>
    <w:qFormat/>
    <w:rPr>
      <w:rFonts w:ascii="Consolas" w:hAnsi="Consolas" w:eastAsia="Consolas" w:cs="Consolas"/>
      <w:color w:val="1F3864"/>
      <w:sz w:val="19"/>
      <w:szCs w:val="19"/>
    </w:rPr>
  </w:style>
  <w:style w:type="paragraph" w:customStyle="1" w:styleId="Callout">
    <w:name w:val="Callout"/>
    <w:basedOn w:val="Normal"/>
    <w:next w:val="BodyText"/>
    <w:qFormat/>
    <w:pPr>
      <w:pBdr>
        <w:left w:val="single" w:sz="24" w:space="8" w:color="1D74BA"/>
      </w:pBdr>
      <w:shd w:val="clear" w:color="auto" w:fill="E8F1FA"/>
      <w:spacing w:before="60" w:after="60" w:line="264" w:lineRule="auto"/>
      <w:ind w:left="227" w:right="113"/>
      <w:jc w:val="left"/>
    </w:pPr>
    <w:rPr>
      <w:rFonts w:ascii="Segoe UI" w:hAnsi="Segoe UI" w:eastAsia="Segoe UI" w:cs="Segoe UI"/>
      <w:color w:val="101820"/>
      <w:sz w:val="21"/>
      <w:szCs w:val="21"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1260"/>
        <w:tab w:val="right" w:leader="dot" w:pos="9350"/>
      </w:tabs>
      <w:spacing w:after="60" w:line="264" w:lineRule="auto"/>
      <w:ind w:left="360"/>
    </w:pPr>
    <w:rPr>
      <w:rFonts w:ascii="Segoe UI" w:hAnsi="Segoe UI" w:eastAsia="Segoe UI" w:cs="Segoe UI"/>
      <w:noProof/>
      <w:color w:val="101820"/>
      <w:sz w:val="19"/>
      <w:szCs w:val="19"/>
    </w:rPr>
  </w:style>
  <w:style w:type="paragraph" w:styleId="TOC3">
    <w:name w:val="toc 3"/>
    <w:basedOn w:val="Normal"/>
    <w:next w:val="Normal"/>
    <w:uiPriority w:val="39"/>
    <w:unhideWhenUsed/>
    <w:pPr>
      <w:tabs>
        <w:tab w:val="left" w:pos="1700"/>
        <w:tab w:val="right" w:leader="dot" w:pos="9350"/>
      </w:tabs>
      <w:spacing w:after="40" w:line="264" w:lineRule="auto"/>
      <w:ind w:left="720"/>
    </w:pPr>
    <w:rPr>
      <w:rFonts w:ascii="Segoe UI" w:hAnsi="Segoe UI" w:eastAsia="Segoe UI" w:cs="Segoe UI"/>
      <w:noProof/>
      <w:color w:val="404A55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footer" Target="footer2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FooterLandscape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footer_band_landscap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>iorta TechNXT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 Matrix</dc:title>
  <dc:subject>TGP-DEL-03</dc:subject>
  <dc:creator>iorta TechNXT</dc:creator>
  <cp:keywords>TGP-DEL-03; TASCO Insurance; iorta TechNXT</cp:keywords>
  <dc:description>TASCO Motor Insurance Growth Platform</dc:description>
  <cp:lastModifiedBy>iorta TechNXT</cp:lastModifiedBy>
  <cp:revision>1</cp:revision>
  <dcterms:created xsi:type="dcterms:W3CDTF">2026-10-08T02:23:24Z</dcterms:created>
  <dcterms:modified xsi:type="dcterms:W3CDTF">2026-10-08T02:23:24Z</dcterms:modified>
</cp:coreProperties>
</file>