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D2CD8" w14:textId="0D544CAB" w:rsidR="00DD7430" w:rsidRDefault="004E4690" w:rsidP="3B384731">
      <w:r>
        <w:rPr>
          <w:noProof/>
        </w:rPr>
        <w:drawing>
          <wp:anchor distT="0" distB="0" distL="114300" distR="114300" simplePos="0" relativeHeight="251658241" behindDoc="1" locked="0" layoutInCell="1" allowOverlap="1" wp14:anchorId="7FDD2D24" wp14:editId="42CB1C55">
            <wp:simplePos x="0" y="0"/>
            <wp:positionH relativeFrom="margin">
              <wp:posOffset>-914400</wp:posOffset>
            </wp:positionH>
            <wp:positionV relativeFrom="margin">
              <wp:posOffset>-914426</wp:posOffset>
            </wp:positionV>
            <wp:extent cx="7553960" cy="10685198"/>
            <wp:effectExtent l="0" t="0" r="8890" b="1905"/>
            <wp:wrapNone/>
            <wp:docPr id="2053156881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3E1FE75-9233-4911-9AF8-8DA8FB5453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56881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960" cy="106851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47A1">
        <w:rPr>
          <w:noProof/>
        </w:rPr>
        <w:drawing>
          <wp:anchor distT="0" distB="0" distL="114300" distR="114300" simplePos="0" relativeHeight="251658247" behindDoc="1" locked="0" layoutInCell="1" allowOverlap="1" wp14:anchorId="68FBBCEA" wp14:editId="760DF883">
            <wp:simplePos x="0" y="0"/>
            <wp:positionH relativeFrom="margin">
              <wp:align>center</wp:align>
            </wp:positionH>
            <wp:positionV relativeFrom="margin">
              <wp:posOffset>244432</wp:posOffset>
            </wp:positionV>
            <wp:extent cx="2000250" cy="568367"/>
            <wp:effectExtent l="0" t="0" r="0" b="3175"/>
            <wp:wrapNone/>
            <wp:docPr id="94063927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E3627AEF-EF2A-408D-AEDD-9163B59054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39279" name="Picture 9406392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5683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BFD2E5" w14:textId="7C6911E0" w:rsidR="00DD7430" w:rsidRDefault="003F0D95">
      <w:r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204C02CC" wp14:editId="65DFA600">
                <wp:simplePos x="0" y="0"/>
                <wp:positionH relativeFrom="margin">
                  <wp:align>center</wp:align>
                </wp:positionH>
                <wp:positionV relativeFrom="paragraph">
                  <wp:posOffset>1979157</wp:posOffset>
                </wp:positionV>
                <wp:extent cx="5760000" cy="337820"/>
                <wp:effectExtent l="0" t="0" r="0" b="5080"/>
                <wp:wrapSquare wrapText="bothSides"/>
                <wp:docPr id="1294513242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523173A-31B4-4C1A-9AA6-993E5CA1A44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337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FA1EBF" w14:textId="6A6CA9D8" w:rsidR="00913938" w:rsidRPr="00851AA2" w:rsidRDefault="002D24EB" w:rsidP="00913938">
                            <w:pPr>
                              <w:jc w:val="center"/>
                              <w:rPr>
                                <w:b/>
                                <w:bCs/>
                                <w:color w:val="071B2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71B2C"/>
                                <w:sz w:val="28"/>
                                <w:szCs w:val="28"/>
                              </w:rPr>
                              <w:t xml:space="preserve">TASCO Motor Insurance Growth Platform · TGP-DEL-04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01DE2BF4" wp14:editId="07BA52AE">
                <wp:simplePos x="0" y="0"/>
                <wp:positionH relativeFrom="margin">
                  <wp:align>center</wp:align>
                </wp:positionH>
                <wp:positionV relativeFrom="paragraph">
                  <wp:posOffset>1291590</wp:posOffset>
                </wp:positionV>
                <wp:extent cx="5760000" cy="476885"/>
                <wp:effectExtent l="0" t="0" r="0" b="0"/>
                <wp:wrapSquare wrapText="bothSides"/>
                <wp:docPr id="578771272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667603B8-5035-4623-849E-672EC358E0B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476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9063F1" w14:textId="4B04DDEF" w:rsidR="003F0D95" w:rsidRPr="00E75E19" w:rsidRDefault="003F0D95" w:rsidP="003F0D95">
                            <w:pPr>
                              <w:jc w:val="center"/>
                              <w:rPr>
                                <w:b/>
                                <w:bCs/>
                                <w:color w:val="1D74BA"/>
                                <w:sz w:val="44"/>
                                <w:szCs w:val="44"/>
                                <w:lang w:val="en-MY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D74BA"/>
                                <w:sz w:val="44"/>
                                <w:szCs w:val="44"/>
                                <w:lang w:val="en-MY"/>
                              </w:rPr>
                              <w:t xml:space="preserve">Risk Register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3C3BF4"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1BF25123" wp14:editId="646212E8">
                <wp:simplePos x="0" y="0"/>
                <wp:positionH relativeFrom="page">
                  <wp:posOffset>4791400</wp:posOffset>
                </wp:positionH>
                <wp:positionV relativeFrom="paragraph">
                  <wp:posOffset>4124960</wp:posOffset>
                </wp:positionV>
                <wp:extent cx="2600000" cy="266700"/>
                <wp:effectExtent l="0" t="0" r="0" b="0"/>
                <wp:wrapSquare wrapText="bothSides"/>
                <wp:docPr id="2121288187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CA37AE-CBDC-4F83-9202-1C48F3B8FDC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00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64779C" w14:textId="169D6E01" w:rsidR="003C3BF4" w:rsidRPr="002F15FD" w:rsidRDefault="0064254C" w:rsidP="003C3BF4">
                            <w:pPr>
                              <w:jc w:val="right"/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>
                              <w:rPr>
                                <w:color w:val="1D74BA"/>
                              </w:rPr>
                              <w:t xml:space="preserve">Date – </w:t>
                            </w:r>
                            <w:r>
                              <w:rPr>
                                <w:b/>
                                <w:bCs/>
                                <w:color w:val="1D74BA"/>
                              </w:rPr>
                              <w:t xml:space="preserve">07 October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3C3BF4"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58C23128" wp14:editId="498091B1">
                <wp:simplePos x="0" y="0"/>
                <wp:positionH relativeFrom="page">
                  <wp:posOffset>2930472</wp:posOffset>
                </wp:positionH>
                <wp:positionV relativeFrom="paragraph">
                  <wp:posOffset>4124960</wp:posOffset>
                </wp:positionV>
                <wp:extent cx="1700000" cy="266700"/>
                <wp:effectExtent l="0" t="0" r="0" b="0"/>
                <wp:wrapSquare wrapText="bothSides"/>
                <wp:docPr id="728187958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924D743-A85E-4208-9BF2-3E490CC7E55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00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3BCAB9" w14:textId="1233059B" w:rsidR="003C3BF4" w:rsidRPr="002F15FD" w:rsidRDefault="003C3BF4" w:rsidP="003C3BF4">
                            <w:pPr>
                              <w:jc w:val="center"/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>
                              <w:rPr>
                                <w:color w:val="1D74BA"/>
                              </w:rPr>
                              <w:t xml:space="preserve">Version – </w:t>
                            </w:r>
                            <w:r>
                              <w:rPr>
                                <w:b/>
                                <w:bCs/>
                                <w:color w:val="1D74BA"/>
                              </w:rPr>
                              <w:t xml:space="preserve"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EC0DBF"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3D43415C" wp14:editId="2B893344">
                <wp:simplePos x="0" y="0"/>
                <wp:positionH relativeFrom="page">
                  <wp:posOffset>194310</wp:posOffset>
                </wp:positionH>
                <wp:positionV relativeFrom="paragraph">
                  <wp:posOffset>4124960</wp:posOffset>
                </wp:positionV>
                <wp:extent cx="3000000" cy="266700"/>
                <wp:effectExtent l="0" t="0" r="0" b="0"/>
                <wp:wrapSquare wrapText="bothSides"/>
                <wp:docPr id="5001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4E5FFD-7012-4F5C-89A4-E2F28B264C9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00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F8422" w14:textId="69B19D89" w:rsidR="00EC0DBF" w:rsidRPr="002F15FD" w:rsidRDefault="00EC0DBF" w:rsidP="00EC0DBF">
                            <w:pPr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>
                              <w:rPr>
                                <w:color w:val="1D74BA"/>
                              </w:rPr>
                              <w:t xml:space="preserve">Prepared by – </w:t>
                            </w:r>
                            <w:r>
                              <w:rPr>
                                <w:b/>
                                <w:bCs/>
                                <w:color w:val="1D74BA"/>
                              </w:rPr>
                              <w:t xml:space="preserve">iorta TechNXT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DD7430">
        <w:br w:type="page"/>
      </w:r>
    </w:p>
    <w:p w14:paraId="11016166" w14:textId="77777777" w:rsidR="002B183A" w:rsidRPr="00F52543" w:rsidRDefault="002B183A" w:rsidP="002B183A">
      <w:pPr>
        <w:pStyle w:val="TOCHeading"/>
        <w:tabs>
          <w:tab w:val="left" w:pos="1991"/>
          <w:tab w:val="center" w:pos="4725"/>
          <w:tab w:val="right" w:pos="9450"/>
        </w:tabs>
        <w:rPr>
          <w:rFonts w:ascii="Segoe UI" w:hAnsi="Segoe UI" w:cs="Segoe UI"/>
          <w:b/>
          <w:color w:val="003399"/>
        </w:rPr>
      </w:pPr>
      <w:r w:rsidRPr="00F52543">
        <w:rPr>
          <w:rFonts w:ascii="Segoe UI" w:eastAsia="Arial" w:hAnsi="Segoe UI" w:cs="Segoe UI"/>
          <w:b/>
          <w:color w:val="003399"/>
        </w:rPr>
        <w:lastRenderedPageBreak/>
        <w:t>TABLE OF CONTENTS</w:t>
      </w:r>
    </w:p>
    <w:p>
      <w:pPr>
        <w:pStyle w:val="TOC1"/>
      </w:pPr>
      <w:r>
        <w:rPr>
          <w:noProof/>
        </w:rPr>
        <w:fldChar w:fldCharType="begin"/>
      </w:r>
      <w:r>
        <w:rPr>
          <w:noProof/>
        </w:rPr>
        <w:instrText xml:space="preserve"> TOC \o "1-3" \h \z \u </w:instrText>
      </w:r>
      <w:r>
        <w:rPr>
          <w:noProof/>
        </w:rPr>
        <w:fldChar w:fldCharType="separate"/>
      </w:r>
      <w:hyperlink w:anchor="_Toc300000001" w:history="1">
        <w:r>
          <w:rPr>
            <w:noProof/>
          </w:rPr>
          <w:t>1.</w:t>
        </w:r>
        <w:r>
          <w:rPr>
            <w:noProof/>
          </w:rPr>
          <w:tab/>
        </w:r>
        <w:r>
          <w:rPr>
            <w:noProof/>
          </w:rPr>
          <w:t xml:space="preserve">Document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02" w:history="1">
        <w:r>
          <w:rPr>
            <w:noProof/>
          </w:rPr>
          <w:t>2.</w:t>
        </w:r>
        <w:r>
          <w:rPr>
            <w:noProof/>
          </w:rPr>
          <w:tab/>
        </w:r>
        <w:r>
          <w:rPr>
            <w:noProof/>
          </w:rPr>
          <w:t xml:space="preserve">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03" w:history="1">
        <w:r>
          <w:rPr>
            <w:noProof/>
          </w:rPr>
          <w:t>3.</w:t>
        </w:r>
        <w:r>
          <w:rPr>
            <w:noProof/>
          </w:rPr>
          <w:tab/>
        </w:r>
        <w:r>
          <w:rPr>
            <w:noProof/>
          </w:rPr>
          <w:t xml:space="preserve"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04" w:history="1">
        <w:r>
          <w:rPr>
            <w:noProof/>
          </w:rPr>
          <w:t>4.</w:t>
        </w:r>
        <w:r>
          <w:rPr>
            <w:noProof/>
          </w:rPr>
          <w:tab/>
        </w:r>
        <w:r>
          <w:rPr>
            <w:noProof/>
          </w:rPr>
          <w:t xml:space="preserve">Scoring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05" w:history="1">
        <w:r>
          <w:rPr>
            <w:noProof/>
          </w:rPr>
          <w:t>5.</w:t>
        </w:r>
        <w:r>
          <w:rPr>
            <w:noProof/>
          </w:rPr>
          <w:tab/>
        </w:r>
        <w:r>
          <w:rPr>
            <w:noProof/>
          </w:rPr>
          <w:t xml:space="preserve">Risks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06" w:history="1">
        <w:r>
          <w:rPr>
            <w:noProof/>
          </w:rPr>
          <w:t>6.</w:t>
        </w:r>
        <w:r>
          <w:rPr>
            <w:noProof/>
          </w:rPr>
          <w:tab/>
        </w:r>
        <w:r>
          <w:rPr>
            <w:noProof/>
          </w:rPr>
          <w:t xml:space="preserve">Current scores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07" w:history="1">
        <w:r>
          <w:rPr>
            <w:noProof/>
          </w:rPr>
          <w:t>7.</w:t>
        </w:r>
        <w:r>
          <w:rPr>
            <w:noProof/>
          </w:rPr>
          <w:tab/>
        </w:r>
        <w:r>
          <w:rPr>
            <w:noProof/>
          </w:rPr>
          <w:t xml:space="preserve">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08" w:history="1">
        <w:r>
          <w:rPr>
            <w:noProof/>
          </w:rPr>
          <w:t>8.</w:t>
        </w:r>
        <w:r>
          <w:rPr>
            <w:noProof/>
          </w:rPr>
          <w:tab/>
        </w:r>
        <w:r>
          <w:rPr>
            <w:noProof/>
          </w:rPr>
          <w:t xml:space="preserve">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  <w:r>
        <w:rPr>
          <w:noProof/>
        </w:rPr>
        <w:fldChar w:fldCharType="end"/>
      </w:r>
    </w:p>
    <w:p w14:paraId="375D9C08" w14:textId="77777777" w:rsidR="002B183A" w:rsidRPr="00465CAB" w:rsidRDefault="002B183A" w:rsidP="002B183A">
      <w:pPr>
        <w:pStyle w:val="Heading1"/>
        <w:pageBreakBefore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1" w:name="_Toc11824118"/>
      <w:bookmarkStart w:id="2" w:name="_Toc48319687"/>
      <w:bookmarkStart w:id="3" w:name="_Toc300000001"/>
      <w:r w:rsidRPr="00212D69">
        <w:rPr>
          <w:rStyle w:val="BookTitle"/>
          <w:b w:val="0"/>
        </w:rPr>
        <w:t xml:space="preserve"> </w:t>
      </w:r>
      <w:bookmarkStart w:id="4" w:name="_Toc233203387"/>
      <w:r w:rsidRPr="00465CAB">
        <w:rPr>
          <w:rStyle w:val="BookTitle"/>
          <w:bCs w:val="0"/>
          <w:i w:val="0"/>
          <w:iCs w:val="0"/>
          <w:spacing w:val="0"/>
        </w:rPr>
        <w:t>Document Control</w:t>
      </w:r>
      <w:bookmarkEnd w:id="1"/>
      <w:bookmarkEnd w:id="2"/>
      <w:bookmarkEnd w:id="4"/>
      <w:bookmarkEnd w:id="3"/>
    </w:p>
    <w:p w14:paraId="1D37A198" w14:textId="77777777" w:rsidR="002B183A" w:rsidRPr="00CF07C4" w:rsidRDefault="002B183A" w:rsidP="002B183A">
      <w:pPr>
        <w:ind w:right="-180"/>
        <w:rPr>
          <w:rFonts w:ascii="Segoe UI" w:eastAsia="Arial" w:hAnsi="Segoe UI" w:cs="Segoe UI"/>
          <w:color w:val="FF5100"/>
          <w:sz w:val="18"/>
          <w:szCs w:val="18"/>
        </w:rPr>
      </w:pPr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201"/>
        <w:gridCol w:w="925"/>
        <w:gridCol w:w="1700"/>
        <w:gridCol w:w="2000"/>
        <w:gridCol w:w="2000"/>
        <w:gridCol w:w="1201"/>
      </w:tblGrid>
      <w:tr w:rsidR="002B183A" w14:paraId="4E198CD6" w14:textId="77777777" w:rsidTr="002923F3">
        <w:trPr>
          <w:cantSplit/>
          <w:trHeight w:val="440"/>
          <w:tblHeader/>
        </w:trPr>
        <w:tc>
          <w:tcPr>
            <w:tcW w:w="1201" w:type="dxa"/>
            <w:shd w:val="clear" w:color="auto" w:fill="0F4761"/>
            <w:vAlign w:val="center"/>
          </w:tcPr>
          <w:p w14:paraId="7A3F1104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925" w:type="dxa"/>
            <w:shd w:val="clear" w:color="auto" w:fill="0F4761"/>
            <w:vAlign w:val="center"/>
          </w:tcPr>
          <w:p w14:paraId="607CCD9F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Version</w:t>
            </w:r>
          </w:p>
        </w:tc>
        <w:tc>
          <w:tcPr>
            <w:tcW w:w="1700" w:type="dxa"/>
            <w:shd w:val="clear" w:color="auto" w:fill="0F4761"/>
            <w:vAlign w:val="center"/>
          </w:tcPr>
          <w:p w14:paraId="2EE940AD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Author &amp; Business Unit Info</w:t>
            </w:r>
          </w:p>
        </w:tc>
        <w:tc>
          <w:tcPr>
            <w:tcW w:w="2000" w:type="dxa"/>
            <w:shd w:val="clear" w:color="auto" w:fill="0F4761"/>
            <w:vAlign w:val="center"/>
          </w:tcPr>
          <w:p w14:paraId="4563069D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Reviewed By &amp; Business Unit Info</w:t>
            </w:r>
          </w:p>
        </w:tc>
        <w:tc>
          <w:tcPr>
            <w:tcW w:w="2000" w:type="dxa"/>
            <w:shd w:val="clear" w:color="auto" w:fill="0F4761"/>
            <w:vAlign w:val="center"/>
          </w:tcPr>
          <w:p w14:paraId="03017FBE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Approved By &amp; Business Unit Info</w:t>
            </w:r>
          </w:p>
        </w:tc>
        <w:tc>
          <w:tcPr>
            <w:tcW w:w="1201" w:type="dxa"/>
            <w:shd w:val="clear" w:color="auto" w:fill="0F4761"/>
            <w:vAlign w:val="center"/>
          </w:tcPr>
          <w:p w14:paraId="6B8E532B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Change History</w:t>
            </w:r>
          </w:p>
        </w:tc>
      </w:tr>
      <w:tr w:rsidR="002B183A" w:rsidRPr="00BB346A" w14:paraId="0CC92F71" w14:textId="77777777" w:rsidTr="002923F3">
        <w:trPr>
          <w:cantSplit/>
          <w:trHeight w:val="449"/>
        </w:trPr>
        <w:tc>
          <w:tcPr>
            <w:tcW w:w="1201" w:type="dxa"/>
            <w:vAlign w:val="top"/>
          </w:tcPr>
          <w:p w14:paraId="453CD405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07/10/2026</w:t>
            </w:r>
          </w:p>
        </w:tc>
        <w:tc>
          <w:tcPr>
            <w:tcW w:w="925" w:type="dxa"/>
            <w:vAlign w:val="top"/>
          </w:tcPr>
          <w:p w14:paraId="499E9B55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1.0</w:t>
            </w:r>
          </w:p>
        </w:tc>
        <w:tc>
          <w:tcPr>
            <w:tcW w:w="1700" w:type="dxa"/>
            <w:vAlign w:val="top"/>
          </w:tcPr>
          <w:p w14:paraId="64B9EBB6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iorta TechNXT</w:t>
            </w: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br/>
              <w:t xml:space="preserve">Delivery Management</w:t>
            </w:r>
          </w:p>
        </w:tc>
        <w:tc>
          <w:tcPr>
            <w:tcW w:w="2000" w:type="dxa"/>
            <w:vAlign w:val="top"/>
          </w:tcPr>
          <w:p w14:paraId="4B948B2B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Insurance</w:t>
            </w: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br/>
              <w:t xml:space="preserve">Programme Management</w:t>
            </w:r>
          </w:p>
        </w:tc>
        <w:tc>
          <w:tcPr>
            <w:tcW w:w="2000" w:type="dxa"/>
            <w:vAlign w:val="top"/>
          </w:tcPr>
          <w:p w14:paraId="1CABD999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Insurance</w:t>
            </w: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br/>
              <w:t xml:space="preserve">Programme Sponsor</w:t>
            </w:r>
          </w:p>
        </w:tc>
        <w:tc>
          <w:tcPr>
            <w:tcW w:w="1201" w:type="dxa"/>
            <w:vAlign w:val="top"/>
          </w:tcPr>
          <w:p w14:paraId="07C7886B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Initial issue for submission</w:t>
            </w:r>
          </w:p>
        </w:tc>
      </w:tr>
    </w:tbl>
    <w:p w14:paraId="1D2DA8DE" w14:textId="77777777" w:rsidR="002B183A" w:rsidRDefault="002B183A" w:rsidP="002B183A">
      <w:pPr>
        <w:rPr>
          <w:rFonts w:ascii="Segoe UI" w:hAnsi="Segoe UI" w:cs="Segoe UI"/>
          <w:sz w:val="18"/>
          <w:szCs w:val="16"/>
          <w:lang w:bidi="en-US"/>
        </w:rPr>
      </w:pPr>
    </w:p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5" w:name="_Toc233203388"/>
      <w:bookmarkStart w:id="6" w:name="_Toc300000002"/>
      <w:r>
        <w:rPr>
          <w:rStyle w:val="BookTitle"/>
          <w:bCs w:val="0"/>
          <w:i w:val="0"/>
          <w:iCs w:val="0"/>
          <w:spacing w:val="0"/>
        </w:rPr>
        <w:t>Acronyms</w:t>
      </w:r>
      <w:bookmarkEnd w:id="5"/>
      <w:bookmarkEnd w:id="6"/>
    </w:p>
    <w:p w14:paraId="4F3BFBCC" w14:textId="77777777" w:rsidR="002B183A" w:rsidRPr="00CF07C4" w:rsidRDefault="002B183A" w:rsidP="002B183A">
      <w:pPr>
        <w:ind w:right="-180"/>
        <w:rPr>
          <w:rFonts w:ascii="Segoe UI" w:eastAsia="Arial" w:hAnsi="Segoe UI" w:cs="Segoe UI"/>
          <w:color w:val="FF5100"/>
          <w:sz w:val="18"/>
          <w:szCs w:val="18"/>
        </w:rPr>
      </w:pPr>
    </w:p>
    <w:tbl>
      <w:tblPr>
        <w:tblStyle w:val="TableGrid"/>
        <w:tblW w:w="348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452"/>
        <w:gridCol w:w="7575"/>
      </w:tblGrid>
      <w:tr w:rsidR="002B183A" w14:paraId="388F227F" w14:textId="77777777" w:rsidTr="002923F3">
        <w:trPr>
          <w:cantSplit/>
          <w:trHeight w:val="440"/>
          <w:tblHeader/>
        </w:trPr>
        <w:tc>
          <w:tcPr>
            <w:tcW w:w="1452" w:type="dxa"/>
            <w:shd w:val="clear" w:color="auto" w:fill="0F4761"/>
            <w:vAlign w:val="center"/>
          </w:tcPr>
          <w:p w14:paraId="4B379853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Acronym / Symbol</w:t>
            </w:r>
          </w:p>
        </w:tc>
        <w:tc>
          <w:tcPr>
            <w:tcW w:w="7575" w:type="dxa"/>
            <w:shd w:val="clear" w:color="auto" w:fill="0F4761"/>
            <w:vAlign w:val="center"/>
          </w:tcPr>
          <w:p w14:paraId="2EDB927A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Definition / Meaning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452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AI</w:t>
            </w:r>
          </w:p>
        </w:tc>
        <w:tc>
          <w:tcPr>
            <w:tcW w:w="7575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Artificial Intelligence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452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API</w:t>
            </w:r>
          </w:p>
        </w:tc>
        <w:tc>
          <w:tcPr>
            <w:tcW w:w="7575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Application Programming Interface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452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MFA</w:t>
            </w:r>
          </w:p>
        </w:tc>
        <w:tc>
          <w:tcPr>
            <w:tcW w:w="7575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Multi-Factor Authentication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452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MVP</w:t>
            </w:r>
          </w:p>
        </w:tc>
        <w:tc>
          <w:tcPr>
            <w:tcW w:w="7575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Minimum Viable Product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452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RACI</w:t>
            </w:r>
          </w:p>
        </w:tc>
        <w:tc>
          <w:tcPr>
            <w:tcW w:w="7575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Responsible, Accountable, Consulted, Informed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452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SMS</w:t>
            </w:r>
          </w:p>
        </w:tc>
        <w:tc>
          <w:tcPr>
            <w:tcW w:w="7575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Short Message Service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452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TNDS</w:t>
            </w:r>
          </w:p>
        </w:tc>
        <w:tc>
          <w:tcPr>
            <w:tcW w:w="7575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Compulsory motor third-party liability insurance (Bảo hiểm TNDS bắt buộc)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452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UAT</w:t>
            </w:r>
          </w:p>
        </w:tc>
        <w:tc>
          <w:tcPr>
            <w:tcW w:w="7575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User Acceptance Testing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452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VETC</w:t>
            </w:r>
          </w:p>
        </w:tc>
        <w:tc>
          <w:tcPr>
            <w:tcW w:w="7575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VETC Automatic Toll Collection Company</w:t>
            </w:r>
          </w:p>
        </w:tc>
      </w:tr>
    </w:tbl>
    <w:p w14:paraId="12E0A58E" w14:textId="77777777" w:rsidR="002B183A" w:rsidRPr="00465CAB" w:rsidRDefault="002B183A" w:rsidP="002B183A">
      <w:pPr>
        <w:pStyle w:val="Heading1"/>
        <w:pageBreakBefore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7" w:name="_Toc300000003"/>
      <w:r>
        <w:rPr>
          <w:rStyle w:val="BookTitle"/>
          <w:bCs w:val="0"/>
          <w:i w:val="0"/>
          <w:iCs w:val="0"/>
          <w:spacing w:val="0"/>
        </w:rPr>
        <w:t xml:space="preserve">Introduction</w:t>
      </w:r>
      <w:bookmarkEnd w:id="7"/>
    </w:p>
    <w:p>
      <w:pPr>
        <w:pStyle w:val="FirstParagraph"/>
      </w:pPr>
      <w:r>
        <w:t xml:space="preserve">This register lists the main risks to the delivery of the TASCO Growth Platform (the platform) MVP and its pilot, with an owner, a mitigation and a contingency for each. It starts from the risks in the proposal, section 27, and adds the risks that the delivery team will track during the sprints.</w:t>
      </w:r>
    </w:p>
    <w:p>
      <w:pPr>
        <w:pStyle w:val="BodyText"/>
      </w:pPr>
      <w:r>
        <w:t xml:space="preserve">The audience is the steering committee, the product council and the engagement manager. Owner codes are the party codes in TGP-DEL-03 RACI Matrix.</w:t>
      </w:r>
    </w:p>
    <w:p>
      <w:pPr>
        <w:pStyle w:val="BodyText"/>
      </w:pPr>
      <w:r>
        <w:t xml:space="preserve">Related documents:</w:t>
      </w:r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495"/>
        <w:gridCol w:w="2433"/>
        <w:gridCol w:w="5099"/>
      </w:tblGrid>
      <w:tr>
        <w:trPr>
          <w:cantSplit/>
          <w:tblHeader/>
        </w:trPr>
        <w:tc>
          <w:tcPr>
            <w:tcW w:w="1495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ID</w:t>
            </w:r>
          </w:p>
        </w:tc>
        <w:tc>
          <w:tcPr>
            <w:tcW w:w="2433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Title</w:t>
            </w:r>
          </w:p>
        </w:tc>
        <w:tc>
          <w:tcPr>
            <w:tcW w:w="5099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Relationship</w:t>
            </w:r>
          </w:p>
        </w:tc>
      </w:tr>
      <w:tr>
        <w:trPr>
          <w:cantSplit/>
        </w:trPr>
        <w:tc>
          <w:tcPr>
            <w:tcW w:w="1495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TGP-DEL-01</w:t>
            </w:r>
          </w:p>
        </w:tc>
        <w:tc>
          <w:tcPr>
            <w:tcW w:w="2433" w:type="dxa"/>
            <w:vAlign w:val="top"/>
          </w:tcPr>
          <w:p>
            <w:pPr>
              <w:pStyle w:val="TableText"/>
              <w:jc w:val="left"/>
            </w:pPr>
            <w:r>
              <w:t xml:space="preserve">Project Plan</w:t>
            </w:r>
          </w:p>
        </w:tc>
        <w:tc>
          <w:tcPr>
            <w:tcW w:w="5099" w:type="dxa"/>
            <w:vAlign w:val="top"/>
          </w:tcPr>
          <w:p>
            <w:pPr>
              <w:pStyle w:val="TableText"/>
              <w:jc w:val="left"/>
            </w:pPr>
            <w:r>
              <w:t xml:space="preserve">Milestones and dependencies the risks affect</w:t>
            </w:r>
          </w:p>
        </w:tc>
      </w:tr>
      <w:tr>
        <w:trPr>
          <w:cantSplit/>
        </w:trPr>
        <w:tc>
          <w:tcPr>
            <w:tcW w:w="1495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TGP-DEL-02</w:t>
            </w:r>
          </w:p>
        </w:tc>
        <w:tc>
          <w:tcPr>
            <w:tcW w:w="243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Delivery Methodology</w:t>
            </w:r>
          </w:p>
        </w:tc>
        <w:tc>
          <w:tcPr>
            <w:tcW w:w="509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Forums that review the register</w:t>
            </w:r>
          </w:p>
        </w:tc>
      </w:tr>
      <w:tr>
        <w:trPr>
          <w:cantSplit/>
        </w:trPr>
        <w:tc>
          <w:tcPr>
            <w:tcW w:w="1495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TGP-DEL-03</w:t>
            </w:r>
          </w:p>
        </w:tc>
        <w:tc>
          <w:tcPr>
            <w:tcW w:w="2433" w:type="dxa"/>
            <w:vAlign w:val="top"/>
          </w:tcPr>
          <w:p>
            <w:pPr>
              <w:pStyle w:val="TableText"/>
              <w:jc w:val="left"/>
            </w:pPr>
            <w:r>
              <w:t xml:space="preserve">RACI Matrix</w:t>
            </w:r>
          </w:p>
        </w:tc>
        <w:tc>
          <w:tcPr>
            <w:tcW w:w="5099" w:type="dxa"/>
            <w:vAlign w:val="top"/>
          </w:tcPr>
          <w:p>
            <w:pPr>
              <w:pStyle w:val="TableText"/>
              <w:jc w:val="left"/>
            </w:pPr>
            <w:r>
              <w:t xml:space="preserve">Party codes used as owners</w:t>
            </w:r>
          </w:p>
        </w:tc>
      </w:tr>
      <w:tr>
        <w:trPr>
          <w:cantSplit/>
        </w:trPr>
        <w:tc>
          <w:tcPr>
            <w:tcW w:w="1495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TGP-ARC-04</w:t>
            </w:r>
          </w:p>
        </w:tc>
        <w:tc>
          <w:tcPr>
            <w:tcW w:w="243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Security Architecture</w:t>
            </w:r>
          </w:p>
        </w:tc>
        <w:tc>
          <w:tcPr>
            <w:tcW w:w="509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Security controls referred to in R-16</w:t>
            </w:r>
          </w:p>
        </w:tc>
      </w:tr>
      <w:tr>
        <w:trPr>
          <w:cantSplit/>
        </w:trPr>
        <w:tc>
          <w:tcPr>
            <w:tcW w:w="1495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TGP-ARC-06</w:t>
            </w:r>
          </w:p>
        </w:tc>
        <w:tc>
          <w:tcPr>
            <w:tcW w:w="2433" w:type="dxa"/>
            <w:vAlign w:val="top"/>
          </w:tcPr>
          <w:p>
            <w:pPr>
              <w:pStyle w:val="TableText"/>
              <w:jc w:val="left"/>
            </w:pPr>
            <w:r>
              <w:t xml:space="preserve">AI Governance</w:t>
            </w:r>
          </w:p>
        </w:tc>
        <w:tc>
          <w:tcPr>
            <w:tcW w:w="5099" w:type="dxa"/>
            <w:vAlign w:val="top"/>
          </w:tcPr>
          <w:p>
            <w:pPr>
              <w:pStyle w:val="TableText"/>
              <w:jc w:val="left"/>
            </w:pPr>
            <w:r>
              <w:t xml:space="preserve">Controls for the voice assistant and scoring</w:t>
            </w:r>
          </w:p>
        </w:tc>
      </w:tr>
    </w:tbl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8" w:name="_Toc300000004"/>
      <w:r>
        <w:rPr>
          <w:rStyle w:val="BookTitle"/>
          <w:bCs w:val="0"/>
          <w:i w:val="0"/>
          <w:iCs w:val="0"/>
          <w:spacing w:val="0"/>
        </w:rPr>
        <w:t xml:space="preserve">Scoring</w:t>
      </w:r>
      <w:bookmarkEnd w:id="8"/>
    </w:p>
    <w:p>
      <w:pPr>
        <w:pStyle w:val="FirstParagraph"/>
      </w:pPr>
      <w:r>
        <w:t xml:space="preserve">Each risk is scored for likelihood and impact on a scale of 1 to 5. The score is likelihood multiplied by impact.</w:t>
      </w:r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850"/>
        <w:gridCol w:w="1516"/>
        <w:gridCol w:w="6661"/>
      </w:tblGrid>
      <w:tr>
        <w:trPr>
          <w:cantSplit/>
          <w:tblHeader/>
        </w:trPr>
        <w:tc>
          <w:tcPr>
            <w:tcW w:w="850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Value</w:t>
            </w:r>
          </w:p>
        </w:tc>
        <w:tc>
          <w:tcPr>
            <w:tcW w:w="1516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Likelihood</w:t>
            </w:r>
          </w:p>
        </w:tc>
        <w:tc>
          <w:tcPr>
            <w:tcW w:w="6661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Impact</w:t>
            </w:r>
          </w:p>
        </w:tc>
      </w:tr>
      <w:tr>
        <w:trPr>
          <w:cantSplit/>
        </w:trPr>
        <w:tc>
          <w:tcPr>
            <w:tcW w:w="850" w:type="dxa"/>
            <w:vAlign w:val="top"/>
          </w:tcPr>
          <w:p>
            <w:pPr>
              <w:pStyle w:val="TableText"/>
              <w:jc w:val="left"/>
            </w:pPr>
            <w:r>
              <w:t xml:space="preserve">1</w:t>
            </w:r>
          </w:p>
        </w:tc>
        <w:tc>
          <w:tcPr>
            <w:tcW w:w="1516" w:type="dxa"/>
            <w:vAlign w:val="top"/>
          </w:tcPr>
          <w:p>
            <w:pPr>
              <w:pStyle w:val="TableText"/>
              <w:jc w:val="left"/>
            </w:pPr>
            <w:r>
              <w:t xml:space="preserve">Rare</w:t>
            </w:r>
          </w:p>
        </w:tc>
        <w:tc>
          <w:tcPr>
            <w:tcW w:w="6661" w:type="dxa"/>
            <w:vAlign w:val="top"/>
          </w:tcPr>
          <w:p>
            <w:pPr>
              <w:pStyle w:val="TableText"/>
              <w:jc w:val="left"/>
            </w:pPr>
            <w:r>
              <w:t xml:space="preserve">Negligible: no milestone or customer effect</w:t>
            </w:r>
          </w:p>
        </w:tc>
      </w:tr>
      <w:tr>
        <w:trPr>
          <w:cantSplit/>
        </w:trPr>
        <w:tc>
          <w:tcPr>
            <w:tcW w:w="85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2</w:t>
            </w:r>
          </w:p>
        </w:tc>
        <w:tc>
          <w:tcPr>
            <w:tcW w:w="151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Unlikely</w:t>
            </w:r>
          </w:p>
        </w:tc>
        <w:tc>
          <w:tcPr>
            <w:tcW w:w="666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Minor: absorbed within the sprint</w:t>
            </w:r>
          </w:p>
        </w:tc>
      </w:tr>
      <w:tr>
        <w:trPr>
          <w:cantSplit/>
        </w:trPr>
        <w:tc>
          <w:tcPr>
            <w:tcW w:w="850" w:type="dxa"/>
            <w:vAlign w:val="top"/>
          </w:tcPr>
          <w:p>
            <w:pPr>
              <w:pStyle w:val="TableText"/>
              <w:jc w:val="left"/>
            </w:pPr>
            <w:r>
              <w:t xml:space="preserve">3</w:t>
            </w:r>
          </w:p>
        </w:tc>
        <w:tc>
          <w:tcPr>
            <w:tcW w:w="1516" w:type="dxa"/>
            <w:vAlign w:val="top"/>
          </w:tcPr>
          <w:p>
            <w:pPr>
              <w:pStyle w:val="TableText"/>
              <w:jc w:val="left"/>
            </w:pPr>
            <w:r>
              <w:t xml:space="preserve">Possible</w:t>
            </w:r>
          </w:p>
        </w:tc>
        <w:tc>
          <w:tcPr>
            <w:tcW w:w="6661" w:type="dxa"/>
            <w:vAlign w:val="top"/>
          </w:tcPr>
          <w:p>
            <w:pPr>
              <w:pStyle w:val="TableText"/>
              <w:jc w:val="left"/>
            </w:pPr>
            <w:r>
              <w:t xml:space="preserve">Moderate: a milestone moves by up to two weeks, or a feature is held back</w:t>
            </w:r>
          </w:p>
        </w:tc>
      </w:tr>
      <w:tr>
        <w:trPr>
          <w:cantSplit/>
        </w:trPr>
        <w:tc>
          <w:tcPr>
            <w:tcW w:w="85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4</w:t>
            </w:r>
          </w:p>
        </w:tc>
        <w:tc>
          <w:tcPr>
            <w:tcW w:w="151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Likely</w:t>
            </w:r>
          </w:p>
        </w:tc>
        <w:tc>
          <w:tcPr>
            <w:tcW w:w="666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Major: a milestone moves by more than two weeks, or the pilot result is weakened</w:t>
            </w:r>
          </w:p>
        </w:tc>
      </w:tr>
      <w:tr>
        <w:trPr>
          <w:cantSplit/>
        </w:trPr>
        <w:tc>
          <w:tcPr>
            <w:tcW w:w="850" w:type="dxa"/>
            <w:vAlign w:val="top"/>
          </w:tcPr>
          <w:p>
            <w:pPr>
              <w:pStyle w:val="TableText"/>
              <w:jc w:val="left"/>
            </w:pPr>
            <w:r>
              <w:t xml:space="preserve">5</w:t>
            </w:r>
          </w:p>
        </w:tc>
        <w:tc>
          <w:tcPr>
            <w:tcW w:w="1516" w:type="dxa"/>
            <w:vAlign w:val="top"/>
          </w:tcPr>
          <w:p>
            <w:pPr>
              <w:pStyle w:val="TableText"/>
              <w:jc w:val="left"/>
            </w:pPr>
            <w:r>
              <w:t xml:space="preserve">Almost certain</w:t>
            </w:r>
          </w:p>
        </w:tc>
        <w:tc>
          <w:tcPr>
            <w:tcW w:w="6661" w:type="dxa"/>
            <w:vAlign w:val="top"/>
          </w:tcPr>
          <w:p>
            <w:pPr>
              <w:pStyle w:val="TableText"/>
              <w:jc w:val="left"/>
            </w:pPr>
            <w:r>
              <w:t xml:space="preserve">Severe: regulatory breach, customer harm or the pilot cannot run</w:t>
            </w:r>
          </w:p>
        </w:tc>
      </w:tr>
    </w:tbl>
    <w:p>
      <w:pPr>
        <w:spacing w:before="160"/>
      </w:pPr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206"/>
        <w:gridCol w:w="1010"/>
        <w:gridCol w:w="6811"/>
      </w:tblGrid>
      <w:tr>
        <w:trPr>
          <w:cantSplit/>
          <w:tblHeader/>
        </w:trPr>
        <w:tc>
          <w:tcPr>
            <w:tcW w:w="1206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Score</w:t>
            </w:r>
          </w:p>
        </w:tc>
        <w:tc>
          <w:tcPr>
            <w:tcW w:w="1010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Rating</w:t>
            </w:r>
          </w:p>
        </w:tc>
        <w:tc>
          <w:tcPr>
            <w:tcW w:w="6811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Handling</w:t>
            </w:r>
          </w:p>
        </w:tc>
      </w:tr>
      <w:tr>
        <w:trPr>
          <w:cantSplit/>
        </w:trPr>
        <w:tc>
          <w:tcPr>
            <w:tcW w:w="1206" w:type="dxa"/>
            <w:vAlign w:val="top"/>
          </w:tcPr>
          <w:p>
            <w:pPr>
              <w:pStyle w:val="TableText"/>
              <w:jc w:val="left"/>
            </w:pPr>
            <w:r>
              <w:t xml:space="preserve">1 to 6</w:t>
            </w:r>
          </w:p>
        </w:tc>
        <w:tc>
          <w:tcPr>
            <w:tcW w:w="1010" w:type="dxa"/>
            <w:vAlign w:val="top"/>
          </w:tcPr>
          <w:p>
            <w:pPr>
              <w:pStyle w:val="TableText"/>
              <w:jc w:val="left"/>
            </w:pPr>
            <w:r>
              <w:t xml:space="preserve">Low</w:t>
            </w:r>
          </w:p>
        </w:tc>
        <w:tc>
          <w:tcPr>
            <w:tcW w:w="6811" w:type="dxa"/>
            <w:vAlign w:val="top"/>
          </w:tcPr>
          <w:p>
            <w:pPr>
              <w:pStyle w:val="TableText"/>
              <w:jc w:val="left"/>
            </w:pPr>
            <w:r>
              <w:t xml:space="preserve">Owner monitors</w:t>
            </w:r>
          </w:p>
        </w:tc>
      </w:tr>
      <w:tr>
        <w:trPr>
          <w:cantSplit/>
        </w:trPr>
        <w:tc>
          <w:tcPr>
            <w:tcW w:w="120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8 to 12</w:t>
            </w:r>
          </w:p>
        </w:tc>
        <w:tc>
          <w:tcPr>
            <w:tcW w:w="101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Medium</w:t>
            </w:r>
          </w:p>
        </w:tc>
        <w:tc>
          <w:tcPr>
            <w:tcW w:w="681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Mitigation plan tracked by the product council</w:t>
            </w:r>
          </w:p>
        </w:tc>
      </w:tr>
      <w:tr>
        <w:trPr>
          <w:cantSplit/>
        </w:trPr>
        <w:tc>
          <w:tcPr>
            <w:tcW w:w="1206" w:type="dxa"/>
            <w:vAlign w:val="top"/>
          </w:tcPr>
          <w:p>
            <w:pPr>
              <w:pStyle w:val="TableText"/>
              <w:jc w:val="left"/>
            </w:pPr>
            <w:r>
              <w:t xml:space="preserve">15 to 25</w:t>
            </w:r>
          </w:p>
        </w:tc>
        <w:tc>
          <w:tcPr>
            <w:tcW w:w="1010" w:type="dxa"/>
            <w:vAlign w:val="top"/>
          </w:tcPr>
          <w:p>
            <w:pPr>
              <w:pStyle w:val="TableText"/>
              <w:jc w:val="left"/>
            </w:pPr>
            <w:r>
              <w:t xml:space="preserve">High</w:t>
            </w:r>
          </w:p>
        </w:tc>
        <w:tc>
          <w:tcPr>
            <w:tcW w:w="6811" w:type="dxa"/>
            <w:vAlign w:val="top"/>
          </w:tcPr>
          <w:p>
            <w:pPr>
              <w:pStyle w:val="TableText"/>
              <w:jc w:val="left"/>
            </w:pPr>
            <w:r>
              <w:t xml:space="preserve">Reported to the next steering committee with a mitigation plan</w:t>
            </w:r>
          </w:p>
        </w:tc>
      </w:tr>
    </w:tbl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9" w:name="_Toc300000005"/>
      <w:r>
        <w:rPr>
          <w:rStyle w:val="BookTitle"/>
          <w:bCs w:val="0"/>
          <w:i w:val="0"/>
          <w:iCs w:val="0"/>
          <w:spacing w:val="0"/>
        </w:rPr>
        <w:t xml:space="preserve">Risks</w:t>
      </w:r>
      <w:bookmarkEnd w:id="9"/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712"/>
        <w:gridCol w:w="2326"/>
        <w:gridCol w:w="850"/>
        <w:gridCol w:w="2568"/>
        <w:gridCol w:w="2571"/>
      </w:tblGrid>
      <w:tr>
        <w:trPr>
          <w:cantSplit/>
          <w:tblHeader/>
        </w:trPr>
        <w:tc>
          <w:tcPr>
            <w:tcW w:w="712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ID</w:t>
            </w:r>
          </w:p>
        </w:tc>
        <w:tc>
          <w:tcPr>
            <w:tcW w:w="2326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Risk and effect</w:t>
            </w:r>
          </w:p>
        </w:tc>
        <w:tc>
          <w:tcPr>
            <w:tcW w:w="850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Owner</w:t>
            </w:r>
          </w:p>
        </w:tc>
        <w:tc>
          <w:tcPr>
            <w:tcW w:w="2568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Mitigation</w:t>
            </w:r>
          </w:p>
        </w:tc>
        <w:tc>
          <w:tcPr>
            <w:tcW w:w="2571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Contingency</w:t>
            </w:r>
          </w:p>
        </w:tc>
      </w:tr>
      <w:tr>
        <w:trPr>
          <w:cantSplit/>
        </w:trPr>
        <w:tc>
          <w:tcPr>
            <w:tcW w:w="71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R-01</w:t>
            </w:r>
          </w:p>
        </w:tc>
        <w:tc>
          <w:tcPr>
            <w:tcW w:w="2326" w:type="dxa"/>
            <w:vAlign w:val="top"/>
          </w:tcPr>
          <w:p>
            <w:pPr>
              <w:pStyle w:val="TableText"/>
              <w:jc w:val="left"/>
            </w:pPr>
            <w:r>
              <w:t xml:space="preserve">TASCO core does not expose a rating API in time, so live pricing is delayed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jc w:val="left"/>
            </w:pPr>
            <w:r>
              <w:t xml:space="preserve">TIT</w:t>
            </w:r>
          </w:p>
        </w:tc>
        <w:tc>
          <w:tcPr>
            <w:tcW w:w="2568" w:type="dxa"/>
            <w:vAlign w:val="top"/>
          </w:tcPr>
          <w:p>
            <w:pPr>
              <w:pStyle w:val="TableText"/>
              <w:jc w:val="left"/>
            </w:pPr>
            <w:r>
              <w:t xml:space="preserve">Decide the path in week 2; the interim path uses approved tariff tables with core re-rating at issue</w:t>
            </w:r>
          </w:p>
        </w:tc>
        <w:tc>
          <w:tcPr>
            <w:tcW w:w="2571" w:type="dxa"/>
            <w:vAlign w:val="top"/>
          </w:tcPr>
          <w:p>
            <w:pPr>
              <w:pStyle w:val="TableText"/>
              <w:jc w:val="left"/>
            </w:pPr>
            <w:r>
              <w:t xml:space="preserve">Launch on the interim path; move to live rating in the scale phase</w:t>
            </w:r>
          </w:p>
        </w:tc>
      </w:tr>
      <w:tr>
        <w:trPr>
          <w:cantSplit/>
        </w:trPr>
        <w:tc>
          <w:tcPr>
            <w:tcW w:w="71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R-02</w:t>
            </w:r>
          </w:p>
        </w:tc>
        <w:tc>
          <w:tcPr>
            <w:tcW w:w="232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VETC data access is delayed or restricted by the data-sharing basis, so the cohort cannot be selected</w:t>
            </w:r>
          </w:p>
        </w:tc>
        <w:tc>
          <w:tcPr>
            <w:tcW w:w="85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VS</w:t>
            </w:r>
          </w:p>
        </w:tc>
        <w:tc>
          <w:tcPr>
            <w:tcW w:w="256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Draft the data-sharing basis and field list in discovery; build on synthetic data meanwhile</w:t>
            </w:r>
          </w:p>
        </w:tc>
        <w:tc>
          <w:tcPr>
            <w:tcW w:w="257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Start the pilot on TASCO’s own policy book with renewal journeys only</w:t>
            </w:r>
          </w:p>
        </w:tc>
      </w:tr>
      <w:tr>
        <w:trPr>
          <w:cantSplit/>
        </w:trPr>
        <w:tc>
          <w:tcPr>
            <w:tcW w:w="71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R-03</w:t>
            </w:r>
          </w:p>
        </w:tc>
        <w:tc>
          <w:tcPr>
            <w:tcW w:w="2326" w:type="dxa"/>
            <w:vAlign w:val="top"/>
          </w:tcPr>
          <w:p>
            <w:pPr>
              <w:pStyle w:val="TableText"/>
              <w:jc w:val="left"/>
            </w:pPr>
            <w:r>
              <w:t xml:space="preserve">Integration sandboxes or credentials arrive late, so M2 is delayed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jc w:val="left"/>
            </w:pPr>
            <w:r>
              <w:t xml:space="preserve">TIT</w:t>
            </w:r>
          </w:p>
        </w:tc>
        <w:tc>
          <w:tcPr>
            <w:tcW w:w="2568" w:type="dxa"/>
            <w:vAlign w:val="top"/>
          </w:tcPr>
          <w:p>
            <w:pPr>
              <w:pStyle w:val="TableText"/>
              <w:jc w:val="left"/>
            </w:pPr>
            <w:r>
              <w:t xml:space="preserve">Simulated adapters exist for every interface, so build continues</w:t>
            </w:r>
          </w:p>
        </w:tc>
        <w:tc>
          <w:tcPr>
            <w:tcW w:w="2571" w:type="dxa"/>
            <w:vAlign w:val="top"/>
          </w:tcPr>
          <w:p>
            <w:pPr>
              <w:pStyle w:val="TableText"/>
              <w:jc w:val="left"/>
            </w:pPr>
            <w:r>
              <w:t xml:space="preserve">Dates move day for day by agreement</w:t>
            </w:r>
          </w:p>
        </w:tc>
      </w:tr>
      <w:tr>
        <w:trPr>
          <w:cantSplit/>
        </w:trPr>
        <w:tc>
          <w:tcPr>
            <w:tcW w:w="71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R-04</w:t>
            </w:r>
          </w:p>
        </w:tc>
        <w:tc>
          <w:tcPr>
            <w:tcW w:w="232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Legal positions take time (data sharing, consent wording, loyalty benefits), so features are held back</w:t>
            </w:r>
          </w:p>
        </w:tc>
        <w:tc>
          <w:tcPr>
            <w:tcW w:w="85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CMP</w:t>
            </w:r>
          </w:p>
        </w:tc>
        <w:tc>
          <w:tcPr>
            <w:tcW w:w="256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Conservative defaults; features stay switched off until approved</w:t>
            </w:r>
          </w:p>
        </w:tc>
        <w:tc>
          <w:tcPr>
            <w:tcW w:w="257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Launch without the held feature</w:t>
            </w:r>
          </w:p>
        </w:tc>
      </w:tr>
      <w:tr>
        <w:trPr>
          <w:cantSplit/>
        </w:trPr>
        <w:tc>
          <w:tcPr>
            <w:tcW w:w="71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R-05</w:t>
            </w:r>
          </w:p>
        </w:tc>
        <w:tc>
          <w:tcPr>
            <w:tcW w:w="2326" w:type="dxa"/>
            <w:vAlign w:val="top"/>
          </w:tcPr>
          <w:p>
            <w:pPr>
              <w:pStyle w:val="TableText"/>
              <w:jc w:val="left"/>
            </w:pPr>
            <w:r>
              <w:t xml:space="preserve">TASCO core specification differs from the assumptions in the existing core connector; issuance still runs on a sandbox adapter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jc w:val="left"/>
            </w:pPr>
            <w:r>
              <w:t xml:space="preserve">SA</w:t>
            </w:r>
          </w:p>
        </w:tc>
        <w:tc>
          <w:tcPr>
            <w:tcW w:w="2568" w:type="dxa"/>
            <w:vAlign w:val="top"/>
          </w:tcPr>
          <w:p>
            <w:pPr>
              <w:pStyle w:val="TableText"/>
              <w:jc w:val="left"/>
            </w:pPr>
            <w:r>
              <w:t xml:space="preserve">Agree the specification in discovery; contract tests in Sprint 1</w:t>
            </w:r>
          </w:p>
        </w:tc>
        <w:tc>
          <w:tcPr>
            <w:tcW w:w="2571" w:type="dxa"/>
            <w:vAlign w:val="top"/>
          </w:tcPr>
          <w:p>
            <w:pPr>
              <w:pStyle w:val="TableText"/>
              <w:jc w:val="left"/>
            </w:pPr>
            <w:r>
              <w:t xml:space="preserve">Adapt the connector behind the same interface; use Sprint 4 buffer</w:t>
            </w:r>
          </w:p>
        </w:tc>
      </w:tr>
      <w:tr>
        <w:trPr>
          <w:cantSplit/>
        </w:trPr>
        <w:tc>
          <w:tcPr>
            <w:tcW w:w="71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R-06</w:t>
            </w:r>
          </w:p>
        </w:tc>
        <w:tc>
          <w:tcPr>
            <w:tcW w:w="232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VETC data quality is lower than expected, so fewer vehicles are actionable</w:t>
            </w:r>
          </w:p>
        </w:tc>
        <w:tc>
          <w:tcPr>
            <w:tcW w:w="85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DAT</w:t>
            </w:r>
          </w:p>
        </w:tc>
        <w:tc>
          <w:tcPr>
            <w:tcW w:w="256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Data repair is the first journey; customers confirm their expiry date; data steward queue</w:t>
            </w:r>
          </w:p>
        </w:tc>
        <w:tc>
          <w:tcPr>
            <w:tcW w:w="257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Restrict early contact to records with a usable expiry date</w:t>
            </w:r>
          </w:p>
        </w:tc>
      </w:tr>
      <w:tr>
        <w:trPr>
          <w:cantSplit/>
        </w:trPr>
        <w:tc>
          <w:tcPr>
            <w:tcW w:w="71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R-07</w:t>
            </w:r>
          </w:p>
        </w:tc>
        <w:tc>
          <w:tcPr>
            <w:tcW w:w="2326" w:type="dxa"/>
            <w:vAlign w:val="top"/>
          </w:tcPr>
          <w:p>
            <w:pPr>
              <w:pStyle w:val="TableText"/>
              <w:jc w:val="left"/>
            </w:pPr>
            <w:r>
              <w:t xml:space="preserve">Customers distrust the voice assistant, so call completion is low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jc w:val="left"/>
            </w:pPr>
            <w:r>
              <w:t xml:space="preserve">PO</w:t>
            </w:r>
          </w:p>
        </w:tc>
        <w:tc>
          <w:tcPr>
            <w:tcW w:w="2568" w:type="dxa"/>
            <w:vAlign w:val="top"/>
          </w:tcPr>
          <w:p>
            <w:pPr>
              <w:pStyle w:val="TableText"/>
              <w:jc w:val="left"/>
            </w:pPr>
            <w:r>
              <w:t xml:space="preserve">Plate-first verification, disclosure, app-first journeys, calls only with consent, script approved by compliance</w:t>
            </w:r>
          </w:p>
        </w:tc>
        <w:tc>
          <w:tcPr>
            <w:tcW w:w="2571" w:type="dxa"/>
            <w:vAlign w:val="top"/>
          </w:tcPr>
          <w:p>
            <w:pPr>
              <w:pStyle w:val="TableText"/>
              <w:jc w:val="left"/>
            </w:pPr>
            <w:r>
              <w:t xml:space="preserve">Shift the mix to the app and Zalo; reduce call volume</w:t>
            </w:r>
          </w:p>
        </w:tc>
      </w:tr>
      <w:tr>
        <w:trPr>
          <w:cantSplit/>
        </w:trPr>
        <w:tc>
          <w:tcPr>
            <w:tcW w:w="71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R-08</w:t>
            </w:r>
          </w:p>
        </w:tc>
        <w:tc>
          <w:tcPr>
            <w:tcW w:w="232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Voice recognition misreads Vietnamese plates or accents</w:t>
            </w:r>
          </w:p>
        </w:tc>
        <w:tc>
          <w:tcPr>
            <w:tcW w:w="85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SA</w:t>
            </w:r>
          </w:p>
        </w:tc>
        <w:tc>
          <w:tcPr>
            <w:tcW w:w="256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Benchmark the vendor on regional accents; limited retries; handoff to telesales on failure</w:t>
            </w:r>
          </w:p>
        </w:tc>
        <w:tc>
          <w:tcPr>
            <w:tcW w:w="257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Route failed verifications to telesales; change vendor behind the same interface</w:t>
            </w:r>
          </w:p>
        </w:tc>
      </w:tr>
      <w:tr>
        <w:trPr>
          <w:cantSplit/>
        </w:trPr>
        <w:tc>
          <w:tcPr>
            <w:tcW w:w="71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R-09</w:t>
            </w:r>
          </w:p>
        </w:tc>
        <w:tc>
          <w:tcPr>
            <w:tcW w:w="2326" w:type="dxa"/>
            <w:vAlign w:val="top"/>
          </w:tcPr>
          <w:p>
            <w:pPr>
              <w:pStyle w:val="TableText"/>
              <w:jc w:val="left"/>
            </w:pPr>
            <w:r>
              <w:t xml:space="preserve">The launch falls close to Tết, when staff are scarce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jc w:val="left"/>
            </w:pPr>
            <w:r>
              <w:t xml:space="preserve">EM</w:t>
            </w:r>
          </w:p>
        </w:tc>
        <w:tc>
          <w:tcPr>
            <w:tcW w:w="2568" w:type="dxa"/>
            <w:vAlign w:val="top"/>
          </w:tcPr>
          <w:p>
            <w:pPr>
              <w:pStyle w:val="TableText"/>
              <w:jc w:val="left"/>
            </w:pPr>
            <w:r>
              <w:t xml:space="preserve">Soft launch, change freeze and 24-hour on-call cover over the holiday</w:t>
            </w:r>
          </w:p>
        </w:tc>
        <w:tc>
          <w:tcPr>
            <w:tcW w:w="2571" w:type="dxa"/>
            <w:vAlign w:val="top"/>
          </w:tcPr>
          <w:p>
            <w:pPr>
              <w:pStyle w:val="TableText"/>
              <w:jc w:val="left"/>
            </w:pPr>
            <w:r>
              <w:t xml:space="preserve">Delay the ramp-up to the full cohort</w:t>
            </w:r>
          </w:p>
        </w:tc>
      </w:tr>
      <w:tr>
        <w:trPr>
          <w:cantSplit/>
        </w:trPr>
        <w:tc>
          <w:tcPr>
            <w:tcW w:w="71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R-10</w:t>
            </w:r>
          </w:p>
        </w:tc>
        <w:tc>
          <w:tcPr>
            <w:tcW w:w="232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Partners see the platform as channel conflict and resist</w:t>
            </w:r>
          </w:p>
        </w:tc>
        <w:tc>
          <w:tcPr>
            <w:tcW w:w="85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PO</w:t>
            </w:r>
          </w:p>
        </w:tc>
        <w:tc>
          <w:tcPr>
            <w:tcW w:w="256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Channel rules that protect partner-quoted vehicles; the partner API makes partners part of the solution</w:t>
            </w:r>
          </w:p>
        </w:tc>
        <w:tc>
          <w:tcPr>
            <w:tcW w:w="257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Suppress journeys for partner-protected vehicles</w:t>
            </w:r>
          </w:p>
        </w:tc>
      </w:tr>
      <w:tr>
        <w:trPr>
          <w:cantSplit/>
        </w:trPr>
        <w:tc>
          <w:tcPr>
            <w:tcW w:w="71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R-11</w:t>
            </w:r>
          </w:p>
        </w:tc>
        <w:tc>
          <w:tcPr>
            <w:tcW w:w="2326" w:type="dxa"/>
            <w:vAlign w:val="top"/>
          </w:tcPr>
          <w:p>
            <w:pPr>
              <w:pStyle w:val="TableText"/>
              <w:jc w:val="left"/>
            </w:pPr>
            <w:r>
              <w:t xml:space="preserve">Scope grows during the MVP, putting pressure on budget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jc w:val="left"/>
            </w:pPr>
            <w:r>
              <w:t xml:space="preserve">PO</w:t>
            </w:r>
          </w:p>
        </w:tc>
        <w:tc>
          <w:tcPr>
            <w:tcW w:w="2568" w:type="dxa"/>
            <w:vAlign w:val="top"/>
          </w:tcPr>
          <w:p>
            <w:pPr>
              <w:pStyle w:val="TableText"/>
              <w:jc w:val="left"/>
            </w:pPr>
            <w:r>
              <w:t xml:space="preserve">Clear MVP boundary; change control; USD 5,200 reserve under TASCO’s control</w:t>
            </w:r>
          </w:p>
        </w:tc>
        <w:tc>
          <w:tcPr>
            <w:tcW w:w="2571" w:type="dxa"/>
            <w:vAlign w:val="top"/>
          </w:tcPr>
          <w:p>
            <w:pPr>
              <w:pStyle w:val="TableText"/>
              <w:jc w:val="left"/>
            </w:pPr>
            <w:r>
              <w:t xml:space="preserve">Move the change to the scale phase</w:t>
            </w:r>
          </w:p>
        </w:tc>
      </w:tr>
      <w:tr>
        <w:trPr>
          <w:cantSplit/>
        </w:trPr>
        <w:tc>
          <w:tcPr>
            <w:tcW w:w="71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R-12</w:t>
            </w:r>
          </w:p>
        </w:tc>
        <w:tc>
          <w:tcPr>
            <w:tcW w:w="232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Telesales agents keep working from old call lists</w:t>
            </w:r>
          </w:p>
        </w:tc>
        <w:tc>
          <w:tcPr>
            <w:tcW w:w="85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TS</w:t>
            </w:r>
          </w:p>
        </w:tc>
        <w:tc>
          <w:tcPr>
            <w:tcW w:w="256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Training in UAT, super users, warm verified leads instead of cold lists</w:t>
            </w:r>
          </w:p>
        </w:tc>
        <w:tc>
          <w:tcPr>
            <w:tcW w:w="257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Supervisor coaching; retire the old lists by a set date</w:t>
            </w:r>
          </w:p>
        </w:tc>
      </w:tr>
      <w:tr>
        <w:trPr>
          <w:cantSplit/>
        </w:trPr>
        <w:tc>
          <w:tcPr>
            <w:tcW w:w="71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R-13</w:t>
            </w:r>
          </w:p>
        </w:tc>
        <w:tc>
          <w:tcPr>
            <w:tcW w:w="2326" w:type="dxa"/>
            <w:vAlign w:val="top"/>
          </w:tcPr>
          <w:p>
            <w:pPr>
              <w:pStyle w:val="TableText"/>
              <w:jc w:val="left"/>
            </w:pPr>
            <w:r>
              <w:t xml:space="preserve">Customer wording is read as a discount or inducement on TNDS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jc w:val="left"/>
            </w:pPr>
            <w:r>
              <w:t xml:space="preserve">CMP</w:t>
            </w:r>
          </w:p>
        </w:tc>
        <w:tc>
          <w:tcPr>
            <w:tcW w:w="2568" w:type="dxa"/>
            <w:vAlign w:val="top"/>
          </w:tcPr>
          <w:p>
            <w:pPr>
              <w:pStyle w:val="TableText"/>
              <w:jc w:val="left"/>
            </w:pPr>
            <w:r>
              <w:t xml:space="preserve">Wording control on every message; compliance approves templates and the voice script; only approved benefits reach customers</w:t>
            </w:r>
          </w:p>
        </w:tc>
        <w:tc>
          <w:tcPr>
            <w:tcW w:w="2571" w:type="dxa"/>
            <w:vAlign w:val="top"/>
          </w:tcPr>
          <w:p>
            <w:pPr>
              <w:pStyle w:val="TableText"/>
              <w:jc w:val="left"/>
            </w:pPr>
            <w:r>
              <w:t xml:space="preserve">Withdraw the template through an approved rule change within the hour</w:t>
            </w:r>
          </w:p>
        </w:tc>
      </w:tr>
      <w:tr>
        <w:trPr>
          <w:cantSplit/>
        </w:trPr>
        <w:tc>
          <w:tcPr>
            <w:tcW w:w="71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R-14</w:t>
            </w:r>
          </w:p>
        </w:tc>
        <w:tc>
          <w:tcPr>
            <w:tcW w:w="232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Personal data is processed without a valid basis, or reaches the wrong person</w:t>
            </w:r>
          </w:p>
        </w:tc>
        <w:tc>
          <w:tcPr>
            <w:tcW w:w="85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CMP</w:t>
            </w:r>
          </w:p>
        </w:tc>
        <w:tc>
          <w:tcPr>
            <w:tcW w:w="256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Consent per purpose and channel; plate-first verification; data subject requests; retention rules</w:t>
            </w:r>
          </w:p>
        </w:tc>
        <w:tc>
          <w:tcPr>
            <w:tcW w:w="257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Data protection incident procedure; suspend the affected processing</w:t>
            </w:r>
          </w:p>
        </w:tc>
      </w:tr>
      <w:tr>
        <w:trPr>
          <w:cantSplit/>
        </w:trPr>
        <w:tc>
          <w:tcPr>
            <w:tcW w:w="71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R-15</w:t>
            </w:r>
          </w:p>
        </w:tc>
        <w:tc>
          <w:tcPr>
            <w:tcW w:w="2326" w:type="dxa"/>
            <w:vAlign w:val="top"/>
          </w:tcPr>
          <w:p>
            <w:pPr>
              <w:pStyle w:val="TableText"/>
              <w:jc w:val="left"/>
            </w:pPr>
            <w:r>
              <w:t xml:space="preserve">Zalo template approval or SMS brandname registration is late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jc w:val="left"/>
            </w:pPr>
            <w:r>
              <w:t xml:space="preserve">PO</w:t>
            </w:r>
          </w:p>
        </w:tc>
        <w:tc>
          <w:tcPr>
            <w:tcW w:w="2568" w:type="dxa"/>
            <w:vAlign w:val="top"/>
          </w:tcPr>
          <w:p>
            <w:pPr>
              <w:pStyle w:val="TableText"/>
              <w:jc w:val="left"/>
            </w:pPr>
            <w:r>
              <w:t xml:space="preserve">Submit templates early in Sprint 3; channel fallback order in journeys</w:t>
            </w:r>
          </w:p>
        </w:tc>
        <w:tc>
          <w:tcPr>
            <w:tcW w:w="2571" w:type="dxa"/>
            <w:vAlign w:val="top"/>
          </w:tcPr>
          <w:p>
            <w:pPr>
              <w:pStyle w:val="TableText"/>
              <w:jc w:val="left"/>
            </w:pPr>
            <w:r>
              <w:t xml:space="preserve">Use app push and SMS only, or app push only</w:t>
            </w:r>
          </w:p>
        </w:tc>
      </w:tr>
      <w:tr>
        <w:trPr>
          <w:cantSplit/>
        </w:trPr>
        <w:tc>
          <w:tcPr>
            <w:tcW w:w="71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R-16</w:t>
            </w:r>
          </w:p>
        </w:tc>
        <w:tc>
          <w:tcPr>
            <w:tcW w:w="232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Staff or partner credentials are compromised</w:t>
            </w:r>
          </w:p>
        </w:tc>
        <w:tc>
          <w:tcPr>
            <w:tcW w:w="85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SEC</w:t>
            </w:r>
          </w:p>
        </w:tc>
        <w:tc>
          <w:tcPr>
            <w:tcW w:w="256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MFA for privileged roles, lockout, scoped partner keys, security testing before go-live</w:t>
            </w:r>
          </w:p>
        </w:tc>
        <w:tc>
          <w:tcPr>
            <w:tcW w:w="257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Revoke tokens and keys; incident response from the audit trail</w:t>
            </w:r>
          </w:p>
        </w:tc>
      </w:tr>
      <w:tr>
        <w:trPr>
          <w:cantSplit/>
        </w:trPr>
        <w:tc>
          <w:tcPr>
            <w:tcW w:w="71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R-17</w:t>
            </w:r>
          </w:p>
        </w:tc>
        <w:tc>
          <w:tcPr>
            <w:tcW w:w="2326" w:type="dxa"/>
            <w:vAlign w:val="top"/>
          </w:tcPr>
          <w:p>
            <w:pPr>
              <w:pStyle w:val="TableText"/>
              <w:jc w:val="left"/>
            </w:pPr>
            <w:r>
              <w:t xml:space="preserve">Knowledge is held by one or two iorta TechNXT engineers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jc w:val="left"/>
            </w:pPr>
            <w:r>
              <w:t xml:space="preserve">EM</w:t>
            </w:r>
          </w:p>
        </w:tc>
        <w:tc>
          <w:tcPr>
            <w:tcW w:w="2568" w:type="dxa"/>
            <w:vAlign w:val="top"/>
          </w:tcPr>
          <w:p>
            <w:pPr>
              <w:pStyle w:val="TableText"/>
              <w:jc w:val="left"/>
            </w:pPr>
            <w:r>
              <w:t xml:space="preserve">Pairing, architecture decision records, runbooks, technical handover</w:t>
            </w:r>
          </w:p>
        </w:tc>
        <w:tc>
          <w:tcPr>
            <w:tcW w:w="2571" w:type="dxa"/>
            <w:vAlign w:val="top"/>
          </w:tcPr>
          <w:p>
            <w:pPr>
              <w:pStyle w:val="TableText"/>
              <w:jc w:val="left"/>
            </w:pPr>
            <w:r>
              <w:t xml:space="preserve">Accelerate knowledge transfer under TGP-DEL-05</w:t>
            </w:r>
          </w:p>
        </w:tc>
      </w:tr>
      <w:tr>
        <w:trPr>
          <w:cantSplit/>
        </w:trPr>
        <w:tc>
          <w:tcPr>
            <w:tcW w:w="71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R-18</w:t>
            </w:r>
          </w:p>
        </w:tc>
        <w:tc>
          <w:tcPr>
            <w:tcW w:w="232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The pilot does not give a clear answer (small sample, seasonality)</w:t>
            </w:r>
          </w:p>
        </w:tc>
        <w:tc>
          <w:tcPr>
            <w:tcW w:w="85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SP</w:t>
            </w:r>
          </w:p>
        </w:tc>
        <w:tc>
          <w:tcPr>
            <w:tcW w:w="256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Random control group of about 10%; read-out after about 12 weeks; criteria confirmed in discovery</w:t>
            </w:r>
          </w:p>
        </w:tc>
        <w:tc>
          <w:tcPr>
            <w:tcW w:w="257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Extend the measurement period</w:t>
            </w:r>
          </w:p>
        </w:tc>
      </w:tr>
      <w:tr>
        <w:trPr>
          <w:cantSplit/>
        </w:trPr>
        <w:tc>
          <w:tcPr>
            <w:tcW w:w="71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R-19</w:t>
            </w:r>
          </w:p>
        </w:tc>
        <w:tc>
          <w:tcPr>
            <w:tcW w:w="2326" w:type="dxa"/>
            <w:vAlign w:val="top"/>
          </w:tcPr>
          <w:p>
            <w:pPr>
              <w:pStyle w:val="TableText"/>
              <w:jc w:val="left"/>
            </w:pPr>
            <w:r>
              <w:t xml:space="preserve">TASCO’s app, website or payment gateway cannot host the shared journeys as planned, so TASCO’s own channels open later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jc w:val="left"/>
            </w:pPr>
            <w:r>
              <w:t xml:space="preserve">TIT</w:t>
            </w:r>
          </w:p>
        </w:tc>
        <w:tc>
          <w:tcPr>
            <w:tcW w:w="2568" w:type="dxa"/>
            <w:vAlign w:val="top"/>
          </w:tcPr>
          <w:p>
            <w:pPr>
              <w:pStyle w:val="TableText"/>
              <w:jc w:val="left"/>
            </w:pPr>
            <w:r>
              <w:t xml:space="preserve">Check web-view and gateway capability in discovery; keep the journeys usable as a plain link from TASCO’s site; S3 sits outside the MVP critical path</w:t>
            </w:r>
          </w:p>
        </w:tc>
        <w:tc>
          <w:tcPr>
            <w:tcW w:w="2571" w:type="dxa"/>
            <w:vAlign w:val="top"/>
          </w:tcPr>
          <w:p>
            <w:pPr>
              <w:pStyle w:val="TableText"/>
              <w:jc w:val="left"/>
            </w:pPr>
            <w:r>
              <w:t xml:space="preserve">Launch TASCO channels as links first, embed later</w:t>
            </w:r>
          </w:p>
        </w:tc>
      </w:tr>
      <w:tr>
        <w:trPr>
          <w:cantSplit/>
        </w:trPr>
        <w:tc>
          <w:tcPr>
            <w:tcW w:w="71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R-20</w:t>
            </w:r>
          </w:p>
        </w:tc>
        <w:tc>
          <w:tcPr>
            <w:tcW w:w="232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Prices, wording or contacts differ between the VETC app, TASCO’s channels and Tasco360, which confuses customers</w:t>
            </w:r>
          </w:p>
        </w:tc>
        <w:tc>
          <w:tcPr>
            <w:tcW w:w="85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PO</w:t>
            </w:r>
          </w:p>
        </w:tc>
        <w:tc>
          <w:tcPr>
            <w:tcW w:w="256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One core rating for every channel; shared message templates and official contacts; the channel recorded on every sale</w:t>
            </w:r>
          </w:p>
        </w:tc>
        <w:tc>
          <w:tcPr>
            <w:tcW w:w="2571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Correct the template or contact in the rules studio through maker-checker</w:t>
            </w:r>
          </w:p>
        </w:tc>
      </w:tr>
    </w:tbl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10" w:name="_Toc300000006"/>
      <w:r>
        <w:rPr>
          <w:rStyle w:val="BookTitle"/>
          <w:bCs w:val="0"/>
          <w:i w:val="0"/>
          <w:iCs w:val="0"/>
          <w:spacing w:val="0"/>
        </w:rPr>
        <w:t xml:space="preserve">Current scores</w:t>
      </w:r>
      <w:bookmarkEnd w:id="10"/>
    </w:p>
    <w:p>
      <w:pPr>
        <w:pStyle w:val="FirstParagraph"/>
      </w:pPr>
      <w:r>
        <w:t xml:space="preserve">Scores reflect the position at submission, before discovery.</w:t>
      </w:r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307"/>
        <w:gridCol w:w="2650"/>
        <w:gridCol w:w="1764"/>
        <w:gridCol w:w="1543"/>
        <w:gridCol w:w="1763"/>
      </w:tblGrid>
      <w:tr>
        <w:trPr>
          <w:cantSplit/>
          <w:tblHeader/>
        </w:trPr>
        <w:tc>
          <w:tcPr>
            <w:tcW w:w="1307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ID</w:t>
            </w:r>
          </w:p>
        </w:tc>
        <w:tc>
          <w:tcPr>
            <w:tcW w:w="2650" w:type="dxa"/>
            <w:shd w:val="clear" w:color="auto" w:fill="0F4761"/>
            <w:vAlign w:val="center"/>
          </w:tcPr>
          <w:p>
            <w:pPr>
              <w:pStyle w:val="TableHeading"/>
              <w:jc w:val="right"/>
            </w:pPr>
            <w:r>
              <w:rPr>
                <w:color w:val="FFFFFF"/>
              </w:rPr>
              <w:t xml:space="preserve">Likelihood</w:t>
            </w:r>
          </w:p>
        </w:tc>
        <w:tc>
          <w:tcPr>
            <w:tcW w:w="1764" w:type="dxa"/>
            <w:shd w:val="clear" w:color="auto" w:fill="0F4761"/>
            <w:vAlign w:val="center"/>
          </w:tcPr>
          <w:p>
            <w:pPr>
              <w:pStyle w:val="TableHeading"/>
              <w:jc w:val="right"/>
            </w:pPr>
            <w:r>
              <w:rPr>
                <w:color w:val="FFFFFF"/>
              </w:rPr>
              <w:t xml:space="preserve">Impact</w:t>
            </w:r>
          </w:p>
        </w:tc>
        <w:tc>
          <w:tcPr>
            <w:tcW w:w="1543" w:type="dxa"/>
            <w:shd w:val="clear" w:color="auto" w:fill="0F4761"/>
            <w:vAlign w:val="center"/>
          </w:tcPr>
          <w:p>
            <w:pPr>
              <w:pStyle w:val="TableHeading"/>
              <w:jc w:val="right"/>
            </w:pPr>
            <w:r>
              <w:rPr>
                <w:color w:val="FFFFFF"/>
              </w:rPr>
              <w:t xml:space="preserve">Score</w:t>
            </w:r>
          </w:p>
        </w:tc>
        <w:tc>
          <w:tcPr>
            <w:tcW w:w="1763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Rating</w:t>
            </w:r>
          </w:p>
        </w:tc>
      </w:tr>
      <w:tr>
        <w:trPr>
          <w:cantSplit/>
        </w:trPr>
        <w:tc>
          <w:tcPr>
            <w:tcW w:w="1307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R-01</w:t>
            </w:r>
          </w:p>
        </w:tc>
        <w:tc>
          <w:tcPr>
            <w:tcW w:w="2650" w:type="dxa"/>
            <w:vAlign w:val="top"/>
          </w:tcPr>
          <w:p>
            <w:pPr>
              <w:pStyle w:val="TableText"/>
              <w:jc w:val="right"/>
            </w:pPr>
            <w:r>
              <w:t xml:space="preserve">3</w:t>
            </w:r>
          </w:p>
        </w:tc>
        <w:tc>
          <w:tcPr>
            <w:tcW w:w="1764" w:type="dxa"/>
            <w:vAlign w:val="top"/>
          </w:tcPr>
          <w:p>
            <w:pPr>
              <w:pStyle w:val="TableText"/>
              <w:jc w:val="right"/>
            </w:pPr>
            <w:r>
              <w:t xml:space="preserve">4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jc w:val="right"/>
            </w:pPr>
            <w:r>
              <w:t xml:space="preserve">12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jc w:val="left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tcW w:w="1307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R-02</w:t>
            </w:r>
          </w:p>
        </w:tc>
        <w:tc>
          <w:tcPr>
            <w:tcW w:w="2650" w:type="dxa"/>
            <w:shd w:val="clear" w:color="auto" w:fill="F4F7FB"/>
            <w:vAlign w:val="top"/>
          </w:tcPr>
          <w:p>
            <w:pPr>
              <w:pStyle w:val="TableText"/>
              <w:jc w:val="right"/>
            </w:pPr>
            <w:r>
              <w:t xml:space="preserve">3</w:t>
            </w:r>
          </w:p>
        </w:tc>
        <w:tc>
          <w:tcPr>
            <w:tcW w:w="1764" w:type="dxa"/>
            <w:shd w:val="clear" w:color="auto" w:fill="F4F7FB"/>
            <w:vAlign w:val="top"/>
          </w:tcPr>
          <w:p>
            <w:pPr>
              <w:pStyle w:val="TableText"/>
              <w:jc w:val="right"/>
            </w:pPr>
            <w:r>
              <w:t xml:space="preserve">5</w:t>
            </w:r>
          </w:p>
        </w:tc>
        <w:tc>
          <w:tcPr>
            <w:tcW w:w="1543" w:type="dxa"/>
            <w:shd w:val="clear" w:color="auto" w:fill="F4F7FB"/>
            <w:vAlign w:val="top"/>
          </w:tcPr>
          <w:p>
            <w:pPr>
              <w:pStyle w:val="TableText"/>
              <w:jc w:val="right"/>
            </w:pPr>
            <w:r>
              <w:t xml:space="preserve">15</w:t>
            </w:r>
          </w:p>
        </w:tc>
        <w:tc>
          <w:tcPr>
            <w:tcW w:w="176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High</w:t>
            </w:r>
          </w:p>
        </w:tc>
      </w:tr>
      <w:tr>
        <w:trPr>
          <w:cantSplit/>
        </w:trPr>
        <w:tc>
          <w:tcPr>
            <w:tcW w:w="1307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R-03</w:t>
            </w:r>
          </w:p>
        </w:tc>
        <w:tc>
          <w:tcPr>
            <w:tcW w:w="2650" w:type="dxa"/>
            <w:vAlign w:val="top"/>
          </w:tcPr>
          <w:p>
            <w:pPr>
              <w:pStyle w:val="TableText"/>
              <w:jc w:val="right"/>
            </w:pPr>
            <w:r>
              <w:t xml:space="preserve">3</w:t>
            </w:r>
          </w:p>
        </w:tc>
        <w:tc>
          <w:tcPr>
            <w:tcW w:w="1764" w:type="dxa"/>
            <w:vAlign w:val="top"/>
          </w:tcPr>
          <w:p>
            <w:pPr>
              <w:pStyle w:val="TableText"/>
              <w:jc w:val="right"/>
            </w:pPr>
            <w:r>
              <w:t xml:space="preserve">4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jc w:val="right"/>
            </w:pPr>
            <w:r>
              <w:t xml:space="preserve">12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jc w:val="left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tcW w:w="1307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R-04</w:t>
            </w:r>
          </w:p>
        </w:tc>
        <w:tc>
          <w:tcPr>
            <w:tcW w:w="2650" w:type="dxa"/>
            <w:shd w:val="clear" w:color="auto" w:fill="F4F7FB"/>
            <w:vAlign w:val="top"/>
          </w:tcPr>
          <w:p>
            <w:pPr>
              <w:pStyle w:val="TableText"/>
              <w:jc w:val="right"/>
            </w:pPr>
            <w:r>
              <w:t xml:space="preserve">3</w:t>
            </w:r>
          </w:p>
        </w:tc>
        <w:tc>
          <w:tcPr>
            <w:tcW w:w="1764" w:type="dxa"/>
            <w:shd w:val="clear" w:color="auto" w:fill="F4F7FB"/>
            <w:vAlign w:val="top"/>
          </w:tcPr>
          <w:p>
            <w:pPr>
              <w:pStyle w:val="TableText"/>
              <w:jc w:val="right"/>
            </w:pPr>
            <w:r>
              <w:t xml:space="preserve">4</w:t>
            </w:r>
          </w:p>
        </w:tc>
        <w:tc>
          <w:tcPr>
            <w:tcW w:w="1543" w:type="dxa"/>
            <w:shd w:val="clear" w:color="auto" w:fill="F4F7FB"/>
            <w:vAlign w:val="top"/>
          </w:tcPr>
          <w:p>
            <w:pPr>
              <w:pStyle w:val="TableText"/>
              <w:jc w:val="right"/>
            </w:pPr>
            <w:r>
              <w:t xml:space="preserve">12</w:t>
            </w:r>
          </w:p>
        </w:tc>
        <w:tc>
          <w:tcPr>
            <w:tcW w:w="176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tcW w:w="1307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R-05</w:t>
            </w:r>
          </w:p>
        </w:tc>
        <w:tc>
          <w:tcPr>
            <w:tcW w:w="2650" w:type="dxa"/>
            <w:vAlign w:val="top"/>
          </w:tcPr>
          <w:p>
            <w:pPr>
              <w:pStyle w:val="TableText"/>
              <w:jc w:val="right"/>
            </w:pPr>
            <w:r>
              <w:t xml:space="preserve">3</w:t>
            </w:r>
          </w:p>
        </w:tc>
        <w:tc>
          <w:tcPr>
            <w:tcW w:w="1764" w:type="dxa"/>
            <w:vAlign w:val="top"/>
          </w:tcPr>
          <w:p>
            <w:pPr>
              <w:pStyle w:val="TableText"/>
              <w:jc w:val="right"/>
            </w:pPr>
            <w:r>
              <w:t xml:space="preserve">3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jc w:val="right"/>
            </w:pPr>
            <w:r>
              <w:t xml:space="preserve">9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jc w:val="left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tcW w:w="1307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R-06</w:t>
            </w:r>
          </w:p>
        </w:tc>
        <w:tc>
          <w:tcPr>
            <w:tcW w:w="2650" w:type="dxa"/>
            <w:shd w:val="clear" w:color="auto" w:fill="F4F7FB"/>
            <w:vAlign w:val="top"/>
          </w:tcPr>
          <w:p>
            <w:pPr>
              <w:pStyle w:val="TableText"/>
              <w:jc w:val="right"/>
            </w:pPr>
            <w:r>
              <w:t xml:space="preserve">4</w:t>
            </w:r>
          </w:p>
        </w:tc>
        <w:tc>
          <w:tcPr>
            <w:tcW w:w="1764" w:type="dxa"/>
            <w:shd w:val="clear" w:color="auto" w:fill="F4F7FB"/>
            <w:vAlign w:val="top"/>
          </w:tcPr>
          <w:p>
            <w:pPr>
              <w:pStyle w:val="TableText"/>
              <w:jc w:val="right"/>
            </w:pPr>
            <w:r>
              <w:t xml:space="preserve">3</w:t>
            </w:r>
          </w:p>
        </w:tc>
        <w:tc>
          <w:tcPr>
            <w:tcW w:w="1543" w:type="dxa"/>
            <w:shd w:val="clear" w:color="auto" w:fill="F4F7FB"/>
            <w:vAlign w:val="top"/>
          </w:tcPr>
          <w:p>
            <w:pPr>
              <w:pStyle w:val="TableText"/>
              <w:jc w:val="right"/>
            </w:pPr>
            <w:r>
              <w:t xml:space="preserve">12</w:t>
            </w:r>
          </w:p>
        </w:tc>
        <w:tc>
          <w:tcPr>
            <w:tcW w:w="176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tcW w:w="1307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R-07</w:t>
            </w:r>
          </w:p>
        </w:tc>
        <w:tc>
          <w:tcPr>
            <w:tcW w:w="2650" w:type="dxa"/>
            <w:vAlign w:val="top"/>
          </w:tcPr>
          <w:p>
            <w:pPr>
              <w:pStyle w:val="TableText"/>
              <w:jc w:val="right"/>
            </w:pPr>
            <w:r>
              <w:t xml:space="preserve">3</w:t>
            </w:r>
          </w:p>
        </w:tc>
        <w:tc>
          <w:tcPr>
            <w:tcW w:w="1764" w:type="dxa"/>
            <w:vAlign w:val="top"/>
          </w:tcPr>
          <w:p>
            <w:pPr>
              <w:pStyle w:val="TableText"/>
              <w:jc w:val="right"/>
            </w:pPr>
            <w:r>
              <w:t xml:space="preserve">4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jc w:val="right"/>
            </w:pPr>
            <w:r>
              <w:t xml:space="preserve">12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jc w:val="left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tcW w:w="1307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R-08</w:t>
            </w:r>
          </w:p>
        </w:tc>
        <w:tc>
          <w:tcPr>
            <w:tcW w:w="2650" w:type="dxa"/>
            <w:shd w:val="clear" w:color="auto" w:fill="F4F7FB"/>
            <w:vAlign w:val="top"/>
          </w:tcPr>
          <w:p>
            <w:pPr>
              <w:pStyle w:val="TableText"/>
              <w:jc w:val="right"/>
            </w:pPr>
            <w:r>
              <w:t xml:space="preserve">3</w:t>
            </w:r>
          </w:p>
        </w:tc>
        <w:tc>
          <w:tcPr>
            <w:tcW w:w="1764" w:type="dxa"/>
            <w:shd w:val="clear" w:color="auto" w:fill="F4F7FB"/>
            <w:vAlign w:val="top"/>
          </w:tcPr>
          <w:p>
            <w:pPr>
              <w:pStyle w:val="TableText"/>
              <w:jc w:val="right"/>
            </w:pPr>
            <w:r>
              <w:t xml:space="preserve">3</w:t>
            </w:r>
          </w:p>
        </w:tc>
        <w:tc>
          <w:tcPr>
            <w:tcW w:w="1543" w:type="dxa"/>
            <w:shd w:val="clear" w:color="auto" w:fill="F4F7FB"/>
            <w:vAlign w:val="top"/>
          </w:tcPr>
          <w:p>
            <w:pPr>
              <w:pStyle w:val="TableText"/>
              <w:jc w:val="right"/>
            </w:pPr>
            <w:r>
              <w:t xml:space="preserve">9</w:t>
            </w:r>
          </w:p>
        </w:tc>
        <w:tc>
          <w:tcPr>
            <w:tcW w:w="176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tcW w:w="1307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R-09</w:t>
            </w:r>
          </w:p>
        </w:tc>
        <w:tc>
          <w:tcPr>
            <w:tcW w:w="2650" w:type="dxa"/>
            <w:vAlign w:val="top"/>
          </w:tcPr>
          <w:p>
            <w:pPr>
              <w:pStyle w:val="TableText"/>
              <w:jc w:val="right"/>
            </w:pPr>
            <w:r>
              <w:t xml:space="preserve">3</w:t>
            </w:r>
          </w:p>
        </w:tc>
        <w:tc>
          <w:tcPr>
            <w:tcW w:w="1764" w:type="dxa"/>
            <w:vAlign w:val="top"/>
          </w:tcPr>
          <w:p>
            <w:pPr>
              <w:pStyle w:val="TableText"/>
              <w:jc w:val="right"/>
            </w:pPr>
            <w:r>
              <w:t xml:space="preserve">3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jc w:val="right"/>
            </w:pPr>
            <w:r>
              <w:t xml:space="preserve">9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jc w:val="left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tcW w:w="1307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R-10</w:t>
            </w:r>
          </w:p>
        </w:tc>
        <w:tc>
          <w:tcPr>
            <w:tcW w:w="2650" w:type="dxa"/>
            <w:shd w:val="clear" w:color="auto" w:fill="F4F7FB"/>
            <w:vAlign w:val="top"/>
          </w:tcPr>
          <w:p>
            <w:pPr>
              <w:pStyle w:val="TableText"/>
              <w:jc w:val="right"/>
            </w:pPr>
            <w:r>
              <w:t xml:space="preserve">3</w:t>
            </w:r>
          </w:p>
        </w:tc>
        <w:tc>
          <w:tcPr>
            <w:tcW w:w="1764" w:type="dxa"/>
            <w:shd w:val="clear" w:color="auto" w:fill="F4F7FB"/>
            <w:vAlign w:val="top"/>
          </w:tcPr>
          <w:p>
            <w:pPr>
              <w:pStyle w:val="TableText"/>
              <w:jc w:val="right"/>
            </w:pPr>
            <w:r>
              <w:t xml:space="preserve">4</w:t>
            </w:r>
          </w:p>
        </w:tc>
        <w:tc>
          <w:tcPr>
            <w:tcW w:w="1543" w:type="dxa"/>
            <w:shd w:val="clear" w:color="auto" w:fill="F4F7FB"/>
            <w:vAlign w:val="top"/>
          </w:tcPr>
          <w:p>
            <w:pPr>
              <w:pStyle w:val="TableText"/>
              <w:jc w:val="right"/>
            </w:pPr>
            <w:r>
              <w:t xml:space="preserve">12</w:t>
            </w:r>
          </w:p>
        </w:tc>
        <w:tc>
          <w:tcPr>
            <w:tcW w:w="176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tcW w:w="1307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R-11</w:t>
            </w:r>
          </w:p>
        </w:tc>
        <w:tc>
          <w:tcPr>
            <w:tcW w:w="2650" w:type="dxa"/>
            <w:vAlign w:val="top"/>
          </w:tcPr>
          <w:p>
            <w:pPr>
              <w:pStyle w:val="TableText"/>
              <w:jc w:val="right"/>
            </w:pPr>
            <w:r>
              <w:t xml:space="preserve">3</w:t>
            </w:r>
          </w:p>
        </w:tc>
        <w:tc>
          <w:tcPr>
            <w:tcW w:w="1764" w:type="dxa"/>
            <w:vAlign w:val="top"/>
          </w:tcPr>
          <w:p>
            <w:pPr>
              <w:pStyle w:val="TableText"/>
              <w:jc w:val="right"/>
            </w:pPr>
            <w:r>
              <w:t xml:space="preserve">3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jc w:val="right"/>
            </w:pPr>
            <w:r>
              <w:t xml:space="preserve">9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jc w:val="left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tcW w:w="1307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R-12</w:t>
            </w:r>
          </w:p>
        </w:tc>
        <w:tc>
          <w:tcPr>
            <w:tcW w:w="2650" w:type="dxa"/>
            <w:shd w:val="clear" w:color="auto" w:fill="F4F7FB"/>
            <w:vAlign w:val="top"/>
          </w:tcPr>
          <w:p>
            <w:pPr>
              <w:pStyle w:val="TableText"/>
              <w:jc w:val="right"/>
            </w:pPr>
            <w:r>
              <w:t xml:space="preserve">3</w:t>
            </w:r>
          </w:p>
        </w:tc>
        <w:tc>
          <w:tcPr>
            <w:tcW w:w="1764" w:type="dxa"/>
            <w:shd w:val="clear" w:color="auto" w:fill="F4F7FB"/>
            <w:vAlign w:val="top"/>
          </w:tcPr>
          <w:p>
            <w:pPr>
              <w:pStyle w:val="TableText"/>
              <w:jc w:val="right"/>
            </w:pPr>
            <w:r>
              <w:t xml:space="preserve">4</w:t>
            </w:r>
          </w:p>
        </w:tc>
        <w:tc>
          <w:tcPr>
            <w:tcW w:w="1543" w:type="dxa"/>
            <w:shd w:val="clear" w:color="auto" w:fill="F4F7FB"/>
            <w:vAlign w:val="top"/>
          </w:tcPr>
          <w:p>
            <w:pPr>
              <w:pStyle w:val="TableText"/>
              <w:jc w:val="right"/>
            </w:pPr>
            <w:r>
              <w:t xml:space="preserve">12</w:t>
            </w:r>
          </w:p>
        </w:tc>
        <w:tc>
          <w:tcPr>
            <w:tcW w:w="176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tcW w:w="1307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R-13</w:t>
            </w:r>
          </w:p>
        </w:tc>
        <w:tc>
          <w:tcPr>
            <w:tcW w:w="2650" w:type="dxa"/>
            <w:vAlign w:val="top"/>
          </w:tcPr>
          <w:p>
            <w:pPr>
              <w:pStyle w:val="TableText"/>
              <w:jc w:val="right"/>
            </w:pPr>
            <w:r>
              <w:t xml:space="preserve">2</w:t>
            </w:r>
          </w:p>
        </w:tc>
        <w:tc>
          <w:tcPr>
            <w:tcW w:w="1764" w:type="dxa"/>
            <w:vAlign w:val="top"/>
          </w:tcPr>
          <w:p>
            <w:pPr>
              <w:pStyle w:val="TableText"/>
              <w:jc w:val="right"/>
            </w:pPr>
            <w:r>
              <w:t xml:space="preserve">5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jc w:val="right"/>
            </w:pPr>
            <w:r>
              <w:t xml:space="preserve">10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jc w:val="left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tcW w:w="1307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R-14</w:t>
            </w:r>
          </w:p>
        </w:tc>
        <w:tc>
          <w:tcPr>
            <w:tcW w:w="2650" w:type="dxa"/>
            <w:shd w:val="clear" w:color="auto" w:fill="F4F7FB"/>
            <w:vAlign w:val="top"/>
          </w:tcPr>
          <w:p>
            <w:pPr>
              <w:pStyle w:val="TableText"/>
              <w:jc w:val="right"/>
            </w:pPr>
            <w:r>
              <w:t xml:space="preserve">2</w:t>
            </w:r>
          </w:p>
        </w:tc>
        <w:tc>
          <w:tcPr>
            <w:tcW w:w="1764" w:type="dxa"/>
            <w:shd w:val="clear" w:color="auto" w:fill="F4F7FB"/>
            <w:vAlign w:val="top"/>
          </w:tcPr>
          <w:p>
            <w:pPr>
              <w:pStyle w:val="TableText"/>
              <w:jc w:val="right"/>
            </w:pPr>
            <w:r>
              <w:t xml:space="preserve">5</w:t>
            </w:r>
          </w:p>
        </w:tc>
        <w:tc>
          <w:tcPr>
            <w:tcW w:w="1543" w:type="dxa"/>
            <w:shd w:val="clear" w:color="auto" w:fill="F4F7FB"/>
            <w:vAlign w:val="top"/>
          </w:tcPr>
          <w:p>
            <w:pPr>
              <w:pStyle w:val="TableText"/>
              <w:jc w:val="right"/>
            </w:pPr>
            <w:r>
              <w:t xml:space="preserve">10</w:t>
            </w:r>
          </w:p>
        </w:tc>
        <w:tc>
          <w:tcPr>
            <w:tcW w:w="176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tcW w:w="1307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R-15</w:t>
            </w:r>
          </w:p>
        </w:tc>
        <w:tc>
          <w:tcPr>
            <w:tcW w:w="2650" w:type="dxa"/>
            <w:vAlign w:val="top"/>
          </w:tcPr>
          <w:p>
            <w:pPr>
              <w:pStyle w:val="TableText"/>
              <w:jc w:val="right"/>
            </w:pPr>
            <w:r>
              <w:t xml:space="preserve">3</w:t>
            </w:r>
          </w:p>
        </w:tc>
        <w:tc>
          <w:tcPr>
            <w:tcW w:w="1764" w:type="dxa"/>
            <w:vAlign w:val="top"/>
          </w:tcPr>
          <w:p>
            <w:pPr>
              <w:pStyle w:val="TableText"/>
              <w:jc w:val="right"/>
            </w:pPr>
            <w:r>
              <w:t xml:space="preserve">3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jc w:val="right"/>
            </w:pPr>
            <w:r>
              <w:t xml:space="preserve">9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jc w:val="left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tcW w:w="1307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R-16</w:t>
            </w:r>
          </w:p>
        </w:tc>
        <w:tc>
          <w:tcPr>
            <w:tcW w:w="2650" w:type="dxa"/>
            <w:shd w:val="clear" w:color="auto" w:fill="F4F7FB"/>
            <w:vAlign w:val="top"/>
          </w:tcPr>
          <w:p>
            <w:pPr>
              <w:pStyle w:val="TableText"/>
              <w:jc w:val="right"/>
            </w:pPr>
            <w:r>
              <w:t xml:space="preserve">2</w:t>
            </w:r>
          </w:p>
        </w:tc>
        <w:tc>
          <w:tcPr>
            <w:tcW w:w="1764" w:type="dxa"/>
            <w:shd w:val="clear" w:color="auto" w:fill="F4F7FB"/>
            <w:vAlign w:val="top"/>
          </w:tcPr>
          <w:p>
            <w:pPr>
              <w:pStyle w:val="TableText"/>
              <w:jc w:val="right"/>
            </w:pPr>
            <w:r>
              <w:t xml:space="preserve">5</w:t>
            </w:r>
          </w:p>
        </w:tc>
        <w:tc>
          <w:tcPr>
            <w:tcW w:w="1543" w:type="dxa"/>
            <w:shd w:val="clear" w:color="auto" w:fill="F4F7FB"/>
            <w:vAlign w:val="top"/>
          </w:tcPr>
          <w:p>
            <w:pPr>
              <w:pStyle w:val="TableText"/>
              <w:jc w:val="right"/>
            </w:pPr>
            <w:r>
              <w:t xml:space="preserve">10</w:t>
            </w:r>
          </w:p>
        </w:tc>
        <w:tc>
          <w:tcPr>
            <w:tcW w:w="176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tcW w:w="1307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R-17</w:t>
            </w:r>
          </w:p>
        </w:tc>
        <w:tc>
          <w:tcPr>
            <w:tcW w:w="2650" w:type="dxa"/>
            <w:vAlign w:val="top"/>
          </w:tcPr>
          <w:p>
            <w:pPr>
              <w:pStyle w:val="TableText"/>
              <w:jc w:val="right"/>
            </w:pPr>
            <w:r>
              <w:t xml:space="preserve">2</w:t>
            </w:r>
          </w:p>
        </w:tc>
        <w:tc>
          <w:tcPr>
            <w:tcW w:w="1764" w:type="dxa"/>
            <w:vAlign w:val="top"/>
          </w:tcPr>
          <w:p>
            <w:pPr>
              <w:pStyle w:val="TableText"/>
              <w:jc w:val="right"/>
            </w:pPr>
            <w:r>
              <w:t xml:space="preserve">4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jc w:val="right"/>
            </w:pPr>
            <w:r>
              <w:t xml:space="preserve">8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jc w:val="left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tcW w:w="1307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R-18</w:t>
            </w:r>
          </w:p>
        </w:tc>
        <w:tc>
          <w:tcPr>
            <w:tcW w:w="2650" w:type="dxa"/>
            <w:shd w:val="clear" w:color="auto" w:fill="F4F7FB"/>
            <w:vAlign w:val="top"/>
          </w:tcPr>
          <w:p>
            <w:pPr>
              <w:pStyle w:val="TableText"/>
              <w:jc w:val="right"/>
            </w:pPr>
            <w:r>
              <w:t xml:space="preserve">2</w:t>
            </w:r>
          </w:p>
        </w:tc>
        <w:tc>
          <w:tcPr>
            <w:tcW w:w="1764" w:type="dxa"/>
            <w:shd w:val="clear" w:color="auto" w:fill="F4F7FB"/>
            <w:vAlign w:val="top"/>
          </w:tcPr>
          <w:p>
            <w:pPr>
              <w:pStyle w:val="TableText"/>
              <w:jc w:val="right"/>
            </w:pPr>
            <w:r>
              <w:t xml:space="preserve">4</w:t>
            </w:r>
          </w:p>
        </w:tc>
        <w:tc>
          <w:tcPr>
            <w:tcW w:w="1543" w:type="dxa"/>
            <w:shd w:val="clear" w:color="auto" w:fill="F4F7FB"/>
            <w:vAlign w:val="top"/>
          </w:tcPr>
          <w:p>
            <w:pPr>
              <w:pStyle w:val="TableText"/>
              <w:jc w:val="right"/>
            </w:pPr>
            <w:r>
              <w:t xml:space="preserve">8</w:t>
            </w:r>
          </w:p>
        </w:tc>
        <w:tc>
          <w:tcPr>
            <w:tcW w:w="176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tcW w:w="1307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R-19</w:t>
            </w:r>
          </w:p>
        </w:tc>
        <w:tc>
          <w:tcPr>
            <w:tcW w:w="2650" w:type="dxa"/>
            <w:vAlign w:val="top"/>
          </w:tcPr>
          <w:p>
            <w:pPr>
              <w:pStyle w:val="TableText"/>
              <w:jc w:val="right"/>
            </w:pPr>
            <w:r>
              <w:t xml:space="preserve">2</w:t>
            </w:r>
          </w:p>
        </w:tc>
        <w:tc>
          <w:tcPr>
            <w:tcW w:w="1764" w:type="dxa"/>
            <w:vAlign w:val="top"/>
          </w:tcPr>
          <w:p>
            <w:pPr>
              <w:pStyle w:val="TableText"/>
              <w:jc w:val="right"/>
            </w:pPr>
            <w:r>
              <w:t xml:space="preserve">3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jc w:val="right"/>
            </w:pPr>
            <w:r>
              <w:t xml:space="preserve">6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jc w:val="left"/>
            </w:pPr>
            <w:r>
              <w:t xml:space="preserve">Low</w:t>
            </w:r>
          </w:p>
        </w:tc>
      </w:tr>
      <w:tr>
        <w:trPr>
          <w:cantSplit/>
        </w:trPr>
        <w:tc>
          <w:tcPr>
            <w:tcW w:w="1307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R-20</w:t>
            </w:r>
          </w:p>
        </w:tc>
        <w:tc>
          <w:tcPr>
            <w:tcW w:w="2650" w:type="dxa"/>
            <w:shd w:val="clear" w:color="auto" w:fill="F4F7FB"/>
            <w:vAlign w:val="top"/>
          </w:tcPr>
          <w:p>
            <w:pPr>
              <w:pStyle w:val="TableText"/>
              <w:jc w:val="right"/>
            </w:pPr>
            <w:r>
              <w:t xml:space="preserve">2</w:t>
            </w:r>
          </w:p>
        </w:tc>
        <w:tc>
          <w:tcPr>
            <w:tcW w:w="1764" w:type="dxa"/>
            <w:shd w:val="clear" w:color="auto" w:fill="F4F7FB"/>
            <w:vAlign w:val="top"/>
          </w:tcPr>
          <w:p>
            <w:pPr>
              <w:pStyle w:val="TableText"/>
              <w:jc w:val="right"/>
            </w:pPr>
            <w:r>
              <w:t xml:space="preserve">3</w:t>
            </w:r>
          </w:p>
        </w:tc>
        <w:tc>
          <w:tcPr>
            <w:tcW w:w="1543" w:type="dxa"/>
            <w:shd w:val="clear" w:color="auto" w:fill="F4F7FB"/>
            <w:vAlign w:val="top"/>
          </w:tcPr>
          <w:p>
            <w:pPr>
              <w:pStyle w:val="TableText"/>
              <w:jc w:val="right"/>
            </w:pPr>
            <w:r>
              <w:t xml:space="preserve">6</w:t>
            </w:r>
          </w:p>
        </w:tc>
        <w:tc>
          <w:tcPr>
            <w:tcW w:w="176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Low</w:t>
            </w:r>
          </w:p>
        </w:tc>
      </w:tr>
    </w:tbl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11" w:name="_Toc300000007"/>
      <w:r>
        <w:rPr>
          <w:rStyle w:val="BookTitle"/>
          <w:bCs w:val="0"/>
          <w:i w:val="0"/>
          <w:iCs w:val="0"/>
          <w:spacing w:val="0"/>
        </w:rPr>
        <w:t xml:space="preserve">Review</w:t>
      </w:r>
      <w:bookmarkEnd w:id="11"/>
    </w:p>
    <w:p>
      <w:pPr>
        <w:pStyle w:val="FirstParagraph"/>
      </w:pPr>
      <w:r>
        <w:t xml:space="preserve">The engagement manager and the TASCO product owner review the register every two weeks before the product council. High risks go to the next steering committee. Anyone may raise a risk; the engagement manager assigns an owner and a score within two business days. A risk is closed when its owner and the engagement manager agree that the cause has gone, or when the accountable party in TGP-DEL-03 RACI Matrix accepts the remaining risk.</w:t>
      </w:r>
    </w:p>
    <w:p w14:paraId="12E0A58E" w14:textId="77777777" w:rsidR="002B183A" w:rsidRPr="00465CAB" w:rsidRDefault="002B183A" w:rsidP="002B183A">
      <w:pPr>
        <w:pStyle w:val="Heading1"/>
        <w:pageBreakBefore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12" w:name="_Toc300000008"/>
      <w:r>
        <w:rPr>
          <w:rStyle w:val="BookTitle"/>
          <w:bCs w:val="0"/>
          <w:i w:val="0"/>
          <w:iCs w:val="0"/>
          <w:spacing w:val="0"/>
        </w:rPr>
        <w:t xml:space="preserve">Sign-Off</w:t>
      </w:r>
      <w:bookmarkEnd w:id="12"/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972"/>
        <w:gridCol w:w="4986"/>
        <w:gridCol w:w="2097"/>
        <w:gridCol w:w="972"/>
      </w:tblGrid>
      <w:tr w:rsidR="002B183A" w14:paraId="0ABAE4AD" w14:textId="77777777" w:rsidTr="002923F3">
        <w:trPr>
          <w:cantSplit/>
          <w:trHeight w:val="440"/>
          <w:tblHeader/>
        </w:trPr>
        <w:tc>
          <w:tcPr>
            <w:tcW w:w="972" w:type="dxa"/>
            <w:shd w:val="clear" w:color="auto" w:fill="0F4761"/>
            <w:vAlign w:val="center"/>
          </w:tcPr>
          <w:p w14:paraId="3EB3C57B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lastRenderedPageBreak/>
              <w:t>Serial Number</w:t>
            </w:r>
          </w:p>
        </w:tc>
        <w:tc>
          <w:tcPr>
            <w:tcW w:w="4986" w:type="dxa"/>
            <w:shd w:val="clear" w:color="auto" w:fill="0F4761"/>
            <w:vAlign w:val="center"/>
          </w:tcPr>
          <w:p w14:paraId="11ABC55F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2097" w:type="dxa"/>
            <w:shd w:val="clear" w:color="auto" w:fill="0F4761"/>
            <w:vAlign w:val="center"/>
          </w:tcPr>
          <w:p w14:paraId="05BF7E25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972" w:type="dxa"/>
            <w:shd w:val="clear" w:color="auto" w:fill="0F4761"/>
            <w:vAlign w:val="center"/>
          </w:tcPr>
          <w:p w14:paraId="1E570080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Status</w:t>
            </w:r>
          </w:p>
        </w:tc>
      </w:tr>
      <w:tr w:rsidR="002B183A" w:rsidRPr="00BB346A" w14:paraId="4AA02A28" w14:textId="77777777" w:rsidTr="002923F3">
        <w:trPr>
          <w:cantSplit/>
          <w:trHeight w:val="449"/>
        </w:trPr>
        <w:tc>
          <w:tcPr>
            <w:tcW w:w="972" w:type="dxa"/>
            <w:vAlign w:val="top"/>
          </w:tcPr>
          <w:p w14:paraId="3EE380D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1</w:t>
            </w:r>
          </w:p>
        </w:tc>
        <w:tc>
          <w:tcPr>
            <w:tcW w:w="4986" w:type="dxa"/>
            <w:vAlign w:val="top"/>
          </w:tcPr>
          <w:p w14:paraId="38D2703A" w14:textId="77777777" w:rsidR="002B183A" w:rsidRPr="009876A6" w:rsidRDefault="002B183A" w:rsidP="002923F3">
            <w:pPr>
              <w:spacing w:before="60"/>
              <w:jc w:val="left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Risk owners named for each TASCO and VETC party at mobilisation</w:t>
            </w:r>
          </w:p>
        </w:tc>
        <w:tc>
          <w:tcPr>
            <w:tcW w:w="2097" w:type="dxa"/>
            <w:vAlign w:val="top"/>
          </w:tcPr>
          <w:p w14:paraId="7C283CC7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Product Owner</w:t>
            </w:r>
          </w:p>
        </w:tc>
        <w:tc>
          <w:tcPr>
            <w:tcW w:w="972" w:type="dxa"/>
            <w:vAlign w:val="top"/>
          </w:tcPr>
          <w:p w14:paraId="2EB0AB1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Open</w:t>
            </w:r>
          </w:p>
        </w:tc>
      </w:tr>
      <w:tr w:rsidR="002B183A" w:rsidRPr="00BB346A" w14:paraId="4AA02A28" w14:textId="77777777" w:rsidTr="002923F3">
        <w:trPr>
          <w:cantSplit/>
          <w:trHeight w:val="449"/>
        </w:trPr>
        <w:tc>
          <w:tcPr>
            <w:tcW w:w="972" w:type="dxa"/>
            <w:vAlign w:val="top"/>
          </w:tcPr>
          <w:p w14:paraId="3EE380D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2</w:t>
            </w:r>
          </w:p>
        </w:tc>
        <w:tc>
          <w:tcPr>
            <w:tcW w:w="4986" w:type="dxa"/>
            <w:vAlign w:val="top"/>
          </w:tcPr>
          <w:p w14:paraId="38D2703A" w14:textId="77777777" w:rsidR="002B183A" w:rsidRPr="009876A6" w:rsidRDefault="002B183A" w:rsidP="002923F3">
            <w:pPr>
              <w:spacing w:before="60"/>
              <w:jc w:val="left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Data-sharing basis for VETC data (R-02), to be confirmed by TASCO legal</w:t>
            </w:r>
          </w:p>
        </w:tc>
        <w:tc>
          <w:tcPr>
            <w:tcW w:w="2097" w:type="dxa"/>
            <w:vAlign w:val="top"/>
          </w:tcPr>
          <w:p w14:paraId="7C283CC7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Compliance and Legal</w:t>
            </w:r>
          </w:p>
        </w:tc>
        <w:tc>
          <w:tcPr>
            <w:tcW w:w="972" w:type="dxa"/>
            <w:vAlign w:val="top"/>
          </w:tcPr>
          <w:p w14:paraId="2EB0AB1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Open</w:t>
            </w:r>
          </w:p>
        </w:tc>
      </w:tr>
      <w:tr w:rsidR="002B183A" w:rsidRPr="00BB346A" w14:paraId="4AA02A28" w14:textId="77777777" w:rsidTr="002923F3">
        <w:trPr>
          <w:cantSplit/>
          <w:trHeight w:val="449"/>
        </w:trPr>
        <w:tc>
          <w:tcPr>
            <w:tcW w:w="972" w:type="dxa"/>
            <w:vAlign w:val="top"/>
          </w:tcPr>
          <w:p w14:paraId="3EE380D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3</w:t>
            </w:r>
          </w:p>
        </w:tc>
        <w:tc>
          <w:tcPr>
            <w:tcW w:w="4986" w:type="dxa"/>
            <w:vAlign w:val="top"/>
          </w:tcPr>
          <w:p w14:paraId="38D2703A" w14:textId="77777777" w:rsidR="002B183A" w:rsidRPr="009876A6" w:rsidRDefault="002B183A" w:rsidP="002923F3">
            <w:pPr>
              <w:spacing w:before="60"/>
              <w:jc w:val="left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Regulatory positions on consent wording and loyalty benefits (R-04), to be confirmed by TASCO legal</w:t>
            </w:r>
          </w:p>
        </w:tc>
        <w:tc>
          <w:tcPr>
            <w:tcW w:w="2097" w:type="dxa"/>
            <w:vAlign w:val="top"/>
          </w:tcPr>
          <w:p w14:paraId="7C283CC7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Compliance and Legal</w:t>
            </w:r>
          </w:p>
        </w:tc>
        <w:tc>
          <w:tcPr>
            <w:tcW w:w="972" w:type="dxa"/>
            <w:vAlign w:val="top"/>
          </w:tcPr>
          <w:p w14:paraId="2EB0AB1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Open</w:t>
            </w:r>
          </w:p>
        </w:tc>
      </w:tr>
    </w:tbl>
    <w:p w14:paraId="57CC15FC" w14:textId="77777777" w:rsidR="002B183A" w:rsidRDefault="002B183A" w:rsidP="002B183A">
      <w:pPr>
        <w:jc w:val="both"/>
        <w:rPr>
          <w:rFonts w:ascii="Segoe UI" w:eastAsia="Arial" w:hAnsi="Segoe UI" w:cs="Segoe UI"/>
          <w:color w:val="101820"/>
          <w:sz w:val="22"/>
        </w:rPr>
      </w:pPr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062"/>
        <w:gridCol w:w="1671"/>
        <w:gridCol w:w="2619"/>
        <w:gridCol w:w="3675"/>
      </w:tblGrid>
      <w:tr w:rsidR="002B183A" w14:paraId="731A77C7" w14:textId="77777777" w:rsidTr="002923F3">
        <w:trPr>
          <w:cantSplit/>
          <w:trHeight w:val="440"/>
          <w:tblHeader/>
        </w:trPr>
        <w:tc>
          <w:tcPr>
            <w:tcW w:w="1062" w:type="dxa"/>
            <w:shd w:val="clear" w:color="auto" w:fill="0F4761"/>
            <w:vAlign w:val="center"/>
          </w:tcPr>
          <w:p w14:paraId="2799E846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 xml:space="preserve">Sign Off </w:t>
            </w: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671" w:type="dxa"/>
            <w:shd w:val="clear" w:color="auto" w:fill="0F4761"/>
            <w:vAlign w:val="center"/>
          </w:tcPr>
          <w:p w14:paraId="56708A83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Signature</w:t>
            </w:r>
          </w:p>
        </w:tc>
        <w:tc>
          <w:tcPr>
            <w:tcW w:w="2619" w:type="dxa"/>
            <w:shd w:val="clear" w:color="auto" w:fill="0F4761"/>
            <w:vAlign w:val="center"/>
          </w:tcPr>
          <w:p w14:paraId="367EAF90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Approved By</w:t>
            </w:r>
          </w:p>
        </w:tc>
        <w:tc>
          <w:tcPr>
            <w:tcW w:w="3675" w:type="dxa"/>
            <w:shd w:val="clear" w:color="auto" w:fill="0F4761"/>
            <w:vAlign w:val="center"/>
          </w:tcPr>
          <w:p w14:paraId="3521F756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Department &amp; Project Role</w:t>
            </w:r>
          </w:p>
        </w:tc>
      </w:tr>
      <w:tr w:rsidR="002B183A" w:rsidRPr="00BB346A" w14:paraId="2AD1806B" w14:textId="77777777" w:rsidTr="002923F3">
        <w:trPr>
          <w:cantSplit/>
          <w:trHeight w:val="760"/>
        </w:trPr>
        <w:tc>
          <w:tcPr>
            <w:tcW w:w="1062" w:type="dxa"/>
            <w:vAlign w:val="top"/>
          </w:tcPr>
          <w:p w14:paraId="59720FD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/>
            </w:r>
          </w:p>
        </w:tc>
        <w:tc>
          <w:tcPr>
            <w:tcW w:w="1671" w:type="dxa"/>
            <w:vAlign w:val="top"/>
          </w:tcPr>
          <w:p w14:paraId="07D5AEF4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/>
            </w:r>
          </w:p>
        </w:tc>
        <w:tc>
          <w:tcPr>
            <w:tcW w:w="2619" w:type="dxa"/>
            <w:vAlign w:val="top"/>
          </w:tcPr>
          <w:p w14:paraId="2BA57AF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Insurance</w:t>
            </w:r>
          </w:p>
        </w:tc>
        <w:tc>
          <w:tcPr>
            <w:tcW w:w="3675" w:type="dxa"/>
            <w:vAlign w:val="top"/>
          </w:tcPr>
          <w:p w14:paraId="066A4127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Programme Sponsor</w:t>
            </w:r>
          </w:p>
        </w:tc>
      </w:tr>
      <w:tr w:rsidR="002B183A" w:rsidRPr="00BB346A" w14:paraId="2AD1806B" w14:textId="77777777" w:rsidTr="002923F3">
        <w:trPr>
          <w:cantSplit/>
          <w:trHeight w:val="760"/>
        </w:trPr>
        <w:tc>
          <w:tcPr>
            <w:tcW w:w="1062" w:type="dxa"/>
            <w:vAlign w:val="top"/>
          </w:tcPr>
          <w:p w14:paraId="59720FD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/>
            </w:r>
          </w:p>
        </w:tc>
        <w:tc>
          <w:tcPr>
            <w:tcW w:w="1671" w:type="dxa"/>
            <w:vAlign w:val="top"/>
          </w:tcPr>
          <w:p w14:paraId="07D5AEF4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/>
            </w:r>
          </w:p>
        </w:tc>
        <w:tc>
          <w:tcPr>
            <w:tcW w:w="2619" w:type="dxa"/>
            <w:vAlign w:val="top"/>
          </w:tcPr>
          <w:p w14:paraId="2BA57AF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Insurance</w:t>
            </w:r>
          </w:p>
        </w:tc>
        <w:tc>
          <w:tcPr>
            <w:tcW w:w="3675" w:type="dxa"/>
            <w:vAlign w:val="top"/>
          </w:tcPr>
          <w:p w14:paraId="066A4127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Programme Management</w:t>
            </w:r>
          </w:p>
        </w:tc>
      </w:tr>
      <w:tr w:rsidR="002B183A" w:rsidRPr="00BB346A" w14:paraId="2AD1806B" w14:textId="77777777" w:rsidTr="002923F3">
        <w:trPr>
          <w:cantSplit/>
          <w:trHeight w:val="760"/>
        </w:trPr>
        <w:tc>
          <w:tcPr>
            <w:tcW w:w="1062" w:type="dxa"/>
            <w:vAlign w:val="top"/>
          </w:tcPr>
          <w:p w14:paraId="59720FD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/>
            </w:r>
          </w:p>
        </w:tc>
        <w:tc>
          <w:tcPr>
            <w:tcW w:w="1671" w:type="dxa"/>
            <w:vAlign w:val="top"/>
          </w:tcPr>
          <w:p w14:paraId="07D5AEF4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/>
            </w:r>
          </w:p>
        </w:tc>
        <w:tc>
          <w:tcPr>
            <w:tcW w:w="2619" w:type="dxa"/>
            <w:vAlign w:val="top"/>
          </w:tcPr>
          <w:p w14:paraId="2BA57AF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iorta TechNXT</w:t>
            </w:r>
          </w:p>
        </w:tc>
        <w:tc>
          <w:tcPr>
            <w:tcW w:w="3675" w:type="dxa"/>
            <w:vAlign w:val="top"/>
          </w:tcPr>
          <w:p w14:paraId="066A4127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Delivery Management</w:t>
            </w:r>
          </w:p>
        </w:tc>
      </w:tr>
    </w:tbl>
    <w:p w14:paraId="1146A836" w14:textId="10B273DD" w:rsidR="00EE516B" w:rsidRDefault="002B183A">
      <w:r w:rsidRPr="00FE19FE">
        <w:br w:type="page"/>
      </w:r>
    </w:p>
    <w:p w14:paraId="1F938E87" w14:textId="77777777" w:rsidR="007B4988" w:rsidRDefault="007B4988"/>
    <w:p w14:paraId="4553482A" w14:textId="1F0B5849" w:rsidR="008501FA" w:rsidRPr="00EF479A" w:rsidRDefault="006470D1" w:rsidP="3B384731">
      <w:r>
        <w:rPr>
          <w:noProof/>
        </w:rPr>
        <w:drawing>
          <wp:anchor distT="0" distB="0" distL="114300" distR="114300" simplePos="0" relativeHeight="251658240" behindDoc="1" locked="0" layoutInCell="1" allowOverlap="1" wp14:anchorId="769CEDFB" wp14:editId="0E98DE0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548440" cy="10677525"/>
            <wp:effectExtent l="0" t="0" r="0" b="0"/>
            <wp:wrapNone/>
            <wp:docPr id="88843429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549725D-CA62-47A1-A957-457A136796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34296" name="Picture 88843429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440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501FA" w:rsidRPr="00EF479A" w:rsidSect="004477F0">
      <w:footerReference w:type="default" r:id="rId14"/>
      <w:headerReference w:type="first" r:id="rId15"/>
      <w:footerReference w:type="first" r:id="rId16"/>
      <w:pgSz w:w="11907" w:h="16839" w:code="9"/>
      <w:pgMar w:top="1440" w:right="1440" w:bottom="1440" w:left="1440" w:header="113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D9D5A" w14:textId="77777777" w:rsidR="00A242E6" w:rsidRDefault="00A242E6">
      <w:pPr>
        <w:spacing w:after="0" w:line="240" w:lineRule="auto"/>
      </w:pPr>
      <w:r>
        <w:separator/>
      </w:r>
    </w:p>
  </w:endnote>
  <w:endnote w:type="continuationSeparator" w:id="0">
    <w:p w14:paraId="749EBE52" w14:textId="77777777" w:rsidR="00A242E6" w:rsidRDefault="00A24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2981B" w14:textId="6A123F5D" w:rsidR="00EC1FCB" w:rsidRDefault="00EC1FCB">
    <w:pPr>
      <w:pStyle w:val="Footer"/>
    </w:pPr>
    <w:r>
      <w:rPr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5915C0C7" wp14:editId="4783279C">
          <wp:simplePos x="0" y="0"/>
          <wp:positionH relativeFrom="page">
            <wp:align>left</wp:align>
          </wp:positionH>
          <wp:positionV relativeFrom="paragraph">
            <wp:posOffset>-707666</wp:posOffset>
          </wp:positionV>
          <wp:extent cx="8778222" cy="885012"/>
          <wp:effectExtent l="0" t="0" r="4445" b="0"/>
          <wp:wrapNone/>
          <wp:docPr id="1180669579" name="Picture 11806695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78222" cy="8850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E75530" w14:paraId="7DEADF60" w14:textId="77777777" w:rsidTr="2EB1E806">
      <w:trPr>
        <w:trHeight w:val="300"/>
      </w:trPr>
      <w:tc>
        <w:tcPr>
          <w:tcW w:w="3005" w:type="dxa"/>
        </w:tcPr>
        <w:p w14:paraId="1EDD45F7" w14:textId="77777777" w:rsidR="00E75530" w:rsidRDefault="00E75530" w:rsidP="2EB1E806">
          <w:pPr>
            <w:pStyle w:val="Header"/>
            <w:ind w:left="-115"/>
          </w:pPr>
        </w:p>
      </w:tc>
      <w:tc>
        <w:tcPr>
          <w:tcW w:w="3005" w:type="dxa"/>
        </w:tcPr>
        <w:p w14:paraId="29D1E92D" w14:textId="77777777" w:rsidR="00E75530" w:rsidRDefault="00E75530" w:rsidP="2EB1E806">
          <w:pPr>
            <w:pStyle w:val="Header"/>
            <w:jc w:val="center"/>
          </w:pPr>
        </w:p>
      </w:tc>
      <w:tc>
        <w:tcPr>
          <w:tcW w:w="3005" w:type="dxa"/>
        </w:tcPr>
        <w:p w14:paraId="74EB3205" w14:textId="77777777" w:rsidR="00E75530" w:rsidRDefault="00E75530" w:rsidP="2EB1E806">
          <w:pPr>
            <w:pStyle w:val="Header"/>
            <w:ind w:right="-115"/>
            <w:jc w:val="right"/>
          </w:pPr>
        </w:p>
      </w:tc>
    </w:tr>
  </w:tbl>
  <w:p w14:paraId="368865EE" w14:textId="77777777" w:rsidR="00E75530" w:rsidRDefault="00E755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557CB" w14:textId="77777777" w:rsidR="00A242E6" w:rsidRDefault="00A242E6">
      <w:pPr>
        <w:spacing w:after="0" w:line="240" w:lineRule="auto"/>
      </w:pPr>
      <w:r>
        <w:separator/>
      </w:r>
    </w:p>
  </w:footnote>
  <w:footnote w:type="continuationSeparator" w:id="0">
    <w:p w14:paraId="5971213E" w14:textId="77777777" w:rsidR="00A242E6" w:rsidRDefault="00A242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E75530" w14:paraId="1C7D462D" w14:textId="77777777" w:rsidTr="2EB1E806">
      <w:trPr>
        <w:trHeight w:val="300"/>
      </w:trPr>
      <w:tc>
        <w:tcPr>
          <w:tcW w:w="3005" w:type="dxa"/>
        </w:tcPr>
        <w:p w14:paraId="46651DEC" w14:textId="77777777" w:rsidR="00E75530" w:rsidRDefault="00E75530" w:rsidP="2EB1E806">
          <w:pPr>
            <w:pStyle w:val="Header"/>
            <w:ind w:left="-115"/>
          </w:pPr>
        </w:p>
      </w:tc>
      <w:tc>
        <w:tcPr>
          <w:tcW w:w="3005" w:type="dxa"/>
        </w:tcPr>
        <w:p w14:paraId="3039B243" w14:textId="77777777" w:rsidR="00E75530" w:rsidRDefault="00E75530" w:rsidP="2EB1E806">
          <w:pPr>
            <w:pStyle w:val="Header"/>
            <w:jc w:val="center"/>
          </w:pPr>
        </w:p>
      </w:tc>
      <w:tc>
        <w:tcPr>
          <w:tcW w:w="3005" w:type="dxa"/>
        </w:tcPr>
        <w:p w14:paraId="307891C7" w14:textId="77777777" w:rsidR="00E75530" w:rsidRDefault="00E75530" w:rsidP="2EB1E806">
          <w:pPr>
            <w:pStyle w:val="Header"/>
            <w:ind w:right="-115"/>
            <w:jc w:val="right"/>
          </w:pPr>
        </w:p>
      </w:tc>
    </w:tr>
  </w:tbl>
  <w:p w14:paraId="0CF9FFBF" w14:textId="77777777" w:rsidR="00E75530" w:rsidRDefault="00E755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60D61"/>
    <w:multiLevelType w:val="multilevel"/>
    <w:tmpl w:val="2670F7AE"/>
    <w:lvl w:ilvl="0">
      <w:start w:val="1"/>
      <w:numFmt w:val="decimal"/>
      <w:lvlText w:val="%1."/>
      <w:lvlJc w:val="left"/>
      <w:pPr>
        <w:ind w:left="360" w:hanging="360"/>
      </w:pPr>
      <w:rPr>
        <w:rFonts w:ascii="Segoe UI" w:hAnsi="Segoe UI" w:hint="default"/>
        <w:b/>
        <w:i w:val="0"/>
        <w:color w:val="003399"/>
        <w:sz w:val="28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ascii="Segoe UI" w:hAnsi="Segoe UI" w:hint="default"/>
        <w:b/>
        <w:i w:val="0"/>
        <w:color w:val="0F4761"/>
        <w:sz w:val="26"/>
        <w:szCs w:val="26"/>
      </w:rPr>
    </w:lvl>
    <w:lvl w:ilvl="2">
      <w:start w:val="1"/>
      <w:numFmt w:val="decimal"/>
      <w:pStyle w:val="Heading3"/>
      <w:lvlText w:val="%1.%2.%3."/>
      <w:lvlJc w:val="left"/>
      <w:pPr>
        <w:ind w:left="864" w:hanging="864"/>
      </w:pPr>
      <w:rPr>
        <w:rFonts w:ascii="Segoe UI" w:hAnsi="Segoe UI" w:hint="default"/>
        <w:b/>
        <w:i w:val="0"/>
        <w:color w:val="0F4761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316623F"/>
    <w:multiLevelType w:val="multilevel"/>
    <w:tmpl w:val="2670F7AE"/>
    <w:lvl w:ilvl="0">
      <w:start w:val="1"/>
      <w:numFmt w:val="decimal"/>
      <w:lvlText w:val="%1."/>
      <w:lvlJc w:val="left"/>
      <w:pPr>
        <w:ind w:left="360" w:hanging="360"/>
      </w:pPr>
      <w:rPr>
        <w:rFonts w:ascii="Segoe UI" w:hAnsi="Segoe UI" w:hint="default"/>
        <w:b/>
        <w:i w:val="0"/>
        <w:color w:val="003399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Segoe UI" w:hAnsi="Segoe UI" w:hint="default"/>
        <w:b/>
        <w:i w:val="0"/>
        <w:color w:val="003399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Segoe UI" w:hAnsi="Segoe UI" w:hint="default"/>
        <w:b/>
        <w:i w:val="0"/>
        <w:color w:val="003399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90">
    <w:nsid w:val="A990"/>
    <w:multiLevelType w:val="multilevel"/>
    <w:lvl w:ilvl="0">
      <w:numFmt w:val="bullet"/>
      <w:lvlText w:val="•"/>
      <w:lvlJc w:val="left"/>
      <w:pPr>
        <w:ind w:left="360" w:hanging="284"/>
      </w:pPr>
      <w:rPr>
        <w:rFonts w:ascii="Segoe UI" w:hAnsi="Segoe UI" w:eastAsia="Segoe UI" w:cs="Segoe UI"/>
        <w:color w:val="1D74BA"/>
      </w:rPr>
    </w:lvl>
    <w:lvl w:ilvl="1">
      <w:numFmt w:val="bullet"/>
      <w:lvlText w:val="–"/>
      <w:lvlJc w:val="left"/>
      <w:pPr>
        <w:ind w:left="720" w:hanging="284"/>
      </w:pPr>
      <w:rPr>
        <w:rFonts w:ascii="Segoe UI" w:hAnsi="Segoe UI" w:eastAsia="Segoe UI" w:cs="Segoe UI"/>
        <w:color w:val="1D74BA"/>
      </w:rPr>
    </w:lvl>
    <w:lvl w:ilvl="2">
      <w:numFmt w:val="bullet"/>
      <w:lvlText w:val="◦"/>
      <w:lvlJc w:val="left"/>
      <w:pPr>
        <w:ind w:left="1080" w:hanging="284"/>
      </w:pPr>
      <w:rPr>
        <w:rFonts w:ascii="Segoe UI" w:hAnsi="Segoe UI" w:eastAsia="Segoe UI" w:cs="Segoe UI"/>
        <w:color w:val="1D74BA"/>
      </w:rPr>
    </w:lvl>
    <w:lvl w:ilvl="3">
      <w:numFmt w:val="bullet"/>
      <w:lvlText w:val="•"/>
      <w:lvlJc w:val="left"/>
      <w:pPr>
        <w:ind w:left="1440" w:hanging="284"/>
      </w:pPr>
      <w:rPr>
        <w:rFonts w:ascii="Segoe UI" w:hAnsi="Segoe UI" w:eastAsia="Segoe UI" w:cs="Segoe UI"/>
        <w:color w:val="1D74BA"/>
      </w:rPr>
    </w:lvl>
    <w:lvl w:ilvl="4">
      <w:numFmt w:val="bullet"/>
      <w:lvlText w:val="–"/>
      <w:lvlJc w:val="left"/>
      <w:pPr>
        <w:ind w:left="1800" w:hanging="284"/>
      </w:pPr>
      <w:rPr>
        <w:rFonts w:ascii="Segoe UI" w:hAnsi="Segoe UI" w:eastAsia="Segoe UI" w:cs="Segoe UI"/>
        <w:color w:val="1D74BA"/>
      </w:rPr>
    </w:lvl>
    <w:lvl w:ilvl="5">
      <w:numFmt w:val="bullet"/>
      <w:lvlText w:val="◦"/>
      <w:lvlJc w:val="left"/>
      <w:pPr>
        <w:ind w:left="2160" w:hanging="284"/>
      </w:pPr>
      <w:rPr>
        <w:rFonts w:ascii="Segoe UI" w:hAnsi="Segoe UI" w:eastAsia="Segoe UI" w:cs="Segoe UI"/>
        <w:color w:val="1D74BA"/>
      </w:rPr>
    </w:lvl>
    <w:lvl w:ilvl="6">
      <w:numFmt w:val="bullet"/>
      <w:lvlText w:val="•"/>
      <w:lvlJc w:val="left"/>
      <w:pPr>
        <w:ind w:left="2520" w:hanging="284"/>
      </w:pPr>
      <w:rPr>
        <w:rFonts w:ascii="Segoe UI" w:hAnsi="Segoe UI" w:eastAsia="Segoe UI" w:cs="Segoe UI"/>
        <w:color w:val="1D74BA"/>
      </w:rPr>
    </w:lvl>
    <w:lvl w:ilvl="7">
      <w:numFmt w:val="bullet"/>
      <w:lvlText w:val="–"/>
      <w:lvlJc w:val="left"/>
      <w:pPr>
        <w:ind w:left="2880" w:hanging="284"/>
      </w:pPr>
      <w:rPr>
        <w:rFonts w:ascii="Segoe UI" w:hAnsi="Segoe UI" w:eastAsia="Segoe UI" w:cs="Segoe UI"/>
        <w:color w:val="1D74BA"/>
      </w:rPr>
    </w:lvl>
    <w:lvl w:ilvl="8">
      <w:numFmt w:val="bullet"/>
      <w:lvlText w:val="◦"/>
      <w:lvlJc w:val="left"/>
      <w:pPr>
        <w:ind w:left="3240" w:hanging="284"/>
      </w:pPr>
      <w:rPr>
        <w:rFonts w:ascii="Segoe UI" w:hAnsi="Segoe UI" w:eastAsia="Segoe UI" w:cs="Segoe UI"/>
        <w:color w:val="1D74BA"/>
      </w:rPr>
    </w:lvl>
  </w:abstractNum>
  <w:num w:numId="1" w16cid:durableId="1413504409">
    <w:abstractNumId w:val="0"/>
  </w:num>
  <w:num w:numId="2" w16cid:durableId="1722510407">
    <w:abstractNumId w:val="1"/>
  </w:num>
  <w:num w:numId="1000">
    <w:abstractNumId w:val="9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619CAF"/>
    <w:rsid w:val="0000218A"/>
    <w:rsid w:val="00042B57"/>
    <w:rsid w:val="00052F56"/>
    <w:rsid w:val="0005688C"/>
    <w:rsid w:val="000568F1"/>
    <w:rsid w:val="00063BDA"/>
    <w:rsid w:val="000A49F2"/>
    <w:rsid w:val="000B63E5"/>
    <w:rsid w:val="000C0114"/>
    <w:rsid w:val="000C1431"/>
    <w:rsid w:val="000E2CCE"/>
    <w:rsid w:val="000E3A8A"/>
    <w:rsid w:val="000E6F4B"/>
    <w:rsid w:val="000F3FF5"/>
    <w:rsid w:val="000F41A4"/>
    <w:rsid w:val="000F4CCD"/>
    <w:rsid w:val="000F4EB5"/>
    <w:rsid w:val="00101A6A"/>
    <w:rsid w:val="00104904"/>
    <w:rsid w:val="00117C0B"/>
    <w:rsid w:val="001315CF"/>
    <w:rsid w:val="00132BD0"/>
    <w:rsid w:val="00146E08"/>
    <w:rsid w:val="00165D5A"/>
    <w:rsid w:val="0017322E"/>
    <w:rsid w:val="00175012"/>
    <w:rsid w:val="001820B4"/>
    <w:rsid w:val="0019429B"/>
    <w:rsid w:val="001A0057"/>
    <w:rsid w:val="001A0CA8"/>
    <w:rsid w:val="001A308F"/>
    <w:rsid w:val="001B5005"/>
    <w:rsid w:val="001D3CAE"/>
    <w:rsid w:val="001D5721"/>
    <w:rsid w:val="001D63DE"/>
    <w:rsid w:val="001E33AB"/>
    <w:rsid w:val="001E62E7"/>
    <w:rsid w:val="001F3059"/>
    <w:rsid w:val="0021019E"/>
    <w:rsid w:val="00217326"/>
    <w:rsid w:val="00230C12"/>
    <w:rsid w:val="002552E7"/>
    <w:rsid w:val="00266FD0"/>
    <w:rsid w:val="00267AA2"/>
    <w:rsid w:val="00277C08"/>
    <w:rsid w:val="00284E6D"/>
    <w:rsid w:val="00291400"/>
    <w:rsid w:val="00293152"/>
    <w:rsid w:val="002964A1"/>
    <w:rsid w:val="002A380B"/>
    <w:rsid w:val="002A7439"/>
    <w:rsid w:val="002B183A"/>
    <w:rsid w:val="002C210A"/>
    <w:rsid w:val="002C4C51"/>
    <w:rsid w:val="002C702D"/>
    <w:rsid w:val="002D24EB"/>
    <w:rsid w:val="002D2E94"/>
    <w:rsid w:val="002D72E9"/>
    <w:rsid w:val="002E01F0"/>
    <w:rsid w:val="002E33DD"/>
    <w:rsid w:val="002F0D17"/>
    <w:rsid w:val="002F14E6"/>
    <w:rsid w:val="002F15FD"/>
    <w:rsid w:val="002F2AB4"/>
    <w:rsid w:val="00302D80"/>
    <w:rsid w:val="003066FC"/>
    <w:rsid w:val="00332B5D"/>
    <w:rsid w:val="003352B3"/>
    <w:rsid w:val="00342678"/>
    <w:rsid w:val="00344ED2"/>
    <w:rsid w:val="0034793E"/>
    <w:rsid w:val="00347EBD"/>
    <w:rsid w:val="003508EA"/>
    <w:rsid w:val="0036406E"/>
    <w:rsid w:val="003746B4"/>
    <w:rsid w:val="00375053"/>
    <w:rsid w:val="00386071"/>
    <w:rsid w:val="003929B6"/>
    <w:rsid w:val="003A2082"/>
    <w:rsid w:val="003A560F"/>
    <w:rsid w:val="003A6145"/>
    <w:rsid w:val="003A6CCA"/>
    <w:rsid w:val="003A74E0"/>
    <w:rsid w:val="003C3BF4"/>
    <w:rsid w:val="003C514A"/>
    <w:rsid w:val="003C7B6B"/>
    <w:rsid w:val="003D05E3"/>
    <w:rsid w:val="003F0D95"/>
    <w:rsid w:val="00405DF9"/>
    <w:rsid w:val="00413CDB"/>
    <w:rsid w:val="004170F2"/>
    <w:rsid w:val="00432E0E"/>
    <w:rsid w:val="00435034"/>
    <w:rsid w:val="00435327"/>
    <w:rsid w:val="0043534B"/>
    <w:rsid w:val="0044099E"/>
    <w:rsid w:val="00442F0D"/>
    <w:rsid w:val="004477F0"/>
    <w:rsid w:val="004503D4"/>
    <w:rsid w:val="00452E5E"/>
    <w:rsid w:val="004647A1"/>
    <w:rsid w:val="00474CE6"/>
    <w:rsid w:val="004913D2"/>
    <w:rsid w:val="004A02DA"/>
    <w:rsid w:val="004A1359"/>
    <w:rsid w:val="004B2DAF"/>
    <w:rsid w:val="004B625D"/>
    <w:rsid w:val="004C7746"/>
    <w:rsid w:val="004E295B"/>
    <w:rsid w:val="004E4690"/>
    <w:rsid w:val="004F06C7"/>
    <w:rsid w:val="004F3C1D"/>
    <w:rsid w:val="0050492D"/>
    <w:rsid w:val="00506CE2"/>
    <w:rsid w:val="005117B0"/>
    <w:rsid w:val="00515DD1"/>
    <w:rsid w:val="00526F27"/>
    <w:rsid w:val="005274C4"/>
    <w:rsid w:val="00527DC4"/>
    <w:rsid w:val="00530CF1"/>
    <w:rsid w:val="00551FBB"/>
    <w:rsid w:val="00557619"/>
    <w:rsid w:val="0056723D"/>
    <w:rsid w:val="005801AB"/>
    <w:rsid w:val="00582D45"/>
    <w:rsid w:val="005965C9"/>
    <w:rsid w:val="00597C78"/>
    <w:rsid w:val="005B20F7"/>
    <w:rsid w:val="005C6A01"/>
    <w:rsid w:val="005D416F"/>
    <w:rsid w:val="005D66A3"/>
    <w:rsid w:val="005E50D8"/>
    <w:rsid w:val="005E5BDB"/>
    <w:rsid w:val="006035C8"/>
    <w:rsid w:val="0061697C"/>
    <w:rsid w:val="006205C2"/>
    <w:rsid w:val="00635465"/>
    <w:rsid w:val="00636B4E"/>
    <w:rsid w:val="0064254C"/>
    <w:rsid w:val="006470D1"/>
    <w:rsid w:val="006636A0"/>
    <w:rsid w:val="00672F40"/>
    <w:rsid w:val="006A00B9"/>
    <w:rsid w:val="006A3B4D"/>
    <w:rsid w:val="006A5A6F"/>
    <w:rsid w:val="006B0390"/>
    <w:rsid w:val="006C0479"/>
    <w:rsid w:val="006D5B1D"/>
    <w:rsid w:val="006E299A"/>
    <w:rsid w:val="006F00EA"/>
    <w:rsid w:val="006F1953"/>
    <w:rsid w:val="006F76BF"/>
    <w:rsid w:val="006F794B"/>
    <w:rsid w:val="00702A04"/>
    <w:rsid w:val="0070768E"/>
    <w:rsid w:val="00716258"/>
    <w:rsid w:val="0072222E"/>
    <w:rsid w:val="00725646"/>
    <w:rsid w:val="00732BA3"/>
    <w:rsid w:val="0073383D"/>
    <w:rsid w:val="00734A87"/>
    <w:rsid w:val="007526C4"/>
    <w:rsid w:val="00760478"/>
    <w:rsid w:val="0077617F"/>
    <w:rsid w:val="007857E1"/>
    <w:rsid w:val="00785E13"/>
    <w:rsid w:val="00792F52"/>
    <w:rsid w:val="007A4A03"/>
    <w:rsid w:val="007A633B"/>
    <w:rsid w:val="007A71F1"/>
    <w:rsid w:val="007B02D5"/>
    <w:rsid w:val="007B4988"/>
    <w:rsid w:val="007D7821"/>
    <w:rsid w:val="007F11E9"/>
    <w:rsid w:val="007F30C2"/>
    <w:rsid w:val="007F472F"/>
    <w:rsid w:val="008064DE"/>
    <w:rsid w:val="00806B12"/>
    <w:rsid w:val="00810A00"/>
    <w:rsid w:val="008115F2"/>
    <w:rsid w:val="008142DD"/>
    <w:rsid w:val="00816F52"/>
    <w:rsid w:val="0082012F"/>
    <w:rsid w:val="00822C46"/>
    <w:rsid w:val="0083379F"/>
    <w:rsid w:val="0084601F"/>
    <w:rsid w:val="00850063"/>
    <w:rsid w:val="008501FA"/>
    <w:rsid w:val="00851AA2"/>
    <w:rsid w:val="0085347F"/>
    <w:rsid w:val="0088114F"/>
    <w:rsid w:val="00883FF9"/>
    <w:rsid w:val="008962E2"/>
    <w:rsid w:val="008966B3"/>
    <w:rsid w:val="008B2159"/>
    <w:rsid w:val="008C0C77"/>
    <w:rsid w:val="008E432C"/>
    <w:rsid w:val="00905E50"/>
    <w:rsid w:val="009109A9"/>
    <w:rsid w:val="0091281E"/>
    <w:rsid w:val="00913938"/>
    <w:rsid w:val="00914989"/>
    <w:rsid w:val="00915839"/>
    <w:rsid w:val="00922A5C"/>
    <w:rsid w:val="009319BC"/>
    <w:rsid w:val="00962B66"/>
    <w:rsid w:val="009853D4"/>
    <w:rsid w:val="00995621"/>
    <w:rsid w:val="009A509A"/>
    <w:rsid w:val="009B6DDB"/>
    <w:rsid w:val="009C183B"/>
    <w:rsid w:val="009C3226"/>
    <w:rsid w:val="009C54E5"/>
    <w:rsid w:val="009D1BA6"/>
    <w:rsid w:val="009E5C44"/>
    <w:rsid w:val="009F60B4"/>
    <w:rsid w:val="00A05431"/>
    <w:rsid w:val="00A12B12"/>
    <w:rsid w:val="00A242E6"/>
    <w:rsid w:val="00A42EF2"/>
    <w:rsid w:val="00A446DF"/>
    <w:rsid w:val="00A63673"/>
    <w:rsid w:val="00A87E4D"/>
    <w:rsid w:val="00A948CA"/>
    <w:rsid w:val="00A967C0"/>
    <w:rsid w:val="00AB1D58"/>
    <w:rsid w:val="00AB415C"/>
    <w:rsid w:val="00AB5A66"/>
    <w:rsid w:val="00AB70BF"/>
    <w:rsid w:val="00AD2457"/>
    <w:rsid w:val="00AD7E84"/>
    <w:rsid w:val="00AF3120"/>
    <w:rsid w:val="00B03E51"/>
    <w:rsid w:val="00B11280"/>
    <w:rsid w:val="00B145FD"/>
    <w:rsid w:val="00B34C4C"/>
    <w:rsid w:val="00B36355"/>
    <w:rsid w:val="00B41393"/>
    <w:rsid w:val="00B55DFA"/>
    <w:rsid w:val="00B65D18"/>
    <w:rsid w:val="00B67F6B"/>
    <w:rsid w:val="00B92133"/>
    <w:rsid w:val="00BA7965"/>
    <w:rsid w:val="00BB13EB"/>
    <w:rsid w:val="00BB70EE"/>
    <w:rsid w:val="00BD09D6"/>
    <w:rsid w:val="00BD192A"/>
    <w:rsid w:val="00BE35E1"/>
    <w:rsid w:val="00BE7A2E"/>
    <w:rsid w:val="00BF0754"/>
    <w:rsid w:val="00BF0B1E"/>
    <w:rsid w:val="00BF4953"/>
    <w:rsid w:val="00C33D1A"/>
    <w:rsid w:val="00C453D8"/>
    <w:rsid w:val="00C53EE2"/>
    <w:rsid w:val="00C7250E"/>
    <w:rsid w:val="00C73E90"/>
    <w:rsid w:val="00C86161"/>
    <w:rsid w:val="00CA2181"/>
    <w:rsid w:val="00CA3397"/>
    <w:rsid w:val="00CA3752"/>
    <w:rsid w:val="00CB72C2"/>
    <w:rsid w:val="00CC174D"/>
    <w:rsid w:val="00CD4769"/>
    <w:rsid w:val="00CE291D"/>
    <w:rsid w:val="00CE412D"/>
    <w:rsid w:val="00CE55AD"/>
    <w:rsid w:val="00CE59F7"/>
    <w:rsid w:val="00CF36DA"/>
    <w:rsid w:val="00D0151B"/>
    <w:rsid w:val="00D1397F"/>
    <w:rsid w:val="00D1561E"/>
    <w:rsid w:val="00D35AD1"/>
    <w:rsid w:val="00D46CF6"/>
    <w:rsid w:val="00D63589"/>
    <w:rsid w:val="00D64521"/>
    <w:rsid w:val="00D75FF4"/>
    <w:rsid w:val="00D828C7"/>
    <w:rsid w:val="00D8334F"/>
    <w:rsid w:val="00D9094D"/>
    <w:rsid w:val="00DA62B8"/>
    <w:rsid w:val="00DB603E"/>
    <w:rsid w:val="00DC143C"/>
    <w:rsid w:val="00DC5AFC"/>
    <w:rsid w:val="00DD0B50"/>
    <w:rsid w:val="00DD20A9"/>
    <w:rsid w:val="00DD615A"/>
    <w:rsid w:val="00DD7430"/>
    <w:rsid w:val="00DF2344"/>
    <w:rsid w:val="00E06159"/>
    <w:rsid w:val="00E1122A"/>
    <w:rsid w:val="00E1377B"/>
    <w:rsid w:val="00E1476A"/>
    <w:rsid w:val="00E2456D"/>
    <w:rsid w:val="00E25350"/>
    <w:rsid w:val="00E46E45"/>
    <w:rsid w:val="00E53623"/>
    <w:rsid w:val="00E53FF8"/>
    <w:rsid w:val="00E621D8"/>
    <w:rsid w:val="00E75530"/>
    <w:rsid w:val="00E82847"/>
    <w:rsid w:val="00E92ED2"/>
    <w:rsid w:val="00EA48D7"/>
    <w:rsid w:val="00EC0DBF"/>
    <w:rsid w:val="00EC1FCB"/>
    <w:rsid w:val="00EC3C7D"/>
    <w:rsid w:val="00EE516B"/>
    <w:rsid w:val="00EF479A"/>
    <w:rsid w:val="00F00ADB"/>
    <w:rsid w:val="00F22B91"/>
    <w:rsid w:val="00F26BAF"/>
    <w:rsid w:val="00F27EC9"/>
    <w:rsid w:val="00F40452"/>
    <w:rsid w:val="00F51C7F"/>
    <w:rsid w:val="00F65143"/>
    <w:rsid w:val="00F65451"/>
    <w:rsid w:val="00F700CF"/>
    <w:rsid w:val="00F70204"/>
    <w:rsid w:val="00F709B7"/>
    <w:rsid w:val="00F77716"/>
    <w:rsid w:val="00FB21C6"/>
    <w:rsid w:val="00FB2A82"/>
    <w:rsid w:val="00FD67F2"/>
    <w:rsid w:val="00FF7FF8"/>
    <w:rsid w:val="01CA9D05"/>
    <w:rsid w:val="055BFCB9"/>
    <w:rsid w:val="0687B841"/>
    <w:rsid w:val="0E539202"/>
    <w:rsid w:val="1763029D"/>
    <w:rsid w:val="1795DE0D"/>
    <w:rsid w:val="19651ED0"/>
    <w:rsid w:val="1A2B37AE"/>
    <w:rsid w:val="1B9AC10C"/>
    <w:rsid w:val="1CF41131"/>
    <w:rsid w:val="1DE7F87D"/>
    <w:rsid w:val="22B94435"/>
    <w:rsid w:val="25F16803"/>
    <w:rsid w:val="2810A832"/>
    <w:rsid w:val="29630CD1"/>
    <w:rsid w:val="2A929015"/>
    <w:rsid w:val="2EB1E806"/>
    <w:rsid w:val="2F7DEDA7"/>
    <w:rsid w:val="3050B4C0"/>
    <w:rsid w:val="3B384731"/>
    <w:rsid w:val="41E865D3"/>
    <w:rsid w:val="423B9943"/>
    <w:rsid w:val="465B543B"/>
    <w:rsid w:val="4FD68526"/>
    <w:rsid w:val="528B570B"/>
    <w:rsid w:val="58619CAF"/>
    <w:rsid w:val="59FE61E3"/>
    <w:rsid w:val="5D67F8AB"/>
    <w:rsid w:val="5EC7D5D1"/>
    <w:rsid w:val="5F792426"/>
    <w:rsid w:val="6241B22A"/>
    <w:rsid w:val="65EF8D46"/>
    <w:rsid w:val="6BFAB9C3"/>
    <w:rsid w:val="6D706F02"/>
    <w:rsid w:val="75B95BFB"/>
    <w:rsid w:val="76E53D01"/>
    <w:rsid w:val="783CC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95C7AF"/>
  <w15:chartTrackingRefBased/>
  <w15:docId w15:val="{E1FC862B-6EF8-40CD-AC6E-FBDED42DD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8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1B9AC10C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1B9AC10C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7526C4"/>
  </w:style>
  <w:style w:type="character" w:customStyle="1" w:styleId="FooterChar">
    <w:name w:val="Footer Char"/>
    <w:basedOn w:val="DefaultParagraphFont"/>
    <w:link w:val="Footer"/>
    <w:uiPriority w:val="99"/>
    <w:rsid w:val="007A4A03"/>
  </w:style>
  <w:style w:type="character" w:customStyle="1" w:styleId="Heading1Char">
    <w:name w:val="Heading 1 Char"/>
    <w:basedOn w:val="DefaultParagraphFont"/>
    <w:link w:val="Heading1"/>
    <w:uiPriority w:val="9"/>
    <w:rsid w:val="002B1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uiPriority w:val="99"/>
    <w:unhideWhenUsed/>
    <w:rsid w:val="002B183A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B183A"/>
    <w:pPr>
      <w:spacing w:before="480" w:line="276" w:lineRule="auto"/>
      <w:outlineLvl w:val="9"/>
    </w:pPr>
    <w:rPr>
      <w:rFonts w:ascii="Arial" w:eastAsia="Times New Roman" w:hAnsi="Arial" w:cs="Arial"/>
      <w:bCs/>
      <w:color w:val="365F91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B183A"/>
    <w:pPr>
      <w:tabs>
        <w:tab w:val="left" w:pos="900"/>
        <w:tab w:val="right" w:leader="dot" w:pos="9350"/>
      </w:tabs>
      <w:spacing w:after="100" w:line="276" w:lineRule="auto"/>
      <w:jc w:val="both"/>
    </w:pPr>
    <w:rPr>
      <w:rFonts w:ascii="Segoe UI" w:eastAsia="Times New Roman" w:hAnsi="Segoe UI" w:cs="Times New Roman"/>
      <w:b/>
      <w:color w:val="101820"/>
      <w:sz w:val="20"/>
      <w:szCs w:val="22"/>
      <w:lang w:eastAsia="en-US"/>
    </w:rPr>
  </w:style>
  <w:style w:type="character" w:styleId="BookTitle">
    <w:name w:val="Book Title"/>
    <w:uiPriority w:val="33"/>
    <w:qFormat/>
    <w:rsid w:val="002B183A"/>
    <w:rPr>
      <w:b/>
      <w:bCs/>
      <w:i/>
      <w:iCs/>
      <w:spacing w:val="5"/>
    </w:rPr>
  </w:style>
  <w:style w:type="paragraph" w:styleId="BodyText">
    <w:name w:val="Body Text"/>
    <w:basedOn w:val="Normal"/>
    <w:qFormat/>
    <w:pPr>
      <w:spacing w:before="0" w:after="140" w:line="276" w:lineRule="auto"/>
      <w:jc w:val="both"/>
    </w:pPr>
    <w:rPr>
      <w:rFonts w:ascii="Segoe UI" w:hAnsi="Segoe UI" w:eastAsia="Segoe UI" w:cs="Segoe UI"/>
      <w:color w:val="101820"/>
      <w:sz w:val="22"/>
      <w:szCs w:val="22"/>
    </w:rPr>
  </w:style>
  <w:style w:type="paragraph" w:customStyle="1" w:styleId="FirstParagraph">
    <w:name w:val="First Paragraph"/>
    <w:basedOn w:val="BodyText"/>
    <w:qFormat/>
  </w:style>
  <w:style w:type="paragraph" w:customStyle="1" w:styleId="Compact">
    <w:name w:val="Compact"/>
    <w:basedOn w:val="BodyText"/>
    <w:qFormat/>
    <w:pPr>
      <w:spacing w:before="0" w:after="60"/>
      <w:jc w:val="left"/>
    </w:pPr>
  </w:style>
  <w:style w:type="paragraph" w:customStyle="1" w:styleId="TableText">
    <w:name w:val="Table Text"/>
    <w:basedOn w:val="Normal"/>
    <w:qFormat/>
    <w:pPr>
      <w:spacing w:before="20" w:after="20" w:line="245" w:lineRule="auto"/>
      <w:jc w:val="left"/>
    </w:pPr>
    <w:rPr>
      <w:rFonts w:ascii="Segoe UI" w:hAnsi="Segoe UI" w:eastAsia="Segoe UI" w:cs="Segoe UI"/>
      <w:color w:val="101820"/>
      <w:sz w:val="19"/>
      <w:szCs w:val="19"/>
    </w:rPr>
  </w:style>
  <w:style w:type="paragraph" w:customStyle="1" w:styleId="TableHeading">
    <w:name w:val="Table Heading"/>
    <w:basedOn w:val="TableText"/>
    <w:qFormat/>
    <w:pPr>
      <w:keepNext/>
    </w:pPr>
    <w:rPr>
      <w:b/>
      <w:bCs/>
      <w:color w:val="FFFFFF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numPr>
        <w:ilvl w:val="1"/>
        <w:numId w:val="1"/>
      </w:numPr>
      <w:spacing w:before="280" w:after="100" w:line="259" w:lineRule="auto"/>
      <w:ind w:left="720" w:hanging="720"/>
      <w:outlineLvl w:val="1"/>
    </w:pPr>
    <w:rPr>
      <w:rFonts w:asciiTheme="majorHAnsi" w:eastAsiaTheme="majorEastAsia" w:hAnsiTheme="majorHAnsi" w:cstheme="majorBidi"/>
      <w:b/>
      <w:bCs/>
      <w:color w:val="0F4761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numPr>
        <w:ilvl w:val="2"/>
        <w:numId w:val="1"/>
      </w:numPr>
      <w:spacing w:before="220" w:after="80" w:line="259" w:lineRule="auto"/>
      <w:ind w:left="864" w:hanging="864"/>
      <w:outlineLvl w:val="2"/>
    </w:pPr>
    <w:rPr>
      <w:rFonts w:asciiTheme="majorHAnsi" w:eastAsiaTheme="majorEastAsia" w:hAnsiTheme="majorHAnsi" w:cstheme="majorBidi"/>
      <w:b/>
      <w:bCs/>
      <w:color w:val="0F4761"/>
      <w:sz w:val="23"/>
      <w:szCs w:val="23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80" w:after="60" w:line="259" w:lineRule="auto"/>
      <w:outlineLvl w:val="3"/>
    </w:pPr>
    <w:rPr>
      <w:rFonts w:ascii="Segoe UI" w:hAnsi="Segoe UI" w:eastAsia="Segoe UI" w:cs="Segoe UI"/>
      <w:b/>
      <w:bCs/>
      <w:color w:val="0F4761"/>
      <w:sz w:val="22"/>
      <w:szCs w:val="22"/>
    </w:rPr>
  </w:style>
  <w:style w:type="paragraph" w:styleId="Caption">
    <w:name w:val="caption"/>
    <w:basedOn w:val="Normal"/>
    <w:next w:val="BodyText"/>
    <w:qFormat/>
    <w:pPr>
      <w:spacing w:before="60" w:after="240" w:line="240" w:lineRule="auto"/>
      <w:jc w:val="center"/>
    </w:pPr>
    <w:rPr>
      <w:rFonts w:ascii="Segoe UI" w:hAnsi="Segoe UI" w:eastAsia="Segoe UI" w:cs="Segoe UI"/>
      <w:i/>
      <w:iCs/>
      <w:color w:val="0F4761"/>
      <w:sz w:val="18"/>
      <w:szCs w:val="18"/>
    </w:rPr>
  </w:style>
  <w:style w:type="paragraph" w:customStyle="1" w:styleId="TableCaption">
    <w:name w:val="Table Caption"/>
    <w:basedOn w:val="Caption"/>
    <w:qFormat/>
    <w:pPr>
      <w:keepNext/>
      <w:spacing w:before="160" w:after="80"/>
      <w:jc w:val="left"/>
    </w:pPr>
  </w:style>
  <w:style w:type="paragraph" w:customStyle="1" w:styleId="Figure">
    <w:name w:val="Figure"/>
    <w:basedOn w:val="Normal"/>
    <w:next w:val="Caption"/>
    <w:qFormat/>
    <w:pPr>
      <w:keepNext/>
      <w:spacing w:before="160" w:after="40" w:line="240" w:lineRule="auto"/>
      <w:jc w:val="center"/>
    </w:pPr>
  </w:style>
  <w:style w:type="paragraph" w:customStyle="1" w:styleId="FigureWide">
    <w:name w:val="Figure Wide"/>
    <w:basedOn w:val="Figure"/>
    <w:next w:val="Caption"/>
    <w:qFormat/>
  </w:style>
  <w:style w:type="paragraph" w:customStyle="1" w:styleId="CodeBlock">
    <w:name w:val="Code Block"/>
    <w:basedOn w:val="Normal"/>
    <w:next w:val="BodyText"/>
    <w:qFormat/>
    <w:pPr>
      <w:pBdr>
        <w:top w:val="single" w:sz="4" w:space="4" w:color="D3DCE6"/>
        <w:left w:val="single" w:sz="4" w:space="4" w:color="D3DCE6"/>
        <w:bottom w:val="single" w:sz="4" w:space="4" w:color="D3DCE6"/>
        <w:right w:val="single" w:sz="4" w:space="4" w:color="D3DCE6"/>
      </w:pBdr>
      <w:shd w:val="clear" w:color="auto" w:fill="F3F6FA"/>
      <w:spacing w:before="80" w:after="200" w:line="240" w:lineRule="auto"/>
      <w:ind w:left="113" w:right="113"/>
      <w:jc w:val="left"/>
    </w:pPr>
    <w:rPr>
      <w:rFonts w:ascii="Consolas" w:hAnsi="Consolas" w:eastAsia="Consolas" w:cs="Consolas"/>
      <w:color w:val="1F2937"/>
      <w:sz w:val="18"/>
      <w:szCs w:val="18"/>
    </w:rPr>
  </w:style>
  <w:style w:type="character" w:customStyle="1" w:styleId="CodeChar">
    <w:name w:val="Code Char"/>
    <w:basedOn w:val="DefaultParagraphFont"/>
    <w:qFormat/>
    <w:rPr>
      <w:rFonts w:ascii="Consolas" w:hAnsi="Consolas" w:eastAsia="Consolas" w:cs="Consolas"/>
      <w:color w:val="1F3864"/>
      <w:sz w:val="19"/>
      <w:szCs w:val="19"/>
    </w:rPr>
  </w:style>
  <w:style w:type="paragraph" w:customStyle="1" w:styleId="Callout">
    <w:name w:val="Callout"/>
    <w:basedOn w:val="Normal"/>
    <w:next w:val="BodyText"/>
    <w:qFormat/>
    <w:pPr>
      <w:pBdr>
        <w:left w:val="single" w:sz="24" w:space="8" w:color="1D74BA"/>
      </w:pBdr>
      <w:shd w:val="clear" w:color="auto" w:fill="E8F1FA"/>
      <w:spacing w:before="60" w:after="60" w:line="264" w:lineRule="auto"/>
      <w:ind w:left="227" w:right="113"/>
      <w:jc w:val="left"/>
    </w:pPr>
    <w:rPr>
      <w:rFonts w:ascii="Segoe UI" w:hAnsi="Segoe UI" w:eastAsia="Segoe UI" w:cs="Segoe UI"/>
      <w:color w:val="101820"/>
      <w:sz w:val="21"/>
      <w:szCs w:val="21"/>
    </w:rPr>
  </w:style>
  <w:style w:type="paragraph" w:styleId="TOC2">
    <w:name w:val="toc 2"/>
    <w:basedOn w:val="Normal"/>
    <w:next w:val="Normal"/>
    <w:uiPriority w:val="39"/>
    <w:unhideWhenUsed/>
    <w:pPr>
      <w:tabs>
        <w:tab w:val="left" w:pos="1260"/>
        <w:tab w:val="right" w:leader="dot" w:pos="9350"/>
      </w:tabs>
      <w:spacing w:after="60" w:line="264" w:lineRule="auto"/>
      <w:ind w:left="360"/>
    </w:pPr>
    <w:rPr>
      <w:rFonts w:ascii="Segoe UI" w:hAnsi="Segoe UI" w:eastAsia="Segoe UI" w:cs="Segoe UI"/>
      <w:noProof/>
      <w:color w:val="101820"/>
      <w:sz w:val="19"/>
      <w:szCs w:val="19"/>
    </w:rPr>
  </w:style>
  <w:style w:type="paragraph" w:styleId="TOC3">
    <w:name w:val="toc 3"/>
    <w:basedOn w:val="Normal"/>
    <w:next w:val="Normal"/>
    <w:uiPriority w:val="39"/>
    <w:unhideWhenUsed/>
    <w:pPr>
      <w:tabs>
        <w:tab w:val="left" w:pos="1700"/>
        <w:tab w:val="right" w:leader="dot" w:pos="9350"/>
      </w:tabs>
      <w:spacing w:after="40" w:line="264" w:lineRule="auto"/>
      <w:ind w:left="720"/>
    </w:pPr>
    <w:rPr>
      <w:rFonts w:ascii="Segoe UI" w:hAnsi="Segoe UI" w:eastAsia="Segoe UI" w:cs="Segoe UI"/>
      <w:noProof/>
      <w:color w:val="404A55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16" Type="http://schemas.openxmlformats.org/officeDocument/2006/relationships/footer" Target="footer2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ScaleCrop>false</ScaleCrop>
  <Company>iorta TechNXT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Register</dc:title>
  <dc:subject>TGP-DEL-04</dc:subject>
  <dc:creator>iorta TechNXT</dc:creator>
  <cp:keywords>TGP-DEL-04; TASCO Insurance; iorta TechNXT</cp:keywords>
  <dc:description>TASCO Motor Insurance Growth Platform</dc:description>
  <cp:lastModifiedBy>iorta TechNXT</cp:lastModifiedBy>
  <cp:revision>1</cp:revision>
  <dcterms:created xsi:type="dcterms:W3CDTF">2026-10-08T02:23:27Z</dcterms:created>
  <dcterms:modified xsi:type="dcterms:W3CDTF">2026-10-08T02:23:27Z</dcterms:modified>
</cp:coreProperties>
</file>