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TGP-OPS-03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Disaster Recovery and Business Continuity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Facts that make recovery simpler</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1"/>
      </w:pPr>
      <w:hyperlink w:anchor="_Toc300000005" w:history="1">
        <w:r>
          <w:rPr>
            <w:noProof/>
          </w:rPr>
          <w:t>4.</w:t>
        </w:r>
        <w:r>
          <w:rPr>
            <w:noProof/>
          </w:rPr>
          <w:tab/>
        </w:r>
        <w:r>
          <w:rPr>
            <w:noProof/>
          </w:rPr>
          <w:t xml:space="preserve">Recovery targets</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6</w:t>
        </w:r>
        <w:r>
          <w:rPr>
            <w:noProof/>
            <w:webHidden/>
          </w:rPr>
          <w:fldChar w:fldCharType="end"/>
        </w:r>
      </w:hyperlink>
    </w:p>
    <w:p>
      <w:pPr>
        <w:pStyle w:val="TOC2"/>
      </w:pPr>
      <w:hyperlink w:anchor="_Toc300000006" w:history="1">
        <w:r>
          <w:rPr>
            <w:noProof/>
          </w:rPr>
          <w:t>4.1.</w:t>
        </w:r>
        <w:r>
          <w:rPr>
            <w:noProof/>
          </w:rPr>
          <w:tab/>
        </w:r>
        <w:r>
          <w:rPr>
            <w:noProof/>
          </w:rPr>
          <w:t xml:space="preserve">Commitments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w:t>
        </w:r>
        <w:r>
          <w:rPr>
            <w:noProof/>
            <w:webHidden/>
          </w:rPr>
          <w:fldChar w:fldCharType="end"/>
        </w:r>
      </w:hyperlink>
    </w:p>
    <w:p>
      <w:pPr>
        <w:pStyle w:val="TOC2"/>
      </w:pPr>
      <w:hyperlink w:anchor="_Toc300000007" w:history="1">
        <w:r>
          <w:rPr>
            <w:noProof/>
          </w:rPr>
          <w:t>4.2.</w:t>
        </w:r>
        <w:r>
          <w:rPr>
            <w:noProof/>
          </w:rPr>
          <w:tab/>
        </w:r>
        <w:r>
          <w:rPr>
            <w:noProof/>
          </w:rPr>
          <w:t xml:space="preserve">Business impact analysis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w:t>
        </w:r>
        <w:r>
          <w:rPr>
            <w:noProof/>
            <w:webHidden/>
          </w:rPr>
          <w:fldChar w:fldCharType="end"/>
        </w:r>
      </w:hyperlink>
    </w:p>
    <w:p>
      <w:pPr>
        <w:pStyle w:val="TOC2"/>
      </w:pPr>
      <w:hyperlink w:anchor="_Toc300000008" w:history="1">
        <w:r>
          <w:rPr>
            <w:noProof/>
          </w:rPr>
          <w:t>4.3.</w:t>
        </w:r>
        <w:r>
          <w:rPr>
            <w:noProof/>
          </w:rPr>
          <w:tab/>
        </w:r>
        <w:r>
          <w:rPr>
            <w:noProof/>
          </w:rPr>
          <w:t xml:space="preserve">Targets by tier</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1"/>
      </w:pPr>
      <w:hyperlink w:anchor="_Toc300000009" w:history="1">
        <w:r>
          <w:rPr>
            <w:noProof/>
          </w:rPr>
          <w:t>5.</w:t>
        </w:r>
        <w:r>
          <w:rPr>
            <w:noProof/>
          </w:rPr>
          <w:tab/>
        </w:r>
        <w:r>
          <w:rPr>
            <w:noProof/>
          </w:rPr>
          <w:t xml:space="preserve">Backups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8</w:t>
        </w:r>
        <w:r>
          <w:rPr>
            <w:noProof/>
            <w:webHidden/>
          </w:rPr>
          <w:fldChar w:fldCharType="end"/>
        </w:r>
      </w:hyperlink>
    </w:p>
    <w:p>
      <w:pPr>
        <w:pStyle w:val="TOC1"/>
      </w:pPr>
      <w:hyperlink w:anchor="_Toc300000010" w:history="1">
        <w:r>
          <w:rPr>
            <w:noProof/>
          </w:rPr>
          <w:t>6.</w:t>
        </w:r>
        <w:r>
          <w:rPr>
            <w:noProof/>
          </w:rPr>
          <w:tab/>
        </w:r>
        <w:r>
          <w:rPr>
            <w:noProof/>
          </w:rPr>
          <w:t xml:space="preserve">DR topology</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9</w:t>
        </w:r>
        <w:r>
          <w:rPr>
            <w:noProof/>
            <w:webHidden/>
          </w:rPr>
          <w:fldChar w:fldCharType="end"/>
        </w:r>
      </w:hyperlink>
    </w:p>
    <w:p>
      <w:pPr>
        <w:pStyle w:val="TOC1"/>
      </w:pPr>
      <w:hyperlink w:anchor="_Toc300000011" w:history="1">
        <w:r>
          <w:rPr>
            <w:noProof/>
          </w:rPr>
          <w:t>7.</w:t>
        </w:r>
        <w:r>
          <w:rPr>
            <w:noProof/>
          </w:rPr>
          <w:tab/>
        </w:r>
        <w:r>
          <w:rPr>
            <w:noProof/>
          </w:rPr>
          <w:t xml:space="preserve">TASCO core dependency</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10</w:t>
        </w:r>
        <w:r>
          <w:rPr>
            <w:noProof/>
            <w:webHidden/>
          </w:rPr>
          <w:fldChar w:fldCharType="end"/>
        </w:r>
      </w:hyperlink>
    </w:p>
    <w:p>
      <w:pPr>
        <w:pStyle w:val="TOC1"/>
      </w:pPr>
      <w:hyperlink w:anchor="_Toc300000012" w:history="1">
        <w:r>
          <w:rPr>
            <w:noProof/>
          </w:rPr>
          <w:t>8.</w:t>
        </w:r>
        <w:r>
          <w:rPr>
            <w:noProof/>
          </w:rPr>
          <w:tab/>
        </w:r>
        <w:r>
          <w:rPr>
            <w:noProof/>
          </w:rPr>
          <w:t xml:space="preserve">Failover and failback</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11</w:t>
        </w:r>
        <w:r>
          <w:rPr>
            <w:noProof/>
            <w:webHidden/>
          </w:rPr>
          <w:fldChar w:fldCharType="end"/>
        </w:r>
      </w:hyperlink>
    </w:p>
    <w:p>
      <w:pPr>
        <w:pStyle w:val="TOC2"/>
      </w:pPr>
      <w:hyperlink w:anchor="_Toc300000013" w:history="1">
        <w:r>
          <w:rPr>
            <w:noProof/>
          </w:rPr>
          <w:t>8.1.</w:t>
        </w:r>
        <w:r>
          <w:rPr>
            <w:noProof/>
          </w:rPr>
          <w:tab/>
        </w:r>
        <w:r>
          <w:rPr>
            <w:noProof/>
          </w:rPr>
          <w:t xml:space="preserve">FO-0 Zone failure (automatic)</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12</w:t>
        </w:r>
        <w:r>
          <w:rPr>
            <w:noProof/>
            <w:webHidden/>
          </w:rPr>
          <w:fldChar w:fldCharType="end"/>
        </w:r>
      </w:hyperlink>
    </w:p>
    <w:p>
      <w:pPr>
        <w:pStyle w:val="TOC2"/>
      </w:pPr>
      <w:hyperlink w:anchor="_Toc300000014" w:history="1">
        <w:r>
          <w:rPr>
            <w:noProof/>
          </w:rPr>
          <w:t>8.2.</w:t>
        </w:r>
        <w:r>
          <w:rPr>
            <w:noProof/>
          </w:rPr>
          <w:tab/>
        </w:r>
        <w:r>
          <w:rPr>
            <w:noProof/>
          </w:rPr>
          <w:t xml:space="preserve">FO-1 Region loss (declared, RTO 4 hours)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13</w:t>
        </w:r>
        <w:r>
          <w:rPr>
            <w:noProof/>
            <w:webHidden/>
          </w:rPr>
          <w:fldChar w:fldCharType="end"/>
        </w:r>
      </w:hyperlink>
    </w:p>
    <w:p>
      <w:pPr>
        <w:pStyle w:val="TOC2"/>
      </w:pPr>
      <w:hyperlink w:anchor="_Toc300000015" w:history="1">
        <w:r>
          <w:rPr>
            <w:noProof/>
          </w:rPr>
          <w:t>8.3.</w:t>
        </w:r>
        <w:r>
          <w:rPr>
            <w:noProof/>
          </w:rPr>
          <w:tab/>
        </w:r>
        <w:r>
          <w:rPr>
            <w:noProof/>
          </w:rPr>
          <w:t xml:space="preserve">FB-1 Failback to the primary region (planned)</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13</w:t>
        </w:r>
        <w:r>
          <w:rPr>
            <w:noProof/>
            <w:webHidden/>
          </w:rPr>
          <w:fldChar w:fldCharType="end"/>
        </w:r>
      </w:hyperlink>
    </w:p>
    <w:p>
      <w:pPr>
        <w:pStyle w:val="TOC2"/>
      </w:pPr>
      <w:hyperlink w:anchor="_Toc300000016" w:history="1">
        <w:r>
          <w:rPr>
            <w:noProof/>
          </w:rPr>
          <w:t>8.4.</w:t>
        </w:r>
        <w:r>
          <w:rPr>
            <w:noProof/>
          </w:rPr>
          <w:tab/>
        </w:r>
        <w:r>
          <w:rPr>
            <w:noProof/>
          </w:rPr>
          <w:t xml:space="preserve">FO-2 Logical corruption (point-in-time recovery)</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13</w:t>
        </w:r>
        <w:r>
          <w:rPr>
            <w:noProof/>
            <w:webHidden/>
          </w:rPr>
          <w:fldChar w:fldCharType="end"/>
        </w:r>
      </w:hyperlink>
    </w:p>
    <w:p>
      <w:pPr>
        <w:pStyle w:val="TOC1"/>
      </w:pPr>
      <w:hyperlink w:anchor="_Toc300000017" w:history="1">
        <w:r>
          <w:rPr>
            <w:noProof/>
          </w:rPr>
          <w:t>9.</w:t>
        </w:r>
        <w:r>
          <w:rPr>
            <w:noProof/>
          </w:rPr>
          <w:tab/>
        </w:r>
        <w:r>
          <w:rPr>
            <w:noProof/>
          </w:rPr>
          <w:t xml:space="preserve">DR tests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14</w:t>
        </w:r>
        <w:r>
          <w:rPr>
            <w:noProof/>
            <w:webHidden/>
          </w:rPr>
          <w:fldChar w:fldCharType="end"/>
        </w:r>
      </w:hyperlink>
    </w:p>
    <w:p>
      <w:pPr>
        <w:pStyle w:val="TOC1"/>
      </w:pPr>
      <w:hyperlink w:anchor="_Toc300000018" w:history="1">
        <w:r>
          <w:rPr>
            <w:noProof/>
          </w:rPr>
          <w:t>10.</w:t>
        </w:r>
        <w:r>
          <w:rPr>
            <w:noProof/>
          </w:rPr>
          <w:tab/>
        </w:r>
        <w:r>
          <w:rPr>
            <w:noProof/>
          </w:rPr>
          <w:t xml:space="preserve">Business continuity</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15</w:t>
        </w:r>
        <w:r>
          <w:rPr>
            <w:noProof/>
            <w:webHidden/>
          </w:rPr>
          <w:fldChar w:fldCharType="end"/>
        </w:r>
      </w:hyperlink>
    </w:p>
    <w:p>
      <w:pPr>
        <w:pStyle w:val="TOC2"/>
      </w:pPr>
      <w:hyperlink w:anchor="_Toc300000019" w:history="1">
        <w:r>
          <w:rPr>
            <w:noProof/>
          </w:rPr>
          <w:t>10.1.</w:t>
        </w:r>
        <w:r>
          <w:rPr>
            <w:noProof/>
          </w:rPr>
          <w:tab/>
        </w:r>
        <w:r>
          <w:rPr>
            <w:noProof/>
          </w:rPr>
          <w:t xml:space="preserve">Communication</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16</w:t>
        </w:r>
        <w:r>
          <w:rPr>
            <w:noProof/>
            <w:webHidden/>
          </w:rPr>
          <w:fldChar w:fldCharType="end"/>
        </w:r>
      </w:hyperlink>
    </w:p>
    <w:p>
      <w:pPr>
        <w:pStyle w:val="TOC1"/>
      </w:pPr>
      <w:hyperlink w:anchor="_Toc300000020" w:history="1">
        <w:r>
          <w:rPr>
            <w:noProof/>
          </w:rPr>
          <w:t>11.</w:t>
        </w:r>
        <w:r>
          <w:rPr>
            <w:noProof/>
          </w:rPr>
          <w:tab/>
        </w:r>
        <w:r>
          <w:rPr>
            <w:noProof/>
          </w:rPr>
          <w:t xml:space="preserve">Plan maintenance</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16</w:t>
        </w:r>
        <w:r>
          <w:rPr>
            <w:noProof/>
            <w:webHidden/>
          </w:rPr>
          <w:fldChar w:fldCharType="end"/>
        </w:r>
      </w:hyperlink>
    </w:p>
    <w:p>
      <w:pPr>
        <w:pStyle w:val="TOC1"/>
      </w:pPr>
      <w:hyperlink w:anchor="_Toc300000021" w:history="1">
        <w:r>
          <w:rPr>
            <w:noProof/>
          </w:rPr>
          <w:t>12.</w:t>
        </w:r>
        <w:r>
          <w:rPr>
            <w:noProof/>
          </w:rPr>
          <w:tab/>
        </w:r>
        <w:r>
          <w:rPr>
            <w:noProof/>
          </w:rPr>
          <w:t xml:space="preserve">Sign-Off</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17</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350"/>
        <w:gridCol w:w="1040"/>
        <w:gridCol w:w="1799"/>
        <w:gridCol w:w="1799"/>
        <w:gridCol w:w="1687"/>
        <w:gridCol w:w="1352"/>
      </w:tblGrid>
      <w:tr w:rsidR="002B183A" w14:paraId="4E198CD6" w14:textId="77777777" w:rsidTr="002923F3">
        <w:trPr>
          <w:cantSplit/>
          <w:trHeight w:val="440"/>
          <w:tblHeader/>
        </w:trPr>
        <w:tc>
          <w:tcPr>
            <w:tcW w:w="1350"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40"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9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799"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687"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352"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350"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1040"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9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Service Operations</w:t>
            </w:r>
          </w:p>
        </w:tc>
        <w:tc>
          <w:tcPr>
            <w:tcW w:w="1799"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Infrastructure and Information Security</w:t>
            </w:r>
          </w:p>
        </w:tc>
        <w:tc>
          <w:tcPr>
            <w:tcW w:w="1687"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Head of IT</w:t>
            </w:r>
          </w:p>
        </w:tc>
        <w:tc>
          <w:tcPr>
            <w:tcW w:w="1352"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2334"/>
        <w:gridCol w:w="6693"/>
      </w:tblGrid>
      <w:tr w:rsidR="002B183A" w14:paraId="388F227F" w14:textId="77777777" w:rsidTr="002923F3">
        <w:trPr>
          <w:cantSplit/>
          <w:trHeight w:val="440"/>
          <w:tblHeader/>
        </w:trPr>
        <w:tc>
          <w:tcPr>
            <w:tcW w:w="2334"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6693"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AES</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Advanced Encryption Standard</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ALR</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Alert Rule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CAB</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Advisory Board</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DBA</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Database Administrator</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DNS</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Domain Name System</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DR</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Disaster Recovery</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LSN</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Log Sequence Number</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PDP</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 Data Protection</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PRC</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Production Readiness Check</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Pre-production environment</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Runbook procedure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RPO</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Point Objective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RTO</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Time Objective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SOP</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Standard Operating Procedure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SRE</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Site Reliability Engineering</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Test Case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TTL</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 To Live</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WAL</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Write-Ahead Log</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WORM</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Write Once Read Many</w:t>
            </w:r>
          </w:p>
        </w:tc>
      </w:tr>
      <w:tr w:rsidR="002B183A" w:rsidRPr="00BB346A" w14:paraId="73CFB63E" w14:textId="77777777" w:rsidTr="002923F3">
        <w:trPr>
          <w:cantSplit/>
          <w:trHeight w:val="449"/>
        </w:trPr>
        <w:tc>
          <w:tcPr>
            <w:tcW w:w="233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669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plan describes how the TASCO Growth Platform is recovered after a disaster and how the business keeps selling and serving customers when the platform or one of its dependencies is unavailable. It sets the recovery targets, the backup strategy, the DR topology, the failover and failback procedures, the DR tests and the continuity actions for partner outages.</w:t>
      </w:r>
    </w:p>
    <w:p>
      <w:pPr>
        <w:pStyle w:val="BodyText"/>
      </w:pPr>
      <w:r>
        <w:t xml:space="preserve">It covers the stateless application tier, the PostgreSQL database, secrets and keys, configuration, scheduled jobs, ingress and DNS, and the monitoring stack. VETC systems, TASCO core, Zalo, the SMS provider and the voice vendor have their own DR plans; this plan covers their unavailability and the platform’s dependency on them, with particular attention to TASCO core, which prices every quote and issues every policy. The hosted UAT on Railway is not covered.</w:t>
      </w:r>
    </w:p>
    <w:p>
      <w:pPr>
        <w:pStyle w:val="BodyText"/>
      </w:pPr>
      <w:r>
        <w:t xml:space="preserve">The audience is the TASCO Head of IT, who is accountable, SRE and the DBA, who carry out the procedures, and the TASCO business continuity team.</w:t>
      </w:r>
    </w:p>
    <w:p>
      <w:pPr>
        <w:pStyle w:val="BodyText"/>
      </w:pPr>
      <w:r>
        <w:t xml:space="preserve">Related documents:</w:t>
      </w:r>
    </w:p>
    <w:p>
      <w:pPr>
        <w:pStyle w:val="Compact"/>
        <w:numPr>
          <w:ilvl w:val="0"/>
          <w:numId w:val="1001"/>
        </w:numPr>
      </w:pPr>
      <w:r>
        <w:t xml:space="preserve">TGP-OPS-01 Runbook and Support Guide (incident procedures RB-01 to RB-18).</w:t>
      </w:r>
    </w:p>
    <w:p>
      <w:pPr>
        <w:pStyle w:val="Compact"/>
        <w:numPr>
          <w:ilvl w:val="0"/>
          <w:numId w:val="1001"/>
        </w:numPr>
      </w:pPr>
      <w:r>
        <w:t xml:space="preserve">TGP-OPS-02 Monitoring and Alerting.</w:t>
      </w:r>
    </w:p>
    <w:p>
      <w:pPr>
        <w:pStyle w:val="Compact"/>
        <w:numPr>
          <w:ilvl w:val="0"/>
          <w:numId w:val="1001"/>
        </w:numPr>
      </w:pPr>
      <w:r>
        <w:t xml:space="preserve">TGP-OPS-04 Production Readiness Checklist.</w:t>
      </w:r>
    </w:p>
    <w:p>
      <w:pPr>
        <w:pStyle w:val="Compact"/>
        <w:numPr>
          <w:ilvl w:val="0"/>
          <w:numId w:val="1001"/>
        </w:numPr>
      </w:pPr>
      <w:r>
        <w:t xml:space="preserve">TGP-ARC-05 Deployment and Infrastructure Architecture.</w:t>
      </w:r>
    </w:p>
    <w:p>
      <w:pPr>
        <w:pStyle w:val="Compact"/>
        <w:numPr>
          <w:ilvl w:val="0"/>
          <w:numId w:val="1001"/>
        </w:numPr>
      </w:pPr>
      <w:r>
        <w:t xml:space="preserve">TGP-ARC-02 Integration Architecture.</w:t>
      </w:r>
    </w:p>
    <w:p>
      <w:pPr>
        <w:pStyle w:val="FirstParagraph"/>
      </w:pPr>
      <w:r>
        <w:t xml:space="preserve">The hosting provider and regions are confirmed in discovery. This plan assumes two regions in Vietnam, a primary in Hà Nội and a secondary in TP. Hồ Chí Minh, to meet data-localisation expectations for Vietnamese personal data (Decree 53/2022/ND-CP and the PDP Law; to be confirmed by TASCO legal).</w:t>
      </w:r>
    </w:p>
    <w:p>
      <w:pPr>
        <w:pStyle w:val="Heading2"/>
      </w:pPr>
      <w:bookmarkStart w:id="8" w:name="_Toc300000004"/>
      <w:r>
        <w:t xml:space="preserve">Facts that make recovery simpler</w:t>
      </w:r>
      <w:bookmarkEnd w:id="8"/>
    </w:p>
    <w:p>
      <w:pPr>
        <w:pStyle w:val="Compact"/>
        <w:numPr>
          <w:ilvl w:val="0"/>
          <w:numId w:val="1002"/>
        </w:numPr>
      </w:pPr>
      <w:r>
        <w:t xml:space="preserve">All state is in PostgreSQL: profiles, leads, touchpoints, messages, quotes, orders, policies, every rule set version, the event outbox and the hash-chained audit log. Application pods hold only disposable state (rate-limit buckets, the token revocation list and a 15-second rule cache).</w:t>
      </w:r>
    </w:p>
    <w:p>
      <w:pPr>
        <w:pStyle w:val="Compact"/>
        <w:numPr>
          <w:ilvl w:val="0"/>
          <w:numId w:val="1002"/>
        </w:numPr>
      </w:pPr>
      <w:r>
        <w:t xml:space="preserve">Events are written in the same database transaction as the change, so after a restore the relay processes pending events again. Subscribers are idempotent, with the exceptions listed in RB-06.</w:t>
      </w:r>
    </w:p>
    <w:p>
      <w:pPr>
        <w:pStyle w:val="Compact"/>
        <w:numPr>
          <w:ilvl w:val="0"/>
          <w:numId w:val="1002"/>
        </w:numPr>
      </w:pPr>
      <w:r>
        <w:t xml:space="preserve">Encryption keys are part of the backup set. A database backup cannot be read without every</w:t>
      </w:r>
      <w:r>
        <w:t xml:space="preserve"> </w:t>
      </w:r>
      <w:r>
        <w:rPr>
          <w:rStyle w:val="CodeChar"/>
        </w:rPr>
        <w:t xml:space="preserve">DATA_KEYS</w:t>
      </w:r>
      <w:r>
        <w:t xml:space="preserve"> </w:t>
      </w:r>
      <w:r>
        <w:t xml:space="preserve">key ID ever used and the</w:t>
      </w:r>
      <w:r>
        <w:t xml:space="preserve"> </w:t>
      </w:r>
      <w:r>
        <w:rPr>
          <w:rStyle w:val="CodeChar"/>
        </w:rPr>
        <w:t xml:space="preserve">BLIND_INDEX_KEY</w:t>
      </w:r>
      <w:r>
        <w:t xml:space="preserve">. The keys live in the vault, replicated to the DR region.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Recovery targets</w:t>
      </w:r>
      <w:bookmarkEnd w:id="9"/>
    </w:p>
    <w:p>
      <w:pPr>
        <w:pStyle w:val="Heading2"/>
      </w:pPr>
      <w:bookmarkStart w:id="10" w:name="_Toc300000006"/>
      <w:r>
        <w:t xml:space="preserve">Commitments</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379"/>
        <w:gridCol w:w="5648"/>
      </w:tblGrid>
      <w:tr>
        <w:trPr>
          <w:cantSplit/>
          <w:tblHeader/>
        </w:trPr>
        <w:tc>
          <w:tcPr>
            <w:tcW w:w="3379" w:type="dxa"/>
            <w:shd w:val="clear" w:color="auto" w:fill="0F4761"/>
            <w:vAlign w:val="center"/>
          </w:tcPr>
          <w:p>
            <w:pPr>
              <w:pStyle w:val="TableHeading"/>
              <w:jc w:val="left"/>
            </w:pPr>
            <w:r>
              <w:rPr>
                <w:color w:val="FFFFFF"/>
              </w:rPr>
              <w:t xml:space="preserve">Measure</w:t>
            </w:r>
          </w:p>
        </w:tc>
        <w:tc>
          <w:tcPr>
            <w:tcW w:w="5648" w:type="dxa"/>
            <w:shd w:val="clear" w:color="auto" w:fill="0F4761"/>
            <w:vAlign w:val="center"/>
          </w:tcPr>
          <w:p>
            <w:pPr>
              <w:pStyle w:val="TableHeading"/>
              <w:jc w:val="left"/>
            </w:pPr>
            <w:r>
              <w:rPr>
                <w:color w:val="FFFFFF"/>
              </w:rPr>
              <w:t xml:space="preserve">Target</w:t>
            </w:r>
          </w:p>
        </w:tc>
      </w:tr>
      <w:tr>
        <w:trPr>
          <w:cantSplit/>
        </w:trPr>
        <w:tc>
          <w:tcPr>
            <w:tcW w:w="3379" w:type="dxa"/>
            <w:vAlign w:val="top"/>
          </w:tcPr>
          <w:p>
            <w:pPr>
              <w:pStyle w:val="TableText"/>
              <w:jc w:val="left"/>
            </w:pPr>
            <w:r>
              <w:t xml:space="preserve">Availability of the customer purchase path</w:t>
            </w:r>
          </w:p>
        </w:tc>
        <w:tc>
          <w:tcPr>
            <w:tcW w:w="5648" w:type="dxa"/>
            <w:vAlign w:val="top"/>
          </w:tcPr>
          <w:p>
            <w:pPr>
              <w:pStyle w:val="TableText"/>
              <w:jc w:val="left"/>
            </w:pPr>
            <w:r>
              <w:t xml:space="preserve">99.9 % per month</w:t>
            </w:r>
          </w:p>
        </w:tc>
      </w:tr>
      <w:tr>
        <w:trPr>
          <w:cantSplit/>
        </w:trPr>
        <w:tc>
          <w:tcPr>
            <w:tcW w:w="3379" w:type="dxa"/>
            <w:shd w:val="clear" w:color="auto" w:fill="F4F7FB"/>
            <w:vAlign w:val="top"/>
          </w:tcPr>
          <w:p>
            <w:pPr>
              <w:pStyle w:val="TableText"/>
              <w:jc w:val="left"/>
            </w:pPr>
            <w:r>
              <w:t xml:space="preserve">Recovery point objective</w:t>
            </w:r>
          </w:p>
        </w:tc>
        <w:tc>
          <w:tcPr>
            <w:tcW w:w="5648" w:type="dxa"/>
            <w:shd w:val="clear" w:color="auto" w:fill="F4F7FB"/>
            <w:vAlign w:val="top"/>
          </w:tcPr>
          <w:p>
            <w:pPr>
              <w:pStyle w:val="TableText"/>
              <w:jc w:val="left"/>
            </w:pPr>
            <w:r>
              <w:t xml:space="preserve">15 minutes or less</w:t>
            </w:r>
          </w:p>
        </w:tc>
      </w:tr>
      <w:tr>
        <w:trPr>
          <w:cantSplit/>
        </w:trPr>
        <w:tc>
          <w:tcPr>
            <w:tcW w:w="3379" w:type="dxa"/>
            <w:vAlign w:val="top"/>
          </w:tcPr>
          <w:p>
            <w:pPr>
              <w:pStyle w:val="TableText"/>
              <w:jc w:val="left"/>
            </w:pPr>
            <w:r>
              <w:t xml:space="preserve">Recovery time objective</w:t>
            </w:r>
          </w:p>
        </w:tc>
        <w:tc>
          <w:tcPr>
            <w:tcW w:w="5648" w:type="dxa"/>
            <w:vAlign w:val="top"/>
          </w:tcPr>
          <w:p>
            <w:pPr>
              <w:pStyle w:val="TableText"/>
              <w:jc w:val="left"/>
            </w:pPr>
            <w:r>
              <w:t xml:space="preserve">4 hours or less</w:t>
            </w:r>
          </w:p>
        </w:tc>
      </w:tr>
      <w:tr>
        <w:trPr>
          <w:cantSplit/>
        </w:trPr>
        <w:tc>
          <w:tcPr>
            <w:tcW w:w="3379" w:type="dxa"/>
            <w:shd w:val="clear" w:color="auto" w:fill="F4F7FB"/>
            <w:vAlign w:val="top"/>
          </w:tcPr>
          <w:p>
            <w:pPr>
              <w:pStyle w:val="TableText"/>
              <w:jc w:val="left"/>
            </w:pPr>
            <w:r>
              <w:t xml:space="preserve">Backups</w:t>
            </w:r>
          </w:p>
        </w:tc>
        <w:tc>
          <w:tcPr>
            <w:tcW w:w="5648" w:type="dxa"/>
            <w:shd w:val="clear" w:color="auto" w:fill="F4F7FB"/>
            <w:vAlign w:val="top"/>
          </w:tcPr>
          <w:p>
            <w:pPr>
              <w:pStyle w:val="TableText"/>
              <w:jc w:val="left"/>
            </w:pPr>
            <w:r>
              <w:t xml:space="preserve">Encrypted; point-in-time recovery for 35 days; restore tested quarterly</w:t>
            </w:r>
          </w:p>
        </w:tc>
      </w:tr>
      <w:tr>
        <w:trPr>
          <w:cantSplit/>
        </w:trPr>
        <w:tc>
          <w:tcPr>
            <w:tcW w:w="3379" w:type="dxa"/>
            <w:vAlign w:val="top"/>
          </w:tcPr>
          <w:p>
            <w:pPr>
              <w:pStyle w:val="TableText"/>
              <w:jc w:val="left"/>
            </w:pPr>
            <w:r>
              <w:t xml:space="preserve">Application</w:t>
            </w:r>
          </w:p>
        </w:tc>
        <w:tc>
          <w:tcPr>
            <w:tcW w:w="5648" w:type="dxa"/>
            <w:vAlign w:val="top"/>
          </w:tcPr>
          <w:p>
            <w:pPr>
              <w:pStyle w:val="TableText"/>
              <w:jc w:val="left"/>
            </w:pPr>
            <w:r>
              <w:t xml:space="preserve">At least two replicas across zones; rolling deployments; disruption budgets</w:t>
            </w:r>
          </w:p>
        </w:tc>
      </w:tr>
    </w:tbl>
    <w:p>
      <w:pPr>
        <w:pStyle w:val="Heading2"/>
      </w:pPr>
      <w:bookmarkStart w:id="11" w:name="_Toc300000007"/>
      <w:r>
        <w:t xml:space="preserve">Business impact analysis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61"/>
        <w:gridCol w:w="2867"/>
        <w:gridCol w:w="1743"/>
        <w:gridCol w:w="1656"/>
      </w:tblGrid>
      <w:tr>
        <w:trPr>
          <w:cantSplit/>
          <w:tblHeader/>
        </w:trPr>
        <w:tc>
          <w:tcPr>
            <w:tcW w:w="2761" w:type="dxa"/>
            <w:shd w:val="clear" w:color="auto" w:fill="0F4761"/>
            <w:vAlign w:val="center"/>
          </w:tcPr>
          <w:p>
            <w:pPr>
              <w:pStyle w:val="TableHeading"/>
              <w:jc w:val="left"/>
            </w:pPr>
            <w:r>
              <w:rPr>
                <w:color w:val="FFFFFF"/>
              </w:rPr>
              <w:t xml:space="preserve">Business service</w:t>
            </w:r>
          </w:p>
        </w:tc>
        <w:tc>
          <w:tcPr>
            <w:tcW w:w="2867" w:type="dxa"/>
            <w:shd w:val="clear" w:color="auto" w:fill="0F4761"/>
            <w:vAlign w:val="center"/>
          </w:tcPr>
          <w:p>
            <w:pPr>
              <w:pStyle w:val="TableHeading"/>
              <w:jc w:val="left"/>
            </w:pPr>
            <w:r>
              <w:rPr>
                <w:color w:val="FFFFFF"/>
              </w:rPr>
              <w:t xml:space="preserve">Impact of an outage</w:t>
            </w:r>
          </w:p>
        </w:tc>
        <w:tc>
          <w:tcPr>
            <w:tcW w:w="1743" w:type="dxa"/>
            <w:shd w:val="clear" w:color="auto" w:fill="0F4761"/>
            <w:vAlign w:val="center"/>
          </w:tcPr>
          <w:p>
            <w:pPr>
              <w:pStyle w:val="TableHeading"/>
              <w:jc w:val="left"/>
            </w:pPr>
            <w:r>
              <w:rPr>
                <w:color w:val="FFFFFF"/>
              </w:rPr>
              <w:t xml:space="preserve">Tolerable downtime</w:t>
            </w:r>
          </w:p>
        </w:tc>
        <w:tc>
          <w:tcPr>
            <w:tcW w:w="1656" w:type="dxa"/>
            <w:shd w:val="clear" w:color="auto" w:fill="0F4761"/>
            <w:vAlign w:val="center"/>
          </w:tcPr>
          <w:p>
            <w:pPr>
              <w:pStyle w:val="TableHeading"/>
              <w:jc w:val="left"/>
            </w:pPr>
            <w:r>
              <w:rPr>
                <w:color w:val="FFFFFF"/>
              </w:rPr>
              <w:t xml:space="preserve">Tier</w:t>
            </w:r>
          </w:p>
        </w:tc>
      </w:tr>
      <w:tr>
        <w:trPr>
          <w:cantSplit/>
        </w:trPr>
        <w:tc>
          <w:tcPr>
            <w:tcW w:w="2761" w:type="dxa"/>
            <w:vAlign w:val="top"/>
          </w:tcPr>
          <w:p>
            <w:pPr>
              <w:pStyle w:val="TableText"/>
              <w:jc w:val="left"/>
            </w:pPr>
            <w:r>
              <w:t xml:space="preserve">Customer renewal and purchase (quote, pay, issue, e-certificate)</w:t>
            </w:r>
          </w:p>
        </w:tc>
        <w:tc>
          <w:tcPr>
            <w:tcW w:w="2867" w:type="dxa"/>
            <w:vAlign w:val="top"/>
          </w:tcPr>
          <w:p>
            <w:pPr>
              <w:pStyle w:val="TableText"/>
              <w:jc w:val="left"/>
            </w:pPr>
            <w:r>
              <w:t xml:space="preserve">Lost premium on expiry day; customer trust; the customer may drive uninsured</w:t>
            </w:r>
          </w:p>
        </w:tc>
        <w:tc>
          <w:tcPr>
            <w:tcW w:w="1743" w:type="dxa"/>
            <w:vAlign w:val="top"/>
          </w:tcPr>
          <w:p>
            <w:pPr>
              <w:pStyle w:val="TableText"/>
              <w:jc w:val="left"/>
            </w:pPr>
            <w:r>
              <w:t xml:space="preserve">4 h</w:t>
            </w:r>
          </w:p>
        </w:tc>
        <w:tc>
          <w:tcPr>
            <w:tcW w:w="1656" w:type="dxa"/>
            <w:vAlign w:val="top"/>
          </w:tcPr>
          <w:p>
            <w:pPr>
              <w:pStyle w:val="TableText"/>
              <w:jc w:val="left"/>
            </w:pPr>
            <w:r>
              <w:t xml:space="preserve">1</w:t>
            </w:r>
          </w:p>
        </w:tc>
      </w:tr>
      <w:tr>
        <w:trPr>
          <w:cantSplit/>
        </w:trPr>
        <w:tc>
          <w:tcPr>
            <w:tcW w:w="2761" w:type="dxa"/>
            <w:shd w:val="clear" w:color="auto" w:fill="F4F7FB"/>
            <w:vAlign w:val="top"/>
          </w:tcPr>
          <w:p>
            <w:pPr>
              <w:pStyle w:val="TableText"/>
              <w:jc w:val="left"/>
            </w:pPr>
            <w:r>
              <w:t xml:space="preserve">Quote pricing by TASCO core</w:t>
            </w:r>
          </w:p>
        </w:tc>
        <w:tc>
          <w:tcPr>
            <w:tcW w:w="2867" w:type="dxa"/>
            <w:shd w:val="clear" w:color="auto" w:fill="F4F7FB"/>
            <w:vAlign w:val="top"/>
          </w:tcPr>
          <w:p>
            <w:pPr>
              <w:pStyle w:val="TableText"/>
              <w:jc w:val="left"/>
            </w:pPr>
            <w:r>
              <w:t xml:space="preserve">No bindable price, so no new sale (core-only mode)</w:t>
            </w:r>
          </w:p>
        </w:tc>
        <w:tc>
          <w:tcPr>
            <w:tcW w:w="1743" w:type="dxa"/>
            <w:shd w:val="clear" w:color="auto" w:fill="F4F7FB"/>
            <w:vAlign w:val="top"/>
          </w:tcPr>
          <w:p>
            <w:pPr>
              <w:pStyle w:val="TableText"/>
              <w:jc w:val="left"/>
            </w:pPr>
            <w:r>
              <w:t xml:space="preserve">4 h, dependent on TASCO core</w:t>
            </w:r>
          </w:p>
        </w:tc>
        <w:tc>
          <w:tcPr>
            <w:tcW w:w="1656" w:type="dxa"/>
            <w:shd w:val="clear" w:color="auto" w:fill="F4F7FB"/>
            <w:vAlign w:val="top"/>
          </w:tcPr>
          <w:p>
            <w:pPr>
              <w:pStyle w:val="TableText"/>
              <w:jc w:val="left"/>
            </w:pPr>
            <w:r>
              <w:t xml:space="preserve">1 (dependency)</w:t>
            </w:r>
          </w:p>
        </w:tc>
      </w:tr>
      <w:tr>
        <w:trPr>
          <w:cantSplit/>
        </w:trPr>
        <w:tc>
          <w:tcPr>
            <w:tcW w:w="2761" w:type="dxa"/>
            <w:vAlign w:val="top"/>
          </w:tcPr>
          <w:p>
            <w:pPr>
              <w:pStyle w:val="TableText"/>
              <w:jc w:val="left"/>
            </w:pPr>
            <w:r>
              <w:t xml:space="preserve">Certificate verification by QR</w:t>
            </w:r>
          </w:p>
        </w:tc>
        <w:tc>
          <w:tcPr>
            <w:tcW w:w="2867" w:type="dxa"/>
            <w:vAlign w:val="top"/>
          </w:tcPr>
          <w:p>
            <w:pPr>
              <w:pStyle w:val="TableText"/>
              <w:jc w:val="left"/>
            </w:pPr>
            <w:r>
              <w:t xml:space="preserve">Customers cannot prove cover at roadside or inspection</w:t>
            </w:r>
          </w:p>
        </w:tc>
        <w:tc>
          <w:tcPr>
            <w:tcW w:w="1743" w:type="dxa"/>
            <w:vAlign w:val="top"/>
          </w:tcPr>
          <w:p>
            <w:pPr>
              <w:pStyle w:val="TableText"/>
              <w:jc w:val="left"/>
            </w:pPr>
            <w:r>
              <w:t xml:space="preserve">4 h</w:t>
            </w:r>
          </w:p>
        </w:tc>
        <w:tc>
          <w:tcPr>
            <w:tcW w:w="1656" w:type="dxa"/>
            <w:vAlign w:val="top"/>
          </w:tcPr>
          <w:p>
            <w:pPr>
              <w:pStyle w:val="TableText"/>
              <w:jc w:val="left"/>
            </w:pPr>
            <w:r>
              <w:t xml:space="preserve">1</w:t>
            </w:r>
          </w:p>
        </w:tc>
      </w:tr>
      <w:tr>
        <w:trPr>
          <w:cantSplit/>
        </w:trPr>
        <w:tc>
          <w:tcPr>
            <w:tcW w:w="2761" w:type="dxa"/>
            <w:shd w:val="clear" w:color="auto" w:fill="F4F7FB"/>
            <w:vAlign w:val="top"/>
          </w:tcPr>
          <w:p>
            <w:pPr>
              <w:pStyle w:val="TableText"/>
              <w:jc w:val="left"/>
            </w:pPr>
            <w:r>
              <w:t xml:space="preserve">Partner API</w:t>
            </w:r>
          </w:p>
        </w:tc>
        <w:tc>
          <w:tcPr>
            <w:tcW w:w="2867" w:type="dxa"/>
            <w:shd w:val="clear" w:color="auto" w:fill="F4F7FB"/>
            <w:vAlign w:val="top"/>
          </w:tcPr>
          <w:p>
            <w:pPr>
              <w:pStyle w:val="TableText"/>
              <w:jc w:val="left"/>
            </w:pPr>
            <w:r>
              <w:t xml:space="preserve">Partner sales stop; contractual penalties</w:t>
            </w:r>
          </w:p>
        </w:tc>
        <w:tc>
          <w:tcPr>
            <w:tcW w:w="1743" w:type="dxa"/>
            <w:shd w:val="clear" w:color="auto" w:fill="F4F7FB"/>
            <w:vAlign w:val="top"/>
          </w:tcPr>
          <w:p>
            <w:pPr>
              <w:pStyle w:val="TableText"/>
              <w:jc w:val="left"/>
            </w:pPr>
            <w:r>
              <w:t xml:space="preserve">4 h</w:t>
            </w:r>
          </w:p>
        </w:tc>
        <w:tc>
          <w:tcPr>
            <w:tcW w:w="1656" w:type="dxa"/>
            <w:shd w:val="clear" w:color="auto" w:fill="F4F7FB"/>
            <w:vAlign w:val="top"/>
          </w:tcPr>
          <w:p>
            <w:pPr>
              <w:pStyle w:val="TableText"/>
              <w:jc w:val="left"/>
            </w:pPr>
            <w:r>
              <w:t xml:space="preserve">1</w:t>
            </w:r>
          </w:p>
        </w:tc>
      </w:tr>
      <w:tr>
        <w:trPr>
          <w:cantSplit/>
        </w:trPr>
        <w:tc>
          <w:tcPr>
            <w:tcW w:w="2761" w:type="dxa"/>
            <w:vAlign w:val="top"/>
          </w:tcPr>
          <w:p>
            <w:pPr>
              <w:pStyle w:val="TableText"/>
              <w:jc w:val="left"/>
            </w:pPr>
            <w:r>
              <w:t xml:space="preserve">Telesales console and handoffs</w:t>
            </w:r>
          </w:p>
        </w:tc>
        <w:tc>
          <w:tcPr>
            <w:tcW w:w="2867" w:type="dxa"/>
            <w:vAlign w:val="top"/>
          </w:tcPr>
          <w:p>
            <w:pPr>
              <w:pStyle w:val="TableText"/>
              <w:jc w:val="left"/>
            </w:pPr>
            <w:r>
              <w:t xml:space="preserve">Hot leads go cold; agents idle</w:t>
            </w:r>
          </w:p>
        </w:tc>
        <w:tc>
          <w:tcPr>
            <w:tcW w:w="1743" w:type="dxa"/>
            <w:vAlign w:val="top"/>
          </w:tcPr>
          <w:p>
            <w:pPr>
              <w:pStyle w:val="TableText"/>
              <w:jc w:val="left"/>
            </w:pPr>
            <w:r>
              <w:t xml:space="preserve">8 h</w:t>
            </w:r>
          </w:p>
        </w:tc>
        <w:tc>
          <w:tcPr>
            <w:tcW w:w="1656" w:type="dxa"/>
            <w:vAlign w:val="top"/>
          </w:tcPr>
          <w:p>
            <w:pPr>
              <w:pStyle w:val="TableText"/>
              <w:jc w:val="left"/>
            </w:pPr>
            <w:r>
              <w:t xml:space="preserve">2</w:t>
            </w:r>
          </w:p>
        </w:tc>
      </w:tr>
      <w:tr>
        <w:trPr>
          <w:cantSplit/>
        </w:trPr>
        <w:tc>
          <w:tcPr>
            <w:tcW w:w="2761" w:type="dxa"/>
            <w:shd w:val="clear" w:color="auto" w:fill="F4F7FB"/>
            <w:vAlign w:val="top"/>
          </w:tcPr>
          <w:p>
            <w:pPr>
              <w:pStyle w:val="TableText"/>
              <w:jc w:val="left"/>
            </w:pPr>
            <w:r>
              <w:t xml:space="preserve">Journeys and messaging</w:t>
            </w:r>
          </w:p>
        </w:tc>
        <w:tc>
          <w:tcPr>
            <w:tcW w:w="2867" w:type="dxa"/>
            <w:shd w:val="clear" w:color="auto" w:fill="F4F7FB"/>
            <w:vAlign w:val="top"/>
          </w:tcPr>
          <w:p>
            <w:pPr>
              <w:pStyle w:val="TableText"/>
              <w:jc w:val="left"/>
            </w:pPr>
            <w:r>
              <w:t xml:space="preserve">Reminders delayed by a day; recoverable on the next run</w:t>
            </w:r>
          </w:p>
        </w:tc>
        <w:tc>
          <w:tcPr>
            <w:tcW w:w="1743" w:type="dxa"/>
            <w:shd w:val="clear" w:color="auto" w:fill="F4F7FB"/>
            <w:vAlign w:val="top"/>
          </w:tcPr>
          <w:p>
            <w:pPr>
              <w:pStyle w:val="TableText"/>
              <w:jc w:val="left"/>
            </w:pPr>
            <w:r>
              <w:t xml:space="preserve">24 h</w:t>
            </w:r>
          </w:p>
        </w:tc>
        <w:tc>
          <w:tcPr>
            <w:tcW w:w="1656" w:type="dxa"/>
            <w:shd w:val="clear" w:color="auto" w:fill="F4F7FB"/>
            <w:vAlign w:val="top"/>
          </w:tcPr>
          <w:p>
            <w:pPr>
              <w:pStyle w:val="TableText"/>
              <w:jc w:val="left"/>
            </w:pPr>
            <w:r>
              <w:t xml:space="preserve">2</w:t>
            </w:r>
          </w:p>
        </w:tc>
      </w:tr>
      <w:tr>
        <w:trPr>
          <w:cantSplit/>
        </w:trPr>
        <w:tc>
          <w:tcPr>
            <w:tcW w:w="2761" w:type="dxa"/>
            <w:vAlign w:val="top"/>
          </w:tcPr>
          <w:p>
            <w:pPr>
              <w:pStyle w:val="TableText"/>
              <w:jc w:val="left"/>
            </w:pPr>
            <w:r>
              <w:t xml:space="preserve">Claims first notice of loss</w:t>
            </w:r>
          </w:p>
        </w:tc>
        <w:tc>
          <w:tcPr>
            <w:tcW w:w="2867" w:type="dxa"/>
            <w:vAlign w:val="top"/>
          </w:tcPr>
          <w:p>
            <w:pPr>
              <w:pStyle w:val="TableText"/>
              <w:jc w:val="left"/>
            </w:pPr>
            <w:r>
              <w:t xml:space="preserve">Customers use the TASCO hotline</w:t>
            </w:r>
          </w:p>
        </w:tc>
        <w:tc>
          <w:tcPr>
            <w:tcW w:w="1743" w:type="dxa"/>
            <w:vAlign w:val="top"/>
          </w:tcPr>
          <w:p>
            <w:pPr>
              <w:pStyle w:val="TableText"/>
              <w:jc w:val="left"/>
            </w:pPr>
            <w:r>
              <w:t xml:space="preserve">24 h</w:t>
            </w:r>
          </w:p>
        </w:tc>
        <w:tc>
          <w:tcPr>
            <w:tcW w:w="1656" w:type="dxa"/>
            <w:vAlign w:val="top"/>
          </w:tcPr>
          <w:p>
            <w:pPr>
              <w:pStyle w:val="TableText"/>
              <w:jc w:val="left"/>
            </w:pPr>
            <w:r>
              <w:t xml:space="preserve">2</w:t>
            </w:r>
          </w:p>
        </w:tc>
      </w:tr>
      <w:tr>
        <w:trPr>
          <w:cantSplit/>
        </w:trPr>
        <w:tc>
          <w:tcPr>
            <w:tcW w:w="2761" w:type="dxa"/>
            <w:shd w:val="clear" w:color="auto" w:fill="F4F7FB"/>
            <w:vAlign w:val="top"/>
          </w:tcPr>
          <w:p>
            <w:pPr>
              <w:pStyle w:val="TableText"/>
              <w:jc w:val="left"/>
            </w:pPr>
            <w:r>
              <w:t xml:space="preserve">Rules studio, data quality, ingestion, catalogue sync</w:t>
            </w:r>
          </w:p>
        </w:tc>
        <w:tc>
          <w:tcPr>
            <w:tcW w:w="2867" w:type="dxa"/>
            <w:shd w:val="clear" w:color="auto" w:fill="F4F7FB"/>
            <w:vAlign w:val="top"/>
          </w:tcPr>
          <w:p>
            <w:pPr>
              <w:pStyle w:val="TableText"/>
              <w:jc w:val="left"/>
            </w:pPr>
            <w:r>
              <w:t xml:space="preserve">Changes deferred; ingestion and sync re-runnable</w:t>
            </w:r>
          </w:p>
        </w:tc>
        <w:tc>
          <w:tcPr>
            <w:tcW w:w="1743" w:type="dxa"/>
            <w:shd w:val="clear" w:color="auto" w:fill="F4F7FB"/>
            <w:vAlign w:val="top"/>
          </w:tcPr>
          <w:p>
            <w:pPr>
              <w:pStyle w:val="TableText"/>
              <w:jc w:val="left"/>
            </w:pPr>
            <w:r>
              <w:t xml:space="preserve">72 h</w:t>
            </w:r>
          </w:p>
        </w:tc>
        <w:tc>
          <w:tcPr>
            <w:tcW w:w="1656" w:type="dxa"/>
            <w:shd w:val="clear" w:color="auto" w:fill="F4F7FB"/>
            <w:vAlign w:val="top"/>
          </w:tcPr>
          <w:p>
            <w:pPr>
              <w:pStyle w:val="TableText"/>
              <w:jc w:val="left"/>
            </w:pPr>
            <w:r>
              <w:t xml:space="preserve">3</w:t>
            </w:r>
          </w:p>
        </w:tc>
      </w:tr>
      <w:tr>
        <w:trPr>
          <w:cantSplit/>
        </w:trPr>
        <w:tc>
          <w:tcPr>
            <w:tcW w:w="2761" w:type="dxa"/>
            <w:vAlign w:val="top"/>
          </w:tcPr>
          <w:p>
            <w:pPr>
              <w:pStyle w:val="TableText"/>
              <w:jc w:val="left"/>
            </w:pPr>
            <w:r>
              <w:t xml:space="preserve">Dashboards</w:t>
            </w:r>
          </w:p>
        </w:tc>
        <w:tc>
          <w:tcPr>
            <w:tcW w:w="2867" w:type="dxa"/>
            <w:vAlign w:val="top"/>
          </w:tcPr>
          <w:p>
            <w:pPr>
              <w:pStyle w:val="TableText"/>
              <w:jc w:val="left"/>
            </w:pPr>
            <w:r>
              <w:t xml:space="preserve">Management reporting delayed</w:t>
            </w:r>
          </w:p>
        </w:tc>
        <w:tc>
          <w:tcPr>
            <w:tcW w:w="1743" w:type="dxa"/>
            <w:vAlign w:val="top"/>
          </w:tcPr>
          <w:p>
            <w:pPr>
              <w:pStyle w:val="TableText"/>
              <w:jc w:val="left"/>
            </w:pPr>
            <w:r>
              <w:t xml:space="preserve">72 h</w:t>
            </w:r>
          </w:p>
        </w:tc>
        <w:tc>
          <w:tcPr>
            <w:tcW w:w="1656" w:type="dxa"/>
            <w:vAlign w:val="top"/>
          </w:tcPr>
          <w:p>
            <w:pPr>
              <w:pStyle w:val="TableText"/>
              <w:jc w:val="left"/>
            </w:pPr>
            <w:r>
              <w:t xml:space="preserve">3</w:t>
            </w:r>
          </w:p>
        </w:tc>
      </w:tr>
      <w:tr>
        <w:trPr>
          <w:cantSplit/>
        </w:trPr>
        <w:tc>
          <w:tcPr>
            <w:tcW w:w="2761" w:type="dxa"/>
            <w:shd w:val="clear" w:color="auto" w:fill="F4F7FB"/>
            <w:vAlign w:val="top"/>
          </w:tcPr>
          <w:p>
            <w:pPr>
              <w:pStyle w:val="TableText"/>
              <w:jc w:val="left"/>
            </w:pPr>
            <w:r>
              <w:t xml:space="preserve">Audit trail integrity</w:t>
            </w:r>
          </w:p>
        </w:tc>
        <w:tc>
          <w:tcPr>
            <w:tcW w:w="2867" w:type="dxa"/>
            <w:shd w:val="clear" w:color="auto" w:fill="F4F7FB"/>
            <w:vAlign w:val="top"/>
          </w:tcPr>
          <w:p>
            <w:pPr>
              <w:pStyle w:val="TableText"/>
              <w:jc w:val="left"/>
            </w:pPr>
            <w:r>
              <w:t xml:space="preserve">Regulatory evidence</w:t>
            </w:r>
          </w:p>
        </w:tc>
        <w:tc>
          <w:tcPr>
            <w:tcW w:w="1743" w:type="dxa"/>
            <w:shd w:val="clear" w:color="auto" w:fill="F4F7FB"/>
            <w:vAlign w:val="top"/>
          </w:tcPr>
          <w:p>
            <w:pPr>
              <w:pStyle w:val="TableText"/>
              <w:jc w:val="left"/>
            </w:pPr>
            <w:r>
              <w:t xml:space="preserve">No loss of committed entries within the RPO</w:t>
            </w:r>
          </w:p>
        </w:tc>
        <w:tc>
          <w:tcPr>
            <w:tcW w:w="1656" w:type="dxa"/>
            <w:shd w:val="clear" w:color="auto" w:fill="F4F7FB"/>
            <w:vAlign w:val="top"/>
          </w:tcPr>
          <w:p>
            <w:pPr>
              <w:pStyle w:val="TableText"/>
              <w:jc w:val="left"/>
            </w:pPr>
            <w:r>
              <w:t xml:space="preserve">1 (data)</w:t>
            </w:r>
          </w:p>
        </w:tc>
      </w:tr>
    </w:tbl>
    <w:p>
      <w:pPr>
        <w:pStyle w:val="Heading2"/>
      </w:pPr>
      <w:bookmarkStart w:id="12" w:name="_Toc300000008"/>
      <w:r>
        <w:t xml:space="preserve">Targets by tier</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28"/>
        <w:gridCol w:w="2424"/>
        <w:gridCol w:w="2357"/>
        <w:gridCol w:w="3518"/>
      </w:tblGrid>
      <w:tr>
        <w:trPr>
          <w:cantSplit/>
          <w:tblHeader/>
        </w:trPr>
        <w:tc>
          <w:tcPr>
            <w:tcW w:w="728" w:type="dxa"/>
            <w:shd w:val="clear" w:color="auto" w:fill="0F4761"/>
            <w:vAlign w:val="center"/>
          </w:tcPr>
          <w:p>
            <w:pPr>
              <w:pStyle w:val="TableHeading"/>
              <w:jc w:val="left"/>
            </w:pPr>
            <w:r>
              <w:rPr>
                <w:color w:val="FFFFFF"/>
              </w:rPr>
              <w:t xml:space="preserve">Tier</w:t>
            </w:r>
          </w:p>
        </w:tc>
        <w:tc>
          <w:tcPr>
            <w:tcW w:w="2424" w:type="dxa"/>
            <w:shd w:val="clear" w:color="auto" w:fill="0F4761"/>
            <w:vAlign w:val="center"/>
          </w:tcPr>
          <w:p>
            <w:pPr>
              <w:pStyle w:val="TableHeading"/>
              <w:jc w:val="left"/>
            </w:pPr>
            <w:r>
              <w:rPr>
                <w:color w:val="FFFFFF"/>
              </w:rPr>
              <w:t xml:space="preserve">RTO</w:t>
            </w:r>
          </w:p>
        </w:tc>
        <w:tc>
          <w:tcPr>
            <w:tcW w:w="2357" w:type="dxa"/>
            <w:shd w:val="clear" w:color="auto" w:fill="0F4761"/>
            <w:vAlign w:val="center"/>
          </w:tcPr>
          <w:p>
            <w:pPr>
              <w:pStyle w:val="TableHeading"/>
              <w:jc w:val="left"/>
            </w:pPr>
            <w:r>
              <w:rPr>
                <w:color w:val="FFFFFF"/>
              </w:rPr>
              <w:t xml:space="preserve">RPO</w:t>
            </w:r>
          </w:p>
        </w:tc>
        <w:tc>
          <w:tcPr>
            <w:tcW w:w="3518" w:type="dxa"/>
            <w:shd w:val="clear" w:color="auto" w:fill="0F4761"/>
            <w:vAlign w:val="center"/>
          </w:tcPr>
          <w:p>
            <w:pPr>
              <w:pStyle w:val="TableHeading"/>
              <w:jc w:val="left"/>
            </w:pPr>
            <w:r>
              <w:rPr>
                <w:color w:val="FFFFFF"/>
              </w:rPr>
              <w:t xml:space="preserve">Mechanism</w:t>
            </w:r>
          </w:p>
        </w:tc>
      </w:tr>
      <w:tr>
        <w:trPr>
          <w:cantSplit/>
        </w:trPr>
        <w:tc>
          <w:tcPr>
            <w:tcW w:w="728" w:type="dxa"/>
            <w:vAlign w:val="top"/>
          </w:tcPr>
          <w:p>
            <w:pPr>
              <w:pStyle w:val="TableText"/>
              <w:jc w:val="left"/>
            </w:pPr>
            <w:r>
              <w:t xml:space="preserve">1</w:t>
            </w:r>
          </w:p>
        </w:tc>
        <w:tc>
          <w:tcPr>
            <w:tcW w:w="2424" w:type="dxa"/>
            <w:vAlign w:val="top"/>
          </w:tcPr>
          <w:p>
            <w:pPr>
              <w:pStyle w:val="TableText"/>
              <w:jc w:val="left"/>
            </w:pPr>
            <w:r>
              <w:t xml:space="preserve">1 h for a zone failure (automatic); 4 h for a region loss (declared)</w:t>
            </w:r>
          </w:p>
        </w:tc>
        <w:tc>
          <w:tcPr>
            <w:tcW w:w="2357" w:type="dxa"/>
            <w:vAlign w:val="top"/>
          </w:tcPr>
          <w:p>
            <w:pPr>
              <w:pStyle w:val="TableText"/>
              <w:jc w:val="left"/>
            </w:pPr>
            <w:r>
              <w:t xml:space="preserve">0 for a zone failure; 15 minutes or less for a region loss (design aim 5 minutes)</w:t>
            </w:r>
          </w:p>
        </w:tc>
        <w:tc>
          <w:tcPr>
            <w:tcW w:w="3518" w:type="dxa"/>
            <w:vAlign w:val="top"/>
          </w:tcPr>
          <w:p>
            <w:pPr>
              <w:pStyle w:val="TableText"/>
              <w:jc w:val="left"/>
            </w:pPr>
            <w:r>
              <w:t xml:space="preserve">Multi-zone PostgreSQL with a synchronous standby; asynchronous cross-region replica; continuous WAL archiving</w:t>
            </w:r>
          </w:p>
        </w:tc>
      </w:tr>
      <w:tr>
        <w:trPr>
          <w:cantSplit/>
        </w:trPr>
        <w:tc>
          <w:tcPr>
            <w:tcW w:w="728" w:type="dxa"/>
            <w:shd w:val="clear" w:color="auto" w:fill="F4F7FB"/>
            <w:vAlign w:val="top"/>
          </w:tcPr>
          <w:p>
            <w:pPr>
              <w:pStyle w:val="TableText"/>
              <w:jc w:val="left"/>
            </w:pPr>
            <w:r>
              <w:t xml:space="preserve">2</w:t>
            </w:r>
          </w:p>
        </w:tc>
        <w:tc>
          <w:tcPr>
            <w:tcW w:w="2424" w:type="dxa"/>
            <w:shd w:val="clear" w:color="auto" w:fill="F4F7FB"/>
            <w:vAlign w:val="top"/>
          </w:tcPr>
          <w:p>
            <w:pPr>
              <w:pStyle w:val="TableText"/>
              <w:jc w:val="left"/>
            </w:pPr>
            <w:r>
              <w:t xml:space="preserve">8 h</w:t>
            </w:r>
          </w:p>
        </w:tc>
        <w:tc>
          <w:tcPr>
            <w:tcW w:w="2357" w:type="dxa"/>
            <w:shd w:val="clear" w:color="auto" w:fill="F4F7FB"/>
            <w:vAlign w:val="top"/>
          </w:tcPr>
          <w:p>
            <w:pPr>
              <w:pStyle w:val="TableText"/>
              <w:jc w:val="left"/>
            </w:pPr>
            <w:r>
              <w:t xml:space="preserve">15 minutes or less</w:t>
            </w:r>
          </w:p>
        </w:tc>
        <w:tc>
          <w:tcPr>
            <w:tcW w:w="3518" w:type="dxa"/>
            <w:shd w:val="clear" w:color="auto" w:fill="F4F7FB"/>
            <w:vAlign w:val="top"/>
          </w:tcPr>
          <w:p>
            <w:pPr>
              <w:pStyle w:val="TableText"/>
              <w:jc w:val="left"/>
            </w:pPr>
            <w:r>
              <w:t xml:space="preserve">Same database; journeys catch up on the next run</w:t>
            </w:r>
          </w:p>
        </w:tc>
      </w:tr>
      <w:tr>
        <w:trPr>
          <w:cantSplit/>
        </w:trPr>
        <w:tc>
          <w:tcPr>
            <w:tcW w:w="728" w:type="dxa"/>
            <w:vAlign w:val="top"/>
          </w:tcPr>
          <w:p>
            <w:pPr>
              <w:pStyle w:val="TableText"/>
              <w:jc w:val="left"/>
            </w:pPr>
            <w:r>
              <w:t xml:space="preserve">3</w:t>
            </w:r>
          </w:p>
        </w:tc>
        <w:tc>
          <w:tcPr>
            <w:tcW w:w="2424" w:type="dxa"/>
            <w:vAlign w:val="top"/>
          </w:tcPr>
          <w:p>
            <w:pPr>
              <w:pStyle w:val="TableText"/>
              <w:jc w:val="left"/>
            </w:pPr>
            <w:r>
              <w:t xml:space="preserve">72 h</w:t>
            </w:r>
          </w:p>
        </w:tc>
        <w:tc>
          <w:tcPr>
            <w:tcW w:w="2357" w:type="dxa"/>
            <w:vAlign w:val="top"/>
          </w:tcPr>
          <w:p>
            <w:pPr>
              <w:pStyle w:val="TableText"/>
              <w:jc w:val="left"/>
            </w:pPr>
            <w:r>
              <w:t xml:space="preserve">24 h or less</w:t>
            </w:r>
          </w:p>
        </w:tc>
        <w:tc>
          <w:tcPr>
            <w:tcW w:w="3518" w:type="dxa"/>
            <w:vAlign w:val="top"/>
          </w:tcPr>
          <w:p>
            <w:pPr>
              <w:pStyle w:val="TableText"/>
              <w:jc w:val="left"/>
            </w:pPr>
            <w:r>
              <w:t xml:space="preserve">Same database; ingestion re-run from source extracts</w:t>
            </w:r>
          </w:p>
        </w:tc>
      </w:tr>
    </w:tbl>
    <w:p>
      <w:pPr>
        <w:pStyle w:val="BodyText"/>
        <w:spacing w:before="160"/>
      </w:pPr>
      <w:r>
        <w:t xml:space="preserve">Secrets and keys: RTO 1 hour, RPO 0 (replicated vault). Monitoring: RTO 24 hours, rebuilt from code; loss of metric history accepted.</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Backups</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05"/>
        <w:gridCol w:w="2599"/>
        <w:gridCol w:w="1647"/>
        <w:gridCol w:w="2530"/>
        <w:gridCol w:w="1988"/>
        <w:gridCol w:w="1990"/>
      </w:tblGrid>
      <w:tr>
        <w:trPr>
          <w:cantSplit/>
          <w:tblHeader/>
        </w:trPr>
        <w:tc>
          <w:tcPr>
            <w:tcW w:w="3205" w:type="dxa"/>
            <w:shd w:val="clear" w:color="auto" w:fill="0F4761"/>
            <w:vAlign w:val="center"/>
          </w:tcPr>
          <w:p>
            <w:pPr>
              <w:pStyle w:val="TableHeading"/>
              <w:jc w:val="left"/>
            </w:pPr>
            <w:r>
              <w:rPr>
                <w:color w:val="FFFFFF"/>
              </w:rPr>
              <w:t xml:space="preserve">Asset</w:t>
            </w:r>
          </w:p>
        </w:tc>
        <w:tc>
          <w:tcPr>
            <w:tcW w:w="2599" w:type="dxa"/>
            <w:shd w:val="clear" w:color="auto" w:fill="0F4761"/>
            <w:vAlign w:val="center"/>
          </w:tcPr>
          <w:p>
            <w:pPr>
              <w:pStyle w:val="TableHeading"/>
              <w:jc w:val="left"/>
            </w:pPr>
            <w:r>
              <w:rPr>
                <w:color w:val="FFFFFF"/>
              </w:rPr>
              <w:t xml:space="preserve">Method</w:t>
            </w:r>
          </w:p>
        </w:tc>
        <w:tc>
          <w:tcPr>
            <w:tcW w:w="1647" w:type="dxa"/>
            <w:shd w:val="clear" w:color="auto" w:fill="0F4761"/>
            <w:vAlign w:val="center"/>
          </w:tcPr>
          <w:p>
            <w:pPr>
              <w:pStyle w:val="TableHeading"/>
              <w:jc w:val="left"/>
            </w:pPr>
            <w:r>
              <w:rPr>
                <w:color w:val="FFFFFF"/>
              </w:rPr>
              <w:t xml:space="preserve">Frequency</w:t>
            </w:r>
          </w:p>
        </w:tc>
        <w:tc>
          <w:tcPr>
            <w:tcW w:w="2530" w:type="dxa"/>
            <w:shd w:val="clear" w:color="auto" w:fill="0F4761"/>
            <w:vAlign w:val="center"/>
          </w:tcPr>
          <w:p>
            <w:pPr>
              <w:pStyle w:val="TableHeading"/>
              <w:jc w:val="left"/>
            </w:pPr>
            <w:r>
              <w:rPr>
                <w:color w:val="FFFFFF"/>
              </w:rPr>
              <w:t xml:space="preserve">Retention</w:t>
            </w:r>
          </w:p>
        </w:tc>
        <w:tc>
          <w:tcPr>
            <w:tcW w:w="1988" w:type="dxa"/>
            <w:shd w:val="clear" w:color="auto" w:fill="0F4761"/>
            <w:vAlign w:val="center"/>
          </w:tcPr>
          <w:p>
            <w:pPr>
              <w:pStyle w:val="TableHeading"/>
              <w:jc w:val="left"/>
            </w:pPr>
            <w:r>
              <w:rPr>
                <w:color w:val="FFFFFF"/>
              </w:rPr>
              <w:t xml:space="preserve">Location</w:t>
            </w:r>
          </w:p>
        </w:tc>
        <w:tc>
          <w:tcPr>
            <w:tcW w:w="1990" w:type="dxa"/>
            <w:shd w:val="clear" w:color="auto" w:fill="0F4761"/>
            <w:vAlign w:val="center"/>
          </w:tcPr>
          <w:p>
            <w:pPr>
              <w:pStyle w:val="TableHeading"/>
              <w:jc w:val="left"/>
            </w:pPr>
            <w:r>
              <w:rPr>
                <w:color w:val="FFFFFF"/>
              </w:rPr>
              <w:t xml:space="preserve">Verified by</w:t>
            </w:r>
          </w:p>
        </w:tc>
      </w:tr>
      <w:tr>
        <w:trPr>
          <w:cantSplit/>
        </w:trPr>
        <w:tc>
          <w:tcPr>
            <w:tcW w:w="3205" w:type="dxa"/>
            <w:vAlign w:val="top"/>
          </w:tcPr>
          <w:p>
            <w:pPr>
              <w:pStyle w:val="TableText"/>
              <w:jc w:val="left"/>
            </w:pPr>
            <w:r>
              <w:t xml:space="preserve">PostgreSQL</w:t>
            </w:r>
          </w:p>
        </w:tc>
        <w:tc>
          <w:tcPr>
            <w:tcW w:w="2599" w:type="dxa"/>
            <w:vAlign w:val="top"/>
          </w:tcPr>
          <w:p>
            <w:pPr>
              <w:pStyle w:val="TableText"/>
              <w:jc w:val="left"/>
            </w:pPr>
            <w:r>
              <w:t xml:space="preserve">Managed point-in-time recovery: continuous WAL archiving and a daily base backup</w:t>
            </w:r>
          </w:p>
        </w:tc>
        <w:tc>
          <w:tcPr>
            <w:tcW w:w="1647" w:type="dxa"/>
            <w:vAlign w:val="top"/>
          </w:tcPr>
          <w:p>
            <w:pPr>
              <w:pStyle w:val="TableText"/>
              <w:jc w:val="left"/>
            </w:pPr>
            <w:r>
              <w:t xml:space="preserve">Continuous; daily at 01:00</w:t>
            </w:r>
          </w:p>
        </w:tc>
        <w:tc>
          <w:tcPr>
            <w:tcW w:w="2530" w:type="dxa"/>
            <w:vAlign w:val="top"/>
          </w:tcPr>
          <w:p>
            <w:pPr>
              <w:pStyle w:val="TableText"/>
              <w:jc w:val="left"/>
            </w:pPr>
            <w:r>
              <w:t xml:space="preserve">35 days; monthly snapshot for 12 months; yearly for 10 years (orders, certificates and audit log kept 3,650 days)</w:t>
            </w:r>
          </w:p>
        </w:tc>
        <w:tc>
          <w:tcPr>
            <w:tcW w:w="1988" w:type="dxa"/>
            <w:vAlign w:val="top"/>
          </w:tcPr>
          <w:p>
            <w:pPr>
              <w:pStyle w:val="TableText"/>
              <w:jc w:val="left"/>
            </w:pPr>
            <w:r>
              <w:t xml:space="preserve">Primary region and a cross-region copy</w:t>
            </w:r>
          </w:p>
        </w:tc>
        <w:tc>
          <w:tcPr>
            <w:tcW w:w="1990" w:type="dxa"/>
            <w:vAlign w:val="top"/>
          </w:tcPr>
          <w:p>
            <w:pPr>
              <w:pStyle w:val="TableText"/>
              <w:jc w:val="left"/>
            </w:pPr>
            <w:r>
              <w:t xml:space="preserve">Weekly automated restore (DR-T1 light)</w:t>
            </w:r>
          </w:p>
        </w:tc>
      </w:tr>
      <w:tr>
        <w:trPr>
          <w:cantSplit/>
        </w:trPr>
        <w:tc>
          <w:tcPr>
            <w:tcW w:w="3205" w:type="dxa"/>
            <w:shd w:val="clear" w:color="auto" w:fill="F4F7FB"/>
            <w:vAlign w:val="top"/>
          </w:tcPr>
          <w:p>
            <w:pPr>
              <w:pStyle w:val="TableText"/>
              <w:jc w:val="left"/>
            </w:pPr>
            <w:r>
              <w:t xml:space="preserve">Audit chain head</w:t>
            </w:r>
          </w:p>
        </w:tc>
        <w:tc>
          <w:tcPr>
            <w:tcW w:w="2599" w:type="dxa"/>
            <w:shd w:val="clear" w:color="auto" w:fill="F4F7FB"/>
            <w:vAlign w:val="top"/>
          </w:tcPr>
          <w:p>
            <w:pPr>
              <w:pStyle w:val="TableText"/>
              <w:jc w:val="left"/>
            </w:pPr>
            <w:r>
              <w:t xml:space="preserve">Export of the latest sequence and hash</w:t>
            </w:r>
          </w:p>
        </w:tc>
        <w:tc>
          <w:tcPr>
            <w:tcW w:w="1647" w:type="dxa"/>
            <w:shd w:val="clear" w:color="auto" w:fill="F4F7FB"/>
            <w:vAlign w:val="top"/>
          </w:tcPr>
          <w:p>
            <w:pPr>
              <w:pStyle w:val="TableText"/>
              <w:jc w:val="left"/>
            </w:pPr>
            <w:r>
              <w:t xml:space="preserve">Nightly</w:t>
            </w:r>
          </w:p>
        </w:tc>
        <w:tc>
          <w:tcPr>
            <w:tcW w:w="2530" w:type="dxa"/>
            <w:shd w:val="clear" w:color="auto" w:fill="F4F7FB"/>
            <w:vAlign w:val="top"/>
          </w:tcPr>
          <w:p>
            <w:pPr>
              <w:pStyle w:val="TableText"/>
              <w:jc w:val="left"/>
            </w:pPr>
            <w:r>
              <w:t xml:space="preserve">10 years</w:t>
            </w:r>
          </w:p>
        </w:tc>
        <w:tc>
          <w:tcPr>
            <w:tcW w:w="1988" w:type="dxa"/>
            <w:shd w:val="clear" w:color="auto" w:fill="F4F7FB"/>
            <w:vAlign w:val="top"/>
          </w:tcPr>
          <w:p>
            <w:pPr>
              <w:pStyle w:val="TableText"/>
              <w:jc w:val="left"/>
            </w:pPr>
            <w:r>
              <w:t xml:space="preserve">WORM bucket</w:t>
            </w:r>
          </w:p>
        </w:tc>
        <w:tc>
          <w:tcPr>
            <w:tcW w:w="1990" w:type="dxa"/>
            <w:shd w:val="clear" w:color="auto" w:fill="F4F7FB"/>
            <w:vAlign w:val="top"/>
          </w:tcPr>
          <w:p>
            <w:pPr>
              <w:pStyle w:val="TableText"/>
              <w:jc w:val="left"/>
            </w:pPr>
            <w:r>
              <w:t xml:space="preserve">Compared with audit verification</w:t>
            </w:r>
          </w:p>
        </w:tc>
      </w:tr>
      <w:tr>
        <w:trPr>
          <w:cantSplit/>
        </w:trPr>
        <w:tc>
          <w:tcPr>
            <w:tcW w:w="3205" w:type="dxa"/>
            <w:vAlign w:val="top"/>
          </w:tcPr>
          <w:p>
            <w:pPr>
              <w:pStyle w:val="TableText"/>
              <w:jc w:val="left"/>
            </w:pPr>
            <w:r>
              <w:t xml:space="preserve">Secrets and keys (</w:t>
            </w:r>
            <w:r>
              <w:rPr>
                <w:rStyle w:val="CodeChar"/>
              </w:rPr>
              <w:t xml:space="preserve">JWT_SECRET</w:t>
            </w:r>
            <w:r>
              <w:t xml:space="preserve">, all</w:t>
            </w:r>
            <w:r>
              <w:t xml:space="preserve"> </w:t>
            </w:r>
            <w:r>
              <w:rPr>
                <w:rStyle w:val="CodeChar"/>
              </w:rPr>
              <w:t xml:space="preserve">DATA_KEYS</w:t>
            </w:r>
            <w:r>
              <w:t xml:space="preserve"> </w:t>
            </w:r>
            <w:r>
              <w:t xml:space="preserve">IDs,</w:t>
            </w:r>
            <w:r>
              <w:t xml:space="preserve"> </w:t>
            </w:r>
            <w:r>
              <w:rPr>
                <w:rStyle w:val="CodeChar"/>
              </w:rPr>
              <w:t xml:space="preserve">BLIND_INDEX_KEY</w:t>
            </w:r>
            <w:r>
              <w:t xml:space="preserve">, database and partner credentials including the TASCO core client secret)</w:t>
            </w:r>
          </w:p>
        </w:tc>
        <w:tc>
          <w:tcPr>
            <w:tcW w:w="2599" w:type="dxa"/>
            <w:vAlign w:val="top"/>
          </w:tcPr>
          <w:p>
            <w:pPr>
              <w:pStyle w:val="TableText"/>
              <w:jc w:val="left"/>
            </w:pPr>
            <w:r>
              <w:t xml:space="preserve">Vault with replication and two-person sealed escrow</w:t>
            </w:r>
          </w:p>
        </w:tc>
        <w:tc>
          <w:tcPr>
            <w:tcW w:w="1647" w:type="dxa"/>
            <w:vAlign w:val="top"/>
          </w:tcPr>
          <w:p>
            <w:pPr>
              <w:pStyle w:val="TableText"/>
              <w:jc w:val="left"/>
            </w:pPr>
            <w:r>
              <w:t xml:space="preserve">On change</w:t>
            </w:r>
          </w:p>
        </w:tc>
        <w:tc>
          <w:tcPr>
            <w:tcW w:w="2530" w:type="dxa"/>
            <w:vAlign w:val="top"/>
          </w:tcPr>
          <w:p>
            <w:pPr>
              <w:pStyle w:val="TableText"/>
              <w:jc w:val="left"/>
            </w:pPr>
            <w:r>
              <w:t xml:space="preserve">All versions of</w:t>
            </w:r>
            <w:r>
              <w:t xml:space="preserve"> </w:t>
            </w:r>
            <w:r>
              <w:rPr>
                <w:rStyle w:val="CodeChar"/>
              </w:rPr>
              <w:t xml:space="preserve">DATA_KEYS</w:t>
            </w:r>
            <w:r>
              <w:t xml:space="preserve"> </w:t>
            </w:r>
            <w:r>
              <w:t xml:space="preserve">kept indefinitely</w:t>
            </w:r>
          </w:p>
        </w:tc>
        <w:tc>
          <w:tcPr>
            <w:tcW w:w="1988" w:type="dxa"/>
            <w:vAlign w:val="top"/>
          </w:tcPr>
          <w:p>
            <w:pPr>
              <w:pStyle w:val="TableText"/>
              <w:jc w:val="left"/>
            </w:pPr>
            <w:r>
              <w:t xml:space="preserve">Vault in both regions and escrow</w:t>
            </w:r>
          </w:p>
        </w:tc>
        <w:tc>
          <w:tcPr>
            <w:tcW w:w="1990" w:type="dxa"/>
            <w:vAlign w:val="top"/>
          </w:tcPr>
          <w:p>
            <w:pPr>
              <w:pStyle w:val="TableText"/>
              <w:jc w:val="left"/>
            </w:pPr>
            <w:r>
              <w:t xml:space="preserve">Key recovery drill (DR-T5)</w:t>
            </w:r>
          </w:p>
        </w:tc>
      </w:tr>
      <w:tr>
        <w:trPr>
          <w:cantSplit/>
        </w:trPr>
        <w:tc>
          <w:tcPr>
            <w:tcW w:w="3205" w:type="dxa"/>
            <w:shd w:val="clear" w:color="auto" w:fill="F4F7FB"/>
            <w:vAlign w:val="top"/>
          </w:tcPr>
          <w:p>
            <w:pPr>
              <w:pStyle w:val="TableText"/>
              <w:jc w:val="left"/>
            </w:pPr>
            <w:r>
              <w:t xml:space="preserve">Configuration and infrastructure code</w:t>
            </w:r>
          </w:p>
        </w:tc>
        <w:tc>
          <w:tcPr>
            <w:tcW w:w="2599" w:type="dxa"/>
            <w:shd w:val="clear" w:color="auto" w:fill="F4F7FB"/>
            <w:vAlign w:val="top"/>
          </w:tcPr>
          <w:p>
            <w:pPr>
              <w:pStyle w:val="TableText"/>
              <w:jc w:val="left"/>
            </w:pPr>
            <w:r>
              <w:t xml:space="preserve">Git (</w:t>
            </w:r>
            <w:r>
              <w:rPr>
                <w:rStyle w:val="CodeChar"/>
              </w:rPr>
              <w:t xml:space="preserve">deploy/k8s</w:t>
            </w:r>
            <w:r>
              <w:t xml:space="preserve">,</w:t>
            </w:r>
            <w:r>
              <w:t xml:space="preserve"> </w:t>
            </w:r>
            <w:r>
              <w:rPr>
                <w:rStyle w:val="CodeChar"/>
              </w:rPr>
              <w:t xml:space="preserve">Dockerfile</w:t>
            </w:r>
            <w:r>
              <w:t xml:space="preserve">, CI)</w:t>
            </w:r>
          </w:p>
        </w:tc>
        <w:tc>
          <w:tcPr>
            <w:tcW w:w="1647" w:type="dxa"/>
            <w:shd w:val="clear" w:color="auto" w:fill="F4F7FB"/>
            <w:vAlign w:val="top"/>
          </w:tcPr>
          <w:p>
            <w:pPr>
              <w:pStyle w:val="TableText"/>
              <w:jc w:val="left"/>
            </w:pPr>
            <w:r>
              <w:t xml:space="preserve">On commit</w:t>
            </w:r>
          </w:p>
        </w:tc>
        <w:tc>
          <w:tcPr>
            <w:tcW w:w="2530" w:type="dxa"/>
            <w:shd w:val="clear" w:color="auto" w:fill="F4F7FB"/>
            <w:vAlign w:val="top"/>
          </w:tcPr>
          <w:p>
            <w:pPr>
              <w:pStyle w:val="TableText"/>
              <w:jc w:val="left"/>
            </w:pPr>
            <w:r>
              <w:t xml:space="preserve">Indefinite</w:t>
            </w:r>
          </w:p>
        </w:tc>
        <w:tc>
          <w:tcPr>
            <w:tcW w:w="1988" w:type="dxa"/>
            <w:shd w:val="clear" w:color="auto" w:fill="F4F7FB"/>
            <w:vAlign w:val="top"/>
          </w:tcPr>
          <w:p>
            <w:pPr>
              <w:pStyle w:val="TableText"/>
              <w:jc w:val="left"/>
            </w:pPr>
            <w:r>
              <w:t xml:space="preserve">Git hosting and a mirror</w:t>
            </w:r>
          </w:p>
        </w:tc>
        <w:tc>
          <w:tcPr>
            <w:tcW w:w="1990" w:type="dxa"/>
            <w:shd w:val="clear" w:color="auto" w:fill="F4F7FB"/>
            <w:vAlign w:val="top"/>
          </w:tcPr>
          <w:p>
            <w:pPr>
              <w:pStyle w:val="TableText"/>
              <w:jc w:val="left"/>
            </w:pPr>
            <w:r>
              <w:t xml:space="preserve">Rebuild drill (DR-T4)</w:t>
            </w:r>
          </w:p>
        </w:tc>
      </w:tr>
      <w:tr>
        <w:trPr>
          <w:cantSplit/>
        </w:trPr>
        <w:tc>
          <w:tcPr>
            <w:tcW w:w="3205" w:type="dxa"/>
            <w:vAlign w:val="top"/>
          </w:tcPr>
          <w:p>
            <w:pPr>
              <w:pStyle w:val="TableText"/>
              <w:jc w:val="left"/>
            </w:pPr>
            <w:r>
              <w:t xml:space="preserve">Container images</w:t>
            </w:r>
          </w:p>
        </w:tc>
        <w:tc>
          <w:tcPr>
            <w:tcW w:w="2599" w:type="dxa"/>
            <w:vAlign w:val="top"/>
          </w:tcPr>
          <w:p>
            <w:pPr>
              <w:pStyle w:val="TableText"/>
              <w:jc w:val="left"/>
            </w:pPr>
            <w:r>
              <w:t xml:space="preserve">Registry with immutable tags (version and commit)</w:t>
            </w:r>
          </w:p>
        </w:tc>
        <w:tc>
          <w:tcPr>
            <w:tcW w:w="1647" w:type="dxa"/>
            <w:vAlign w:val="top"/>
          </w:tcPr>
          <w:p>
            <w:pPr>
              <w:pStyle w:val="TableText"/>
              <w:jc w:val="left"/>
            </w:pPr>
            <w:r>
              <w:t xml:space="preserve">On release</w:t>
            </w:r>
          </w:p>
        </w:tc>
        <w:tc>
          <w:tcPr>
            <w:tcW w:w="2530" w:type="dxa"/>
            <w:vAlign w:val="top"/>
          </w:tcPr>
          <w:p>
            <w:pPr>
              <w:pStyle w:val="TableText"/>
              <w:jc w:val="left"/>
            </w:pPr>
            <w:r>
              <w:t xml:space="preserve">Last 20 releases</w:t>
            </w:r>
          </w:p>
        </w:tc>
        <w:tc>
          <w:tcPr>
            <w:tcW w:w="1988" w:type="dxa"/>
            <w:vAlign w:val="top"/>
          </w:tcPr>
          <w:p>
            <w:pPr>
              <w:pStyle w:val="TableText"/>
              <w:jc w:val="left"/>
            </w:pPr>
            <w:r>
              <w:t xml:space="preserve">Replicated to the DR region</w:t>
            </w:r>
          </w:p>
        </w:tc>
        <w:tc>
          <w:tcPr>
            <w:tcW w:w="1990" w:type="dxa"/>
            <w:vAlign w:val="top"/>
          </w:tcPr>
          <w:p>
            <w:pPr>
              <w:pStyle w:val="TableText"/>
              <w:jc w:val="left"/>
            </w:pPr>
            <w:r>
              <w:t xml:space="preserve">Pull test in DR</w:t>
            </w:r>
          </w:p>
        </w:tc>
      </w:tr>
      <w:tr>
        <w:trPr>
          <w:cantSplit/>
        </w:trPr>
        <w:tc>
          <w:tcPr>
            <w:tcW w:w="3205" w:type="dxa"/>
            <w:shd w:val="clear" w:color="auto" w:fill="F4F7FB"/>
            <w:vAlign w:val="top"/>
          </w:tcPr>
          <w:p>
            <w:pPr>
              <w:pStyle w:val="TableText"/>
              <w:jc w:val="left"/>
            </w:pPr>
            <w:r>
              <w:t xml:space="preserve">Rule sets and product catalogue</w:t>
            </w:r>
          </w:p>
        </w:tc>
        <w:tc>
          <w:tcPr>
            <w:tcW w:w="2599" w:type="dxa"/>
            <w:shd w:val="clear" w:color="auto" w:fill="F4F7FB"/>
            <w:vAlign w:val="top"/>
          </w:tcPr>
          <w:p>
            <w:pPr>
              <w:pStyle w:val="TableText"/>
              <w:jc w:val="left"/>
            </w:pPr>
            <w:r>
              <w:t xml:space="preserve">Inside PostgreSQL (all versions); defaults in</w:t>
            </w:r>
            <w:r>
              <w:t xml:space="preserve"> </w:t>
            </w:r>
            <w:r>
              <w:rPr>
                <w:rStyle w:val="CodeChar"/>
              </w:rPr>
              <w:t xml:space="preserve">config/rules</w:t>
            </w:r>
          </w:p>
        </w:tc>
        <w:tc>
          <w:tcPr>
            <w:tcW w:w="1647" w:type="dxa"/>
            <w:shd w:val="clear" w:color="auto" w:fill="F4F7FB"/>
            <w:vAlign w:val="top"/>
          </w:tcPr>
          <w:p>
            <w:pPr>
              <w:pStyle w:val="TableText"/>
              <w:jc w:val="left"/>
            </w:pPr>
            <w:r>
              <w:t xml:space="preserve">—</w:t>
            </w:r>
          </w:p>
        </w:tc>
        <w:tc>
          <w:tcPr>
            <w:tcW w:w="2530" w:type="dxa"/>
            <w:shd w:val="clear" w:color="auto" w:fill="F4F7FB"/>
            <w:vAlign w:val="top"/>
          </w:tcPr>
          <w:p>
            <w:pPr>
              <w:pStyle w:val="TableText"/>
              <w:jc w:val="left"/>
            </w:pPr>
            <w:r>
              <w:t xml:space="preserve">—</w:t>
            </w:r>
          </w:p>
        </w:tc>
        <w:tc>
          <w:tcPr>
            <w:tcW w:w="1988" w:type="dxa"/>
            <w:shd w:val="clear" w:color="auto" w:fill="F4F7FB"/>
            <w:vAlign w:val="top"/>
          </w:tcPr>
          <w:p>
            <w:pPr>
              <w:pStyle w:val="TableText"/>
              <w:jc w:val="left"/>
            </w:pPr>
            <w:r>
              <w:t xml:space="preserve">Covered by the database backup</w:t>
            </w:r>
          </w:p>
        </w:tc>
        <w:tc>
          <w:tcPr>
            <w:tcW w:w="1990" w:type="dxa"/>
            <w:shd w:val="clear" w:color="auto" w:fill="F4F7FB"/>
            <w:vAlign w:val="top"/>
          </w:tcPr>
          <w:p>
            <w:pPr>
              <w:pStyle w:val="TableText"/>
              <w:jc w:val="left"/>
            </w:pPr>
            <w:r>
              <w:t xml:space="preserve">Checksums against the change log</w:t>
            </w:r>
          </w:p>
        </w:tc>
      </w:tr>
      <w:tr>
        <w:trPr>
          <w:cantSplit/>
        </w:trPr>
        <w:tc>
          <w:tcPr>
            <w:tcW w:w="3205" w:type="dxa"/>
            <w:vAlign w:val="top"/>
          </w:tcPr>
          <w:p>
            <w:pPr>
              <w:pStyle w:val="TableText"/>
              <w:jc w:val="left"/>
            </w:pPr>
            <w:r>
              <w:t xml:space="preserve">Source extracts</w:t>
            </w:r>
          </w:p>
        </w:tc>
        <w:tc>
          <w:tcPr>
            <w:tcW w:w="2599" w:type="dxa"/>
            <w:vAlign w:val="top"/>
          </w:tcPr>
          <w:p>
            <w:pPr>
              <w:pStyle w:val="TableText"/>
              <w:jc w:val="left"/>
            </w:pPr>
            <w:r>
              <w:t xml:space="preserve">Landing bucket</w:t>
            </w:r>
          </w:p>
        </w:tc>
        <w:tc>
          <w:tcPr>
            <w:tcW w:w="1647" w:type="dxa"/>
            <w:vAlign w:val="top"/>
          </w:tcPr>
          <w:p>
            <w:pPr>
              <w:pStyle w:val="TableText"/>
              <w:jc w:val="left"/>
            </w:pPr>
            <w:r>
              <w:t xml:space="preserve">Per delivery</w:t>
            </w:r>
          </w:p>
        </w:tc>
        <w:tc>
          <w:tcPr>
            <w:tcW w:w="2530" w:type="dxa"/>
            <w:vAlign w:val="top"/>
          </w:tcPr>
          <w:p>
            <w:pPr>
              <w:pStyle w:val="TableText"/>
              <w:jc w:val="left"/>
            </w:pPr>
            <w:r>
              <w:t xml:space="preserve">365 days</w:t>
            </w:r>
          </w:p>
        </w:tc>
        <w:tc>
          <w:tcPr>
            <w:tcW w:w="1988" w:type="dxa"/>
            <w:vAlign w:val="top"/>
          </w:tcPr>
          <w:p>
            <w:pPr>
              <w:pStyle w:val="TableText"/>
              <w:jc w:val="left"/>
            </w:pPr>
            <w:r>
              <w:t xml:space="preserve">Primary and DR</w:t>
            </w:r>
          </w:p>
        </w:tc>
        <w:tc>
          <w:tcPr>
            <w:tcW w:w="1990" w:type="dxa"/>
            <w:vAlign w:val="top"/>
          </w:tcPr>
          <w:p>
            <w:pPr>
              <w:pStyle w:val="TableText"/>
              <w:jc w:val="left"/>
            </w:pPr>
            <w:r>
              <w:t xml:space="preserve">Re-import test</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Backups are encrypted at rest by the provider. Personal data inside them is also encrypted at field level (AES-256-GCM), so a restore needs the application keys.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DR topology</w:t>
      </w:r>
      <w:bookmarkEnd w:id="14"/>
    </w:p>
    <w:p>
      <w:pPr>
        <w:pStyle w:val="FirstParagraph"/>
      </w:pPr>
      <w:r>
        <w:t xml:space="preserve">The DR region runs as a warm standby: an asynchronous database replica, a scaled-down application and suspended scheduled jobs.</w:t>
      </w:r>
    </w:p>
    <w:p xmlns:a="http://schemas.openxmlformats.org/drawingml/2006/main" xmlns:pic="http://schemas.openxmlformats.org/drawingml/2006/picture">
      <w:pPr>
        <w:pStyle w:val="Figure"/>
      </w:pPr>
      <w:r>
        <w:drawing>
          <wp:inline>
            <wp:extent cx="5727700" cy="4304453"/>
            <wp:effectExtent b="0" l="0" r="0" t="0"/>
            <wp:docPr descr="DR topology: warm standby in the second region" title="" id="5002" name="Picture"/>
            <a:graphic>
              <a:graphicData uri="http://schemas.openxmlformats.org/drawingml/2006/picture">
                <pic:pic>
                  <pic:nvPicPr>
                    <pic:cNvPr descr="/tmp/claude-0/-home-user-TASCO/19e5534d-12b5-5956-9b60-3e77efde0f49/scratchpad/gen/.cache/mermaid/ee339d8a72bdc004.png" id="29" name="Picture"/>
                    <pic:cNvPicPr>
                      <a:picLocks noChangeArrowheads="1" noChangeAspect="1"/>
                    </pic:cNvPicPr>
                  </pic:nvPicPr>
                  <pic:blipFill>
                    <a:blip r:embed="rIdG1"/>
                    <a:stretch>
                      <a:fillRect/>
                    </a:stretch>
                  </pic:blipFill>
                  <pic:spPr bwMode="auto">
                    <a:xfrm>
                      <a:off x="0" y="0"/>
                      <a:ext cx="5727700" cy="4304453"/>
                    </a:xfrm>
                    <a:prstGeom prst="rect">
                      <a:avLst/>
                    </a:prstGeom>
                    <a:noFill/>
                    <a:ln w="9525">
                      <a:noFill/>
                      <a:headEnd/>
                      <a:tailEnd/>
                    </a:ln>
                  </pic:spPr>
                </pic:pic>
              </a:graphicData>
            </a:graphic>
          </wp:inline>
        </w:drawing>
      </w:r>
    </w:p>
    <w:p>
      <w:pPr>
        <w:pStyle w:val="Caption"/>
      </w:pPr>
      <w:r>
        <w:t xml:space="preserve">Figure 1 – DR topology: warm standby in the second region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98"/>
        <w:gridCol w:w="3946"/>
        <w:gridCol w:w="3483"/>
      </w:tblGrid>
      <w:tr>
        <w:trPr>
          <w:cantSplit/>
          <w:tblHeader/>
        </w:trPr>
        <w:tc>
          <w:tcPr>
            <w:tcW w:w="1598" w:type="dxa"/>
            <w:shd w:val="clear" w:color="auto" w:fill="0F4761"/>
            <w:vAlign w:val="center"/>
          </w:tcPr>
          <w:p>
            <w:pPr>
              <w:pStyle w:val="TableHeading"/>
              <w:jc w:val="left"/>
            </w:pPr>
            <w:r>
              <w:rPr>
                <w:color w:val="FFFFFF"/>
              </w:rPr>
              <w:t xml:space="preserve">Element</w:t>
            </w:r>
          </w:p>
        </w:tc>
        <w:tc>
          <w:tcPr>
            <w:tcW w:w="3946" w:type="dxa"/>
            <w:shd w:val="clear" w:color="auto" w:fill="0F4761"/>
            <w:vAlign w:val="center"/>
          </w:tcPr>
          <w:p>
            <w:pPr>
              <w:pStyle w:val="TableHeading"/>
              <w:jc w:val="left"/>
            </w:pPr>
            <w:r>
              <w:rPr>
                <w:color w:val="FFFFFF"/>
              </w:rPr>
              <w:t xml:space="preserve">Primary</w:t>
            </w:r>
          </w:p>
        </w:tc>
        <w:tc>
          <w:tcPr>
            <w:tcW w:w="3483" w:type="dxa"/>
            <w:shd w:val="clear" w:color="auto" w:fill="0F4761"/>
            <w:vAlign w:val="center"/>
          </w:tcPr>
          <w:p>
            <w:pPr>
              <w:pStyle w:val="TableHeading"/>
              <w:jc w:val="left"/>
            </w:pPr>
            <w:r>
              <w:rPr>
                <w:color w:val="FFFFFF"/>
              </w:rPr>
              <w:t xml:space="preserve">DR (warm standby)</w:t>
            </w:r>
          </w:p>
        </w:tc>
      </w:tr>
      <w:tr>
        <w:trPr>
          <w:cantSplit/>
        </w:trPr>
        <w:tc>
          <w:tcPr>
            <w:tcW w:w="1598" w:type="dxa"/>
            <w:vAlign w:val="top"/>
          </w:tcPr>
          <w:p>
            <w:pPr>
              <w:pStyle w:val="TableText"/>
              <w:jc w:val="left"/>
            </w:pPr>
            <w:r>
              <w:t xml:space="preserve">Application</w:t>
            </w:r>
          </w:p>
        </w:tc>
        <w:tc>
          <w:tcPr>
            <w:tcW w:w="3946" w:type="dxa"/>
            <w:vAlign w:val="top"/>
          </w:tcPr>
          <w:p>
            <w:pPr>
              <w:pStyle w:val="TableText"/>
              <w:jc w:val="left"/>
            </w:pPr>
            <w:r>
              <w:t xml:space="preserve">At least 3 replicas across 2 zones; disruption budget minimum 2; grace period at least 30 s</w:t>
            </w:r>
          </w:p>
        </w:tc>
        <w:tc>
          <w:tcPr>
            <w:tcW w:w="3483" w:type="dxa"/>
            <w:vAlign w:val="top"/>
          </w:tcPr>
          <w:p>
            <w:pPr>
              <w:pStyle w:val="TableText"/>
              <w:jc w:val="left"/>
            </w:pPr>
            <w:r>
              <w:t xml:space="preserve">0 to 2 replicas of the same image; scaled up on declaration</w:t>
            </w:r>
          </w:p>
        </w:tc>
      </w:tr>
      <w:tr>
        <w:trPr>
          <w:cantSplit/>
        </w:trPr>
        <w:tc>
          <w:tcPr>
            <w:tcW w:w="1598" w:type="dxa"/>
            <w:shd w:val="clear" w:color="auto" w:fill="F4F7FB"/>
            <w:vAlign w:val="top"/>
          </w:tcPr>
          <w:p>
            <w:pPr>
              <w:pStyle w:val="TableText"/>
              <w:jc w:val="left"/>
            </w:pPr>
            <w:r>
              <w:t xml:space="preserve">Database</w:t>
            </w:r>
          </w:p>
        </w:tc>
        <w:tc>
          <w:tcPr>
            <w:tcW w:w="3946" w:type="dxa"/>
            <w:shd w:val="clear" w:color="auto" w:fill="F4F7FB"/>
            <w:vAlign w:val="top"/>
          </w:tcPr>
          <w:p>
            <w:pPr>
              <w:pStyle w:val="TableText"/>
              <w:jc w:val="left"/>
            </w:pPr>
            <w:r>
              <w:t xml:space="preserve">High-availability primary with a synchronous standby (automatic zone failover)</w:t>
            </w:r>
          </w:p>
        </w:tc>
        <w:tc>
          <w:tcPr>
            <w:tcW w:w="3483" w:type="dxa"/>
            <w:shd w:val="clear" w:color="auto" w:fill="F4F7FB"/>
            <w:vAlign w:val="top"/>
          </w:tcPr>
          <w:p>
            <w:pPr>
              <w:pStyle w:val="TableText"/>
              <w:jc w:val="left"/>
            </w:pPr>
            <w:r>
              <w:t xml:space="preserve">Asynchronous replica, lag under 30 s (ALR-91), promotable</w:t>
            </w:r>
          </w:p>
        </w:tc>
      </w:tr>
      <w:tr>
        <w:trPr>
          <w:cantSplit/>
        </w:trPr>
        <w:tc>
          <w:tcPr>
            <w:tcW w:w="1598" w:type="dxa"/>
            <w:vAlign w:val="top"/>
          </w:tcPr>
          <w:p>
            <w:pPr>
              <w:pStyle w:val="TableText"/>
              <w:jc w:val="left"/>
            </w:pPr>
            <w:r>
              <w:t xml:space="preserve">Scheduled jobs</w:t>
            </w:r>
          </w:p>
        </w:tc>
        <w:tc>
          <w:tcPr>
            <w:tcW w:w="3946" w:type="dxa"/>
            <w:vAlign w:val="top"/>
          </w:tcPr>
          <w:p>
            <w:pPr>
              <w:pStyle w:val="TableText"/>
              <w:jc w:val="left"/>
            </w:pPr>
            <w:r>
              <w:t xml:space="preserve">Active, including the nightly catalogue sync</w:t>
            </w:r>
          </w:p>
        </w:tc>
        <w:tc>
          <w:tcPr>
            <w:tcW w:w="3483" w:type="dxa"/>
            <w:vAlign w:val="top"/>
          </w:tcPr>
          <w:p>
            <w:pPr>
              <w:pStyle w:val="TableText"/>
              <w:jc w:val="left"/>
            </w:pPr>
            <w:r>
              <w:t xml:space="preserve">Suspended. Two journey schedulers would contact customers twice</w:t>
            </w:r>
          </w:p>
        </w:tc>
      </w:tr>
      <w:tr>
        <w:trPr>
          <w:cantSplit/>
        </w:trPr>
        <w:tc>
          <w:tcPr>
            <w:tcW w:w="1598" w:type="dxa"/>
            <w:shd w:val="clear" w:color="auto" w:fill="F4F7FB"/>
            <w:vAlign w:val="top"/>
          </w:tcPr>
          <w:p>
            <w:pPr>
              <w:pStyle w:val="TableText"/>
              <w:jc w:val="left"/>
            </w:pPr>
            <w:r>
              <w:t xml:space="preserve">Outbound traffic</w:t>
            </w:r>
          </w:p>
        </w:tc>
        <w:tc>
          <w:tcPr>
            <w:tcW w:w="3946" w:type="dxa"/>
            <w:shd w:val="clear" w:color="auto" w:fill="F4F7FB"/>
            <w:vAlign w:val="top"/>
          </w:tcPr>
          <w:p>
            <w:pPr>
              <w:pStyle w:val="TableText"/>
              <w:jc w:val="left"/>
            </w:pPr>
            <w:r>
              <w:t xml:space="preserve">Allow-listed at VETC, TASCO core, Zalo, SMS and the voice vendor</w:t>
            </w:r>
          </w:p>
        </w:tc>
        <w:tc>
          <w:tcPr>
            <w:tcW w:w="3483" w:type="dxa"/>
            <w:shd w:val="clear" w:color="auto" w:fill="F4F7FB"/>
            <w:vAlign w:val="top"/>
          </w:tcPr>
          <w:p>
            <w:pPr>
              <w:pStyle w:val="TableText"/>
              <w:jc w:val="left"/>
            </w:pPr>
            <w:r>
              <w:t xml:space="preserve">DR egress addresses registered with every partner in advance</w:t>
            </w:r>
          </w:p>
        </w:tc>
      </w:tr>
      <w:tr>
        <w:trPr>
          <w:cantSplit/>
        </w:trPr>
        <w:tc>
          <w:tcPr>
            <w:tcW w:w="1598" w:type="dxa"/>
            <w:vAlign w:val="top"/>
          </w:tcPr>
          <w:p>
            <w:pPr>
              <w:pStyle w:val="TableText"/>
              <w:jc w:val="left"/>
            </w:pPr>
            <w:r>
              <w:t xml:space="preserve">Secrets</w:t>
            </w:r>
          </w:p>
        </w:tc>
        <w:tc>
          <w:tcPr>
            <w:tcW w:w="3946" w:type="dxa"/>
            <w:vAlign w:val="top"/>
          </w:tcPr>
          <w:p>
            <w:pPr>
              <w:pStyle w:val="TableText"/>
              <w:jc w:val="left"/>
            </w:pPr>
            <w:r>
              <w:t xml:space="preserve">Vault</w:t>
            </w:r>
          </w:p>
        </w:tc>
        <w:tc>
          <w:tcPr>
            <w:tcW w:w="3483" w:type="dxa"/>
            <w:vAlign w:val="top"/>
          </w:tcPr>
          <w:p>
            <w:pPr>
              <w:pStyle w:val="TableText"/>
              <w:jc w:val="left"/>
            </w:pPr>
            <w:r>
              <w:t xml:space="preserve">Replicated vault, including the TASCO core client credentials and any client certificate</w:t>
            </w:r>
          </w:p>
        </w:tc>
      </w:tr>
      <w:tr>
        <w:trPr>
          <w:cantSplit/>
        </w:trPr>
        <w:tc>
          <w:tcPr>
            <w:tcW w:w="1598" w:type="dxa"/>
            <w:shd w:val="clear" w:color="auto" w:fill="F4F7FB"/>
            <w:vAlign w:val="top"/>
          </w:tcPr>
          <w:p>
            <w:pPr>
              <w:pStyle w:val="TableText"/>
              <w:jc w:val="left"/>
            </w:pPr>
            <w:r>
              <w:t xml:space="preserve">DNS</w:t>
            </w:r>
          </w:p>
        </w:tc>
        <w:tc>
          <w:tcPr>
            <w:tcW w:w="3946" w:type="dxa"/>
            <w:shd w:val="clear" w:color="auto" w:fill="F4F7FB"/>
            <w:vAlign w:val="top"/>
          </w:tcPr>
          <w:p>
            <w:pPr>
              <w:pStyle w:val="TableText"/>
              <w:jc w:val="left"/>
            </w:pPr>
            <w:r>
              <w:t xml:space="preserve">Public names for console, app API, partner API and verification</w:t>
            </w:r>
          </w:p>
        </w:tc>
        <w:tc>
          <w:tcPr>
            <w:tcW w:w="3483" w:type="dxa"/>
            <w:shd w:val="clear" w:color="auto" w:fill="F4F7FB"/>
            <w:vAlign w:val="top"/>
          </w:tcPr>
          <w:p>
            <w:pPr>
              <w:pStyle w:val="TableText"/>
              <w:jc w:val="left"/>
            </w:pPr>
            <w:r>
              <w:t xml:space="preserve">Failover record, TTL 60 s</w:t>
            </w:r>
          </w:p>
        </w:tc>
      </w:tr>
    </w:tbl>
    <w:p>
      <w:pPr>
        <w:pStyle w:val="BodyText"/>
        <w:spacing w:before="160"/>
      </w:pPr>
      <w:r>
        <w:t xml:space="preserve">Partner allow-lists are the usual blocker in a real failover. VETC wallet, TASCO core and the SMS provider must allow-list the DR egress addresses before go-live (PRC-DR-04).</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TASCO core dependency</w:t>
      </w:r>
      <w:bookmarkEnd w:id="15"/>
    </w:p>
    <w:p>
      <w:pPr>
        <w:pStyle w:val="FirstParagraph"/>
      </w:pPr>
      <w:r>
        <w:t xml:space="preserve">TASCO core is the master for products and rating and issues every policy. It sits outside this plan’s recovery scope, but the platform cannot complete a sale without it, so its availability sets the effective recovery time of the purchase path.</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820"/>
        <w:gridCol w:w="3973"/>
        <w:gridCol w:w="2234"/>
      </w:tblGrid>
      <w:tr>
        <w:trPr>
          <w:cantSplit/>
          <w:tblHeader/>
        </w:trPr>
        <w:tc>
          <w:tcPr>
            <w:tcW w:w="2820" w:type="dxa"/>
            <w:shd w:val="clear" w:color="auto" w:fill="0F4761"/>
            <w:vAlign w:val="center"/>
          </w:tcPr>
          <w:p>
            <w:pPr>
              <w:pStyle w:val="TableHeading"/>
              <w:jc w:val="left"/>
            </w:pPr>
            <w:r>
              <w:rPr>
                <w:color w:val="FFFFFF"/>
              </w:rPr>
              <w:t xml:space="preserve">Situation</w:t>
            </w:r>
          </w:p>
        </w:tc>
        <w:tc>
          <w:tcPr>
            <w:tcW w:w="3973" w:type="dxa"/>
            <w:shd w:val="clear" w:color="auto" w:fill="0F4761"/>
            <w:vAlign w:val="center"/>
          </w:tcPr>
          <w:p>
            <w:pPr>
              <w:pStyle w:val="TableHeading"/>
              <w:jc w:val="left"/>
            </w:pPr>
            <w:r>
              <w:rPr>
                <w:color w:val="FFFFFF"/>
              </w:rPr>
              <w:t xml:space="preserve">Platform behaviour</w:t>
            </w:r>
          </w:p>
        </w:tc>
        <w:tc>
          <w:tcPr>
            <w:tcW w:w="2234" w:type="dxa"/>
            <w:shd w:val="clear" w:color="auto" w:fill="0F4761"/>
            <w:vAlign w:val="center"/>
          </w:tcPr>
          <w:p>
            <w:pPr>
              <w:pStyle w:val="TableHeading"/>
              <w:jc w:val="left"/>
            </w:pPr>
            <w:r>
              <w:rPr>
                <w:color w:val="FFFFFF"/>
              </w:rPr>
              <w:t xml:space="preserve">Action</w:t>
            </w:r>
          </w:p>
        </w:tc>
      </w:tr>
      <w:tr>
        <w:trPr>
          <w:cantSplit/>
        </w:trPr>
        <w:tc>
          <w:tcPr>
            <w:tcW w:w="2820" w:type="dxa"/>
            <w:vAlign w:val="top"/>
          </w:tcPr>
          <w:p>
            <w:pPr>
              <w:pStyle w:val="TableText"/>
              <w:jc w:val="left"/>
            </w:pPr>
            <w:r>
              <w:t xml:space="preserve">Core rating down,</w:t>
            </w:r>
            <w:r>
              <w:t xml:space="preserve"> </w:t>
            </w:r>
            <w:r>
              <w:rPr>
                <w:rStyle w:val="CodeChar"/>
              </w:rPr>
              <w:t xml:space="preserve">RATING_SOURCE=core</w:t>
            </w:r>
            <w:r>
              <w:t xml:space="preserve"> </w:t>
            </w:r>
            <w:r>
              <w:t xml:space="preserve">(production default)</w:t>
            </w:r>
          </w:p>
        </w:tc>
        <w:tc>
          <w:tcPr>
            <w:tcW w:w="3973" w:type="dxa"/>
            <w:vAlign w:val="top"/>
          </w:tcPr>
          <w:p>
            <w:pPr>
              <w:pStyle w:val="TableText"/>
              <w:jc w:val="left"/>
            </w:pPr>
            <w:r>
              <w:t xml:space="preserve">No quote is created; agents and customers are told to try again shortly. Other services (certificate check, claims, consent, console) keep working</w:t>
            </w:r>
          </w:p>
        </w:tc>
        <w:tc>
          <w:tcPr>
            <w:tcW w:w="2234" w:type="dxa"/>
            <w:vAlign w:val="top"/>
          </w:tcPr>
          <w:p>
            <w:pPr>
              <w:pStyle w:val="TableText"/>
              <w:jc w:val="left"/>
            </w:pPr>
            <w:r>
              <w:t xml:space="preserve">RB-16; pause journeys after 30 minutes (SOP-07)</w:t>
            </w:r>
          </w:p>
        </w:tc>
      </w:tr>
      <w:tr>
        <w:trPr>
          <w:cantSplit/>
        </w:trPr>
        <w:tc>
          <w:tcPr>
            <w:tcW w:w="2820" w:type="dxa"/>
            <w:shd w:val="clear" w:color="auto" w:fill="F4F7FB"/>
            <w:vAlign w:val="top"/>
          </w:tcPr>
          <w:p>
            <w:pPr>
              <w:pStyle w:val="TableText"/>
              <w:jc w:val="left"/>
            </w:pPr>
            <w:r>
              <w:t xml:space="preserve">Core rating down,</w:t>
            </w:r>
            <w:r>
              <w:t xml:space="preserve"> </w:t>
            </w:r>
            <w:r>
              <w:rPr>
                <w:rStyle w:val="CodeChar"/>
              </w:rPr>
              <w:t xml:space="preserve">core_with_fallback</w:t>
            </w:r>
          </w:p>
        </w:tc>
        <w:tc>
          <w:tcPr>
            <w:tcW w:w="3973" w:type="dxa"/>
            <w:shd w:val="clear" w:color="auto" w:fill="F4F7FB"/>
            <w:vAlign w:val="top"/>
          </w:tcPr>
          <w:p>
            <w:pPr>
              <w:pStyle w:val="TableText"/>
              <w:jc w:val="left"/>
            </w:pPr>
            <w:r>
              <w:t xml:space="preserve">Indicative quotes from the approved tariff tables; they cannot be paid until re-rated by core</w:t>
            </w:r>
          </w:p>
        </w:tc>
        <w:tc>
          <w:tcPr>
            <w:tcW w:w="2234" w:type="dxa"/>
            <w:shd w:val="clear" w:color="auto" w:fill="F4F7FB"/>
            <w:vAlign w:val="top"/>
          </w:tcPr>
          <w:p>
            <w:pPr>
              <w:pStyle w:val="TableText"/>
              <w:jc w:val="left"/>
            </w:pPr>
            <w:r>
              <w:t xml:space="preserve">RB-16, then RB-18 to re-rate the backlog</w:t>
            </w:r>
          </w:p>
        </w:tc>
      </w:tr>
      <w:tr>
        <w:trPr>
          <w:cantSplit/>
        </w:trPr>
        <w:tc>
          <w:tcPr>
            <w:tcW w:w="2820" w:type="dxa"/>
            <w:vAlign w:val="top"/>
          </w:tcPr>
          <w:p>
            <w:pPr>
              <w:pStyle w:val="TableText"/>
              <w:jc w:val="left"/>
            </w:pPr>
            <w:r>
              <w:t xml:space="preserve">Core issuance down</w:t>
            </w:r>
          </w:p>
        </w:tc>
        <w:tc>
          <w:tcPr>
            <w:tcW w:w="3973" w:type="dxa"/>
            <w:vAlign w:val="top"/>
          </w:tcPr>
          <w:p>
            <w:pPr>
              <w:pStyle w:val="TableText"/>
              <w:jc w:val="left"/>
            </w:pPr>
            <w:r>
              <w:t xml:space="preserve">Payment is compensated automatically: issued lines cancelled, full refund</w:t>
            </w:r>
          </w:p>
        </w:tc>
        <w:tc>
          <w:tcPr>
            <w:tcW w:w="2234" w:type="dxa"/>
            <w:vAlign w:val="top"/>
          </w:tcPr>
          <w:p>
            <w:pPr>
              <w:pStyle w:val="TableText"/>
              <w:jc w:val="left"/>
            </w:pPr>
            <w:r>
              <w:t xml:space="preserve">RB-03 and RB-11</w:t>
            </w:r>
          </w:p>
        </w:tc>
      </w:tr>
      <w:tr>
        <w:trPr>
          <w:cantSplit/>
        </w:trPr>
        <w:tc>
          <w:tcPr>
            <w:tcW w:w="2820" w:type="dxa"/>
            <w:shd w:val="clear" w:color="auto" w:fill="F4F7FB"/>
            <w:vAlign w:val="top"/>
          </w:tcPr>
          <w:p>
            <w:pPr>
              <w:pStyle w:val="TableText"/>
              <w:jc w:val="left"/>
            </w:pPr>
            <w:r>
              <w:t xml:space="preserve">Core catalogue down</w:t>
            </w:r>
          </w:p>
        </w:tc>
        <w:tc>
          <w:tcPr>
            <w:tcW w:w="3973" w:type="dxa"/>
            <w:shd w:val="clear" w:color="auto" w:fill="F4F7FB"/>
            <w:vAlign w:val="top"/>
          </w:tcPr>
          <w:p>
            <w:pPr>
              <w:pStyle w:val="TableText"/>
              <w:jc w:val="left"/>
            </w:pPr>
            <w:r>
              <w:t xml:space="preserve">The active product set in the database stays in force; the nightly sync fails and is re-run later</w:t>
            </w:r>
          </w:p>
        </w:tc>
        <w:tc>
          <w:tcPr>
            <w:tcW w:w="2234" w:type="dxa"/>
            <w:shd w:val="clear" w:color="auto" w:fill="F4F7FB"/>
            <w:noWrap/>
            <w:vAlign w:val="top"/>
          </w:tcPr>
          <w:p>
            <w:pPr>
              <w:pStyle w:val="TableText"/>
              <w:jc w:val="left"/>
            </w:pPr>
            <w:r>
              <w:t xml:space="preserve">RB-17</w:t>
            </w:r>
          </w:p>
        </w:tc>
      </w:tr>
      <w:tr>
        <w:trPr>
          <w:cantSplit/>
        </w:trPr>
        <w:tc>
          <w:tcPr>
            <w:tcW w:w="2820" w:type="dxa"/>
            <w:vAlign w:val="top"/>
          </w:tcPr>
          <w:p>
            <w:pPr>
              <w:pStyle w:val="TableText"/>
              <w:jc w:val="left"/>
            </w:pPr>
            <w:r>
              <w:t xml:space="preserve">Long core outage</w:t>
            </w:r>
          </w:p>
        </w:tc>
        <w:tc>
          <w:tcPr>
            <w:tcW w:w="3973" w:type="dxa"/>
            <w:vAlign w:val="top"/>
          </w:tcPr>
          <w:p>
            <w:pPr>
              <w:pStyle w:val="TableText"/>
              <w:jc w:val="left"/>
            </w:pPr>
            <w:r>
              <w:t xml:space="preserve">Quotes expire at the earlier of 24 hours and core’s own validity, so customers re-quote after recovery</w:t>
            </w:r>
          </w:p>
        </w:tc>
        <w:tc>
          <w:tcPr>
            <w:tcW w:w="2234" w:type="dxa"/>
            <w:vAlign w:val="top"/>
          </w:tcPr>
          <w:p>
            <w:pPr>
              <w:pStyle w:val="TableText"/>
              <w:jc w:val="left"/>
            </w:pPr>
            <w:r>
              <w:t xml:space="preserve">Customer communication through VETC</w:t>
            </w:r>
          </w:p>
        </w:tc>
      </w:tr>
    </w:tbl>
    <w:p>
      <w:pPr>
        <w:pStyle w:val="BodyText"/>
        <w:spacing w:before="160"/>
      </w:pPr>
      <w:r>
        <w:t xml:space="preserve">When the platform itself fails over to the DR region:</w:t>
      </w:r>
    </w:p>
    <w:p>
      <w:pPr>
        <w:pStyle w:val="Compact"/>
        <w:numPr>
          <w:ilvl w:val="0"/>
          <w:numId w:val="1003"/>
        </w:numPr>
      </w:pPr>
      <w:r>
        <w:t xml:space="preserve">TASCO core must accept calls from the DR egress addresses, and the token endpoint must be reachable from DR.</w:t>
      </w:r>
    </w:p>
    <w:p>
      <w:pPr>
        <w:pStyle w:val="Compact"/>
        <w:numPr>
          <w:ilvl w:val="0"/>
          <w:numId w:val="1003"/>
        </w:numPr>
      </w:pPr>
      <w:r>
        <w:t xml:space="preserve">The TASCO core client ID, secret and any client certificate must be present in the DR vault; step 5 of FO-1 checks this.</w:t>
      </w:r>
    </w:p>
    <w:p>
      <w:pPr>
        <w:pStyle w:val="Compact"/>
        <w:numPr>
          <w:ilvl w:val="0"/>
          <w:numId w:val="1003"/>
        </w:numPr>
      </w:pPr>
      <w:r>
        <w:t xml:space="preserve">The catalogue sync is suspended with the other scheduled jobs and resumed in step 10; a re-run never queues the same proposal twice.</w:t>
      </w:r>
    </w:p>
    <w:p>
      <w:pPr>
        <w:pStyle w:val="Compact"/>
        <w:numPr>
          <w:ilvl w:val="0"/>
          <w:numId w:val="1003"/>
        </w:numPr>
      </w:pPr>
      <w:r>
        <w:t xml:space="preserve">Orders paid in the data-loss window may already have policies in TASCO core, bound with a core quote reference, but no record in the restored database. Reconciliation in step 10 compares the TASCO core issuance report with platform orders by core quote reference.</w:t>
      </w:r>
    </w:p>
    <w:p>
      <w:pPr>
        <w:pStyle w:val="FirstParagraph"/>
      </w:pPr>
      <w:r>
        <w:t xml:space="preserve">Production local rating (</w:t>
      </w:r>
      <w:r>
        <w:rPr>
          <w:rStyle w:val="CodeChar"/>
        </w:rPr>
        <w:t xml:space="preserve">RATING_SOURCE=rules</w:t>
      </w:r>
      <w:r>
        <w:t xml:space="preserve">) is refused at start-up unless</w:t>
      </w:r>
      <w:r>
        <w:t xml:space="preserve"> </w:t>
      </w:r>
      <w:r>
        <w:rPr>
          <w:rStyle w:val="CodeChar"/>
        </w:rPr>
        <w:t xml:space="preserve">ALLOW_LOCAL_RATING</w:t>
      </w:r>
      <w:r>
        <w:t xml:space="preserve"> </w:t>
      </w:r>
      <w:r>
        <w:t xml:space="preserve">is set, and needs TASCO’s explicit approval. It is not a DR measure.</w:t>
      </w:r>
    </w:p>
    <w:p>
      <w:pPr>
        <w:pStyle w:val="BodyText"/>
      </w:pPr>
      <w:r>
        <w:t xml:space="preserve">TASCO core’s own recovery targets are recorded in its interface agreement. If they are longer than 4 hours, the purchase path cannot meet its 4-hour target during a core disaster, whatever the platform does.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Failover and failback</w:t>
      </w:r>
      <w:bookmarkEnd w:id="16"/>
    </w:p>
    <w:p>
      <w:pPr>
        <w:pStyle w:val="FirstParagraph"/>
      </w:pPr>
      <w:r>
        <w:t xml:space="preserve">The decision path runs from detection through promotion of the DR database to the DNS switch, with smoke tests as the gate before customers are moved. The first diagram shows the decision, the second the regional failover.</w:t>
      </w:r>
    </w:p>
    <w:p xmlns:a="http://schemas.openxmlformats.org/drawingml/2006/main" xmlns:pic="http://schemas.openxmlformats.org/drawingml/2006/picture">
      <w:pPr>
        <w:pStyle w:val="Figure"/>
      </w:pPr>
      <w:r>
        <w:drawing>
          <wp:inline>
            <wp:extent cx="5342399" cy="5666399"/>
            <wp:effectExtent b="0" l="0" r="0" t="0"/>
            <wp:docPr descr="Failover, part 1: deciding between zone failover, holding and regional failover" title="" id="5003" name="Picture"/>
            <a:graphic>
              <a:graphicData uri="http://schemas.openxmlformats.org/drawingml/2006/picture">
                <pic:pic>
                  <pic:nvPicPr>
                    <pic:cNvPr descr="/tmp/claude-0/-home-user-TASCO/19e5534d-12b5-5956-9b60-3e77efde0f49/scratchpad/gen/.cache/mermaid/d4a592ad546bc221.png" id="34" name="Picture"/>
                    <pic:cNvPicPr>
                      <a:picLocks noChangeArrowheads="1" noChangeAspect="1"/>
                    </pic:cNvPicPr>
                  </pic:nvPicPr>
                  <pic:blipFill>
                    <a:blip r:embed="rIdG2"/>
                    <a:stretch>
                      <a:fillRect/>
                    </a:stretch>
                  </pic:blipFill>
                  <pic:spPr bwMode="auto">
                    <a:xfrm>
                      <a:off x="0" y="0"/>
                      <a:ext cx="5342399" cy="5666399"/>
                    </a:xfrm>
                    <a:prstGeom prst="rect">
                      <a:avLst/>
                    </a:prstGeom>
                    <a:noFill/>
                    <a:ln w="9525">
                      <a:noFill/>
                      <a:headEnd/>
                      <a:tailEnd/>
                    </a:ln>
                  </pic:spPr>
                </pic:pic>
              </a:graphicData>
            </a:graphic>
          </wp:inline>
        </w:drawing>
      </w:r>
    </w:p>
    <w:p>
      <w:pPr>
        <w:pStyle w:val="Caption"/>
      </w:pPr>
      <w:r>
        <w:t xml:space="preserve">Figure 2 – Failover, part 1: deciding between zone failover, holding and regional failover</w:t>
      </w:r>
    </w:p>
    <w:p xmlns:a="http://schemas.openxmlformats.org/drawingml/2006/main" xmlns:pic="http://schemas.openxmlformats.org/drawingml/2006/picture">
      <w:pPr>
        <w:pStyle w:val="Figure"/>
      </w:pPr>
      <w:r>
        <w:drawing>
          <wp:inline>
            <wp:extent cx="2365199" cy="6479999"/>
            <wp:effectExtent b="0" l="0" r="0" t="0"/>
            <wp:docPr descr="Failover, part 2: regional failover, with smoke tests as the gate before the DNS switch" title="" id="5004" name="Picture"/>
            <a:graphic>
              <a:graphicData uri="http://schemas.openxmlformats.org/drawingml/2006/picture">
                <pic:pic>
                  <pic:nvPicPr>
                    <pic:cNvPr descr="/tmp/claude-0/-home-user-TASCO/19e5534d-12b5-5956-9b60-3e77efde0f49/scratchpad/gen/.cache/mermaid/8b529d83d5d73e59.png" id="37" name="Picture"/>
                    <pic:cNvPicPr>
                      <a:picLocks noChangeArrowheads="1" noChangeAspect="1"/>
                    </pic:cNvPicPr>
                  </pic:nvPicPr>
                  <pic:blipFill>
                    <a:blip r:embed="rIdG3"/>
                    <a:stretch>
                      <a:fillRect/>
                    </a:stretch>
                  </pic:blipFill>
                  <pic:spPr bwMode="auto">
                    <a:xfrm>
                      <a:off x="0" y="0"/>
                      <a:ext cx="2365199" cy="6479999"/>
                    </a:xfrm>
                    <a:prstGeom prst="rect">
                      <a:avLst/>
                    </a:prstGeom>
                    <a:noFill/>
                    <a:ln w="9525">
                      <a:noFill/>
                      <a:headEnd/>
                      <a:tailEnd/>
                    </a:ln>
                  </pic:spPr>
                </pic:pic>
              </a:graphicData>
            </a:graphic>
          </wp:inline>
        </w:drawing>
      </w:r>
    </w:p>
    <w:p>
      <w:pPr>
        <w:pStyle w:val="Caption"/>
      </w:pPr>
      <w:r>
        <w:t xml:space="preserve">Figure 3 – Failover, part 2: regional failover, with smoke tests as the gate before the DNS switch</w:t>
      </w:r>
    </w:p>
    <w:p>
      <w:pPr>
        <w:pStyle w:val="Heading2"/>
      </w:pPr>
      <w:bookmarkStart w:id="17" w:name="_Toc300000013"/>
      <w:r>
        <w:t xml:space="preserve">FO-0 Zone failure (automatic)</w:t>
      </w:r>
      <w:bookmarkEnd w:id="17"/>
    </w:p>
    <w:p>
      <w:pPr>
        <w:pStyle w:val="Compact"/>
        <w:numPr>
          <w:ilvl w:val="0"/>
          <w:numId w:val="1004"/>
        </w:numPr>
      </w:pPr>
      <w:r>
        <w:t xml:space="preserve">Managed PostgreSQL fails over to the synchronous standby in 60 to 120 seconds. Readiness returns 503 during the switch (RB-01) and the pool reconnects.</w:t>
      </w:r>
    </w:p>
    <w:p>
      <w:pPr>
        <w:pStyle w:val="Compact"/>
        <w:numPr>
          <w:ilvl w:val="0"/>
          <w:numId w:val="1004"/>
        </w:numPr>
      </w:pPr>
      <w:r>
        <w:t xml:space="preserve">Kubernetes reschedules pods to the healthy zone; the disruption budget and autoscaler keep capacity.</w:t>
      </w:r>
    </w:p>
    <w:p>
      <w:pPr>
        <w:pStyle w:val="Compact"/>
        <w:numPr>
          <w:ilvl w:val="0"/>
          <w:numId w:val="1004"/>
        </w:numPr>
      </w:pPr>
      <w:r>
        <w:t xml:space="preserve">L2 checks readiness, operations status and integration status, and runs reconciliation for the window. No customer announcement unless degradation lasts more than 15 minutes.</w:t>
      </w:r>
    </w:p>
    <w:p>
      <w:pPr>
        <w:pStyle w:val="Heading2"/>
      </w:pPr>
      <w:bookmarkStart w:id="18" w:name="_Toc300000014"/>
      <w:r>
        <w:t xml:space="preserve">FO-1 Region loss (declared, RTO 4 hours)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28"/>
        <w:gridCol w:w="791"/>
        <w:gridCol w:w="5611"/>
        <w:gridCol w:w="1897"/>
      </w:tblGrid>
      <w:tr>
        <w:trPr>
          <w:cantSplit/>
          <w:tblHeader/>
        </w:trPr>
        <w:tc>
          <w:tcPr>
            <w:tcW w:w="728" w:type="dxa"/>
            <w:shd w:val="clear" w:color="auto" w:fill="0F4761"/>
            <w:vAlign w:val="center"/>
          </w:tcPr>
          <w:p>
            <w:pPr>
              <w:pStyle w:val="TableHeading"/>
              <w:jc w:val="left"/>
            </w:pPr>
            <w:r>
              <w:rPr>
                <w:color w:val="FFFFFF"/>
              </w:rPr>
              <w:t xml:space="preserve">Step</w:t>
            </w:r>
          </w:p>
        </w:tc>
        <w:tc>
          <w:tcPr>
            <w:tcW w:w="791" w:type="dxa"/>
            <w:shd w:val="clear" w:color="auto" w:fill="0F4761"/>
            <w:vAlign w:val="center"/>
          </w:tcPr>
          <w:p>
            <w:pPr>
              <w:pStyle w:val="TableHeading"/>
              <w:jc w:val="left"/>
            </w:pPr>
            <w:r>
              <w:rPr>
                <w:color w:val="FFFFFF"/>
              </w:rPr>
              <w:t xml:space="preserve">Time</w:t>
            </w:r>
          </w:p>
        </w:tc>
        <w:tc>
          <w:tcPr>
            <w:tcW w:w="5611" w:type="dxa"/>
            <w:shd w:val="clear" w:color="auto" w:fill="0F4761"/>
            <w:vAlign w:val="center"/>
          </w:tcPr>
          <w:p>
            <w:pPr>
              <w:pStyle w:val="TableHeading"/>
              <w:jc w:val="left"/>
            </w:pPr>
            <w:r>
              <w:rPr>
                <w:color w:val="FFFFFF"/>
              </w:rPr>
              <w:t xml:space="preserve">Action</w:t>
            </w:r>
          </w:p>
        </w:tc>
        <w:tc>
          <w:tcPr>
            <w:tcW w:w="1897" w:type="dxa"/>
            <w:shd w:val="clear" w:color="auto" w:fill="0F4761"/>
            <w:vAlign w:val="center"/>
          </w:tcPr>
          <w:p>
            <w:pPr>
              <w:pStyle w:val="TableHeading"/>
              <w:jc w:val="left"/>
            </w:pPr>
            <w:r>
              <w:rPr>
                <w:color w:val="FFFFFF"/>
              </w:rPr>
              <w:t xml:space="preserve">Owner</w:t>
            </w:r>
          </w:p>
        </w:tc>
      </w:tr>
      <w:tr>
        <w:trPr>
          <w:cantSplit/>
        </w:trPr>
        <w:tc>
          <w:tcPr>
            <w:tcW w:w="728" w:type="dxa"/>
            <w:vAlign w:val="top"/>
          </w:tcPr>
          <w:p>
            <w:pPr>
              <w:pStyle w:val="TableText"/>
              <w:jc w:val="left"/>
            </w:pPr>
            <w:r>
              <w:t xml:space="preserve">1</w:t>
            </w:r>
          </w:p>
        </w:tc>
        <w:tc>
          <w:tcPr>
            <w:tcW w:w="791" w:type="dxa"/>
            <w:vAlign w:val="top"/>
          </w:tcPr>
          <w:p>
            <w:pPr>
              <w:pStyle w:val="TableText"/>
              <w:jc w:val="left"/>
            </w:pPr>
            <w:r>
              <w:t xml:space="preserve">0:00</w:t>
            </w:r>
          </w:p>
        </w:tc>
        <w:tc>
          <w:tcPr>
            <w:tcW w:w="5611" w:type="dxa"/>
            <w:vAlign w:val="top"/>
          </w:tcPr>
          <w:p>
            <w:pPr>
              <w:pStyle w:val="TableText"/>
              <w:jc w:val="left"/>
            </w:pPr>
            <w:r>
              <w:t xml:space="preserve">The Incident Commander declares DR after confirming the primary region cannot recover within the RTO (provider status, outage of 30 minutes or more, or loss of the data centre). The TASCO Head of IT or delegate decides</w:t>
            </w:r>
          </w:p>
        </w:tc>
        <w:tc>
          <w:tcPr>
            <w:tcW w:w="1897" w:type="dxa"/>
            <w:vAlign w:val="top"/>
          </w:tcPr>
          <w:p>
            <w:pPr>
              <w:pStyle w:val="TableText"/>
              <w:jc w:val="left"/>
            </w:pPr>
            <w:r>
              <w:t xml:space="preserve">Incident Commander</w:t>
            </w:r>
          </w:p>
        </w:tc>
      </w:tr>
      <w:tr>
        <w:trPr>
          <w:cantSplit/>
        </w:trPr>
        <w:tc>
          <w:tcPr>
            <w:tcW w:w="728" w:type="dxa"/>
            <w:shd w:val="clear" w:color="auto" w:fill="F4F7FB"/>
            <w:vAlign w:val="top"/>
          </w:tcPr>
          <w:p>
            <w:pPr>
              <w:pStyle w:val="TableText"/>
              <w:jc w:val="left"/>
            </w:pPr>
            <w:r>
              <w:t xml:space="preserve">2</w:t>
            </w:r>
          </w:p>
        </w:tc>
        <w:tc>
          <w:tcPr>
            <w:tcW w:w="791" w:type="dxa"/>
            <w:shd w:val="clear" w:color="auto" w:fill="F4F7FB"/>
            <w:vAlign w:val="top"/>
          </w:tcPr>
          <w:p>
            <w:pPr>
              <w:pStyle w:val="TableText"/>
              <w:jc w:val="left"/>
            </w:pPr>
            <w:r>
              <w:t xml:space="preserve">0:05</w:t>
            </w:r>
          </w:p>
        </w:tc>
        <w:tc>
          <w:tcPr>
            <w:tcW w:w="5611" w:type="dxa"/>
            <w:shd w:val="clear" w:color="auto" w:fill="F4F7FB"/>
            <w:vAlign w:val="top"/>
          </w:tcPr>
          <w:p>
            <w:pPr>
              <w:pStyle w:val="TableText"/>
              <w:jc w:val="left"/>
            </w:pPr>
            <w:r>
              <w:t xml:space="preserve">War room; TASCO and VETC leadership and VETC customer service informed; customer banner</w:t>
            </w:r>
          </w:p>
        </w:tc>
        <w:tc>
          <w:tcPr>
            <w:tcW w:w="1897" w:type="dxa"/>
            <w:shd w:val="clear" w:color="auto" w:fill="F4F7FB"/>
            <w:vAlign w:val="top"/>
          </w:tcPr>
          <w:p>
            <w:pPr>
              <w:pStyle w:val="TableText"/>
              <w:jc w:val="left"/>
            </w:pPr>
            <w:r>
              <w:t xml:space="preserve">Communications Lead</w:t>
            </w:r>
          </w:p>
        </w:tc>
      </w:tr>
      <w:tr>
        <w:trPr>
          <w:cantSplit/>
        </w:trPr>
        <w:tc>
          <w:tcPr>
            <w:tcW w:w="728" w:type="dxa"/>
            <w:vAlign w:val="top"/>
          </w:tcPr>
          <w:p>
            <w:pPr>
              <w:pStyle w:val="TableText"/>
              <w:jc w:val="left"/>
            </w:pPr>
            <w:r>
              <w:t xml:space="preserve">3</w:t>
            </w:r>
          </w:p>
        </w:tc>
        <w:tc>
          <w:tcPr>
            <w:tcW w:w="791" w:type="dxa"/>
            <w:vAlign w:val="top"/>
          </w:tcPr>
          <w:p>
            <w:pPr>
              <w:pStyle w:val="TableText"/>
              <w:jc w:val="left"/>
            </w:pPr>
            <w:r>
              <w:t xml:space="preserve">0:10</w:t>
            </w:r>
          </w:p>
        </w:tc>
        <w:tc>
          <w:tcPr>
            <w:tcW w:w="5611" w:type="dxa"/>
            <w:vAlign w:val="top"/>
          </w:tcPr>
          <w:p>
            <w:pPr>
              <w:pStyle w:val="TableText"/>
              <w:jc w:val="left"/>
            </w:pPr>
            <w:r>
              <w:t xml:space="preserve">If the primary is partly alive, freeze its writes: scale its application to 0 and suspend its scheduled jobs</w:t>
            </w:r>
          </w:p>
        </w:tc>
        <w:tc>
          <w:tcPr>
            <w:tcW w:w="1897" w:type="dxa"/>
            <w:vAlign w:val="top"/>
          </w:tcPr>
          <w:p>
            <w:pPr>
              <w:pStyle w:val="TableText"/>
              <w:jc w:val="left"/>
            </w:pPr>
            <w:r>
              <w:t xml:space="preserve">L2</w:t>
            </w:r>
          </w:p>
        </w:tc>
      </w:tr>
      <w:tr>
        <w:trPr>
          <w:cantSplit/>
        </w:trPr>
        <w:tc>
          <w:tcPr>
            <w:tcW w:w="728" w:type="dxa"/>
            <w:shd w:val="clear" w:color="auto" w:fill="F4F7FB"/>
            <w:vAlign w:val="top"/>
          </w:tcPr>
          <w:p>
            <w:pPr>
              <w:pStyle w:val="TableText"/>
              <w:jc w:val="left"/>
            </w:pPr>
            <w:r>
              <w:t xml:space="preserve">4</w:t>
            </w:r>
          </w:p>
        </w:tc>
        <w:tc>
          <w:tcPr>
            <w:tcW w:w="791" w:type="dxa"/>
            <w:shd w:val="clear" w:color="auto" w:fill="F4F7FB"/>
            <w:vAlign w:val="top"/>
          </w:tcPr>
          <w:p>
            <w:pPr>
              <w:pStyle w:val="TableText"/>
              <w:jc w:val="left"/>
            </w:pPr>
            <w:r>
              <w:t xml:space="preserve">0:15</w:t>
            </w:r>
          </w:p>
        </w:tc>
        <w:tc>
          <w:tcPr>
            <w:tcW w:w="5611" w:type="dxa"/>
            <w:shd w:val="clear" w:color="auto" w:fill="F4F7FB"/>
            <w:vAlign w:val="top"/>
          </w:tcPr>
          <w:p>
            <w:pPr>
              <w:pStyle w:val="TableText"/>
              <w:jc w:val="left"/>
            </w:pPr>
            <w:r>
              <w:t xml:space="preserve">Promote the DR replica and record the last applied LSN and time: this is the actual RPO</w:t>
            </w:r>
          </w:p>
        </w:tc>
        <w:tc>
          <w:tcPr>
            <w:tcW w:w="1897" w:type="dxa"/>
            <w:shd w:val="clear" w:color="auto" w:fill="F4F7FB"/>
            <w:vAlign w:val="top"/>
          </w:tcPr>
          <w:p>
            <w:pPr>
              <w:pStyle w:val="TableText"/>
              <w:jc w:val="left"/>
            </w:pPr>
            <w:r>
              <w:t xml:space="preserve">DBA</w:t>
            </w:r>
          </w:p>
        </w:tc>
      </w:tr>
      <w:tr>
        <w:trPr>
          <w:cantSplit/>
        </w:trPr>
        <w:tc>
          <w:tcPr>
            <w:tcW w:w="728" w:type="dxa"/>
            <w:vAlign w:val="top"/>
          </w:tcPr>
          <w:p>
            <w:pPr>
              <w:pStyle w:val="TableText"/>
              <w:jc w:val="left"/>
            </w:pPr>
            <w:r>
              <w:t xml:space="preserve">5</w:t>
            </w:r>
          </w:p>
        </w:tc>
        <w:tc>
          <w:tcPr>
            <w:tcW w:w="791" w:type="dxa"/>
            <w:vAlign w:val="top"/>
          </w:tcPr>
          <w:p>
            <w:pPr>
              <w:pStyle w:val="TableText"/>
              <w:jc w:val="left"/>
            </w:pPr>
            <w:r>
              <w:t xml:space="preserve">0:30</w:t>
            </w:r>
          </w:p>
        </w:tc>
        <w:tc>
          <w:tcPr>
            <w:tcW w:w="5611" w:type="dxa"/>
            <w:vAlign w:val="top"/>
          </w:tcPr>
          <w:p>
            <w:pPr>
              <w:pStyle w:val="TableText"/>
              <w:jc w:val="left"/>
            </w:pPr>
            <w:r>
              <w:t xml:space="preserve">Confirm the DR vault holds every</w:t>
            </w:r>
            <w:r>
              <w:t xml:space="preserve"> </w:t>
            </w:r>
            <w:r>
              <w:rPr>
                <w:rStyle w:val="CodeChar"/>
              </w:rPr>
              <w:t xml:space="preserve">DATA_KEYS</w:t>
            </w:r>
            <w:r>
              <w:t xml:space="preserve"> </w:t>
            </w:r>
            <w:r>
              <w:t xml:space="preserve">ID,</w:t>
            </w:r>
            <w:r>
              <w:t xml:space="preserve"> </w:t>
            </w:r>
            <w:r>
              <w:rPr>
                <w:rStyle w:val="CodeChar"/>
              </w:rPr>
              <w:t xml:space="preserve">BLIND_INDEX_KEY</w:t>
            </w:r>
            <w:r>
              <w:t xml:space="preserve">,</w:t>
            </w:r>
            <w:r>
              <w:t xml:space="preserve"> </w:t>
            </w:r>
            <w:r>
              <w:rPr>
                <w:rStyle w:val="CodeChar"/>
              </w:rPr>
              <w:t xml:space="preserve">JWT_SECRET</w:t>
            </w:r>
            <w:r>
              <w:t xml:space="preserve"> </w:t>
            </w:r>
            <w:r>
              <w:t xml:space="preserve">and the TASCO core client credentials; point</w:t>
            </w:r>
            <w:r>
              <w:t xml:space="preserve"> </w:t>
            </w:r>
            <w:r>
              <w:rPr>
                <w:rStyle w:val="CodeChar"/>
              </w:rPr>
              <w:t xml:space="preserve">DATABASE_URL</w:t>
            </w:r>
            <w:r>
              <w:t xml:space="preserve"> </w:t>
            </w:r>
            <w:r>
              <w:t xml:space="preserve">at the promoted instance</w:t>
            </w:r>
          </w:p>
        </w:tc>
        <w:tc>
          <w:tcPr>
            <w:tcW w:w="1897" w:type="dxa"/>
            <w:vAlign w:val="top"/>
          </w:tcPr>
          <w:p>
            <w:pPr>
              <w:pStyle w:val="TableText"/>
              <w:jc w:val="left"/>
            </w:pPr>
            <w:r>
              <w:t xml:space="preserve">SRE</w:t>
            </w:r>
          </w:p>
        </w:tc>
      </w:tr>
      <w:tr>
        <w:trPr>
          <w:cantSplit/>
        </w:trPr>
        <w:tc>
          <w:tcPr>
            <w:tcW w:w="728" w:type="dxa"/>
            <w:shd w:val="clear" w:color="auto" w:fill="F4F7FB"/>
            <w:vAlign w:val="top"/>
          </w:tcPr>
          <w:p>
            <w:pPr>
              <w:pStyle w:val="TableText"/>
              <w:jc w:val="left"/>
            </w:pPr>
            <w:r>
              <w:t xml:space="preserve">6</w:t>
            </w:r>
          </w:p>
        </w:tc>
        <w:tc>
          <w:tcPr>
            <w:tcW w:w="791" w:type="dxa"/>
            <w:shd w:val="clear" w:color="auto" w:fill="F4F7FB"/>
            <w:vAlign w:val="top"/>
          </w:tcPr>
          <w:p>
            <w:pPr>
              <w:pStyle w:val="TableText"/>
              <w:jc w:val="left"/>
            </w:pPr>
            <w:r>
              <w:t xml:space="preserve">0:45</w:t>
            </w:r>
          </w:p>
        </w:tc>
        <w:tc>
          <w:tcPr>
            <w:tcW w:w="5611" w:type="dxa"/>
            <w:shd w:val="clear" w:color="auto" w:fill="F4F7FB"/>
            <w:vAlign w:val="top"/>
          </w:tcPr>
          <w:p>
            <w:pPr>
              <w:pStyle w:val="TableText"/>
              <w:jc w:val="left"/>
            </w:pPr>
            <w:r>
              <w:t xml:space="preserve">Scale the DR application to the production replica count with</w:t>
            </w:r>
            <w:r>
              <w:t xml:space="preserve"> </w:t>
            </w:r>
            <w:r>
              <w:rPr>
                <w:rStyle w:val="CodeChar"/>
              </w:rPr>
              <w:t xml:space="preserve">MIGRATE_ON_START=false</w:t>
            </w:r>
          </w:p>
        </w:tc>
        <w:tc>
          <w:tcPr>
            <w:tcW w:w="1897" w:type="dxa"/>
            <w:shd w:val="clear" w:color="auto" w:fill="F4F7FB"/>
            <w:vAlign w:val="top"/>
          </w:tcPr>
          <w:p>
            <w:pPr>
              <w:pStyle w:val="TableText"/>
              <w:jc w:val="left"/>
            </w:pPr>
            <w:r>
              <w:t xml:space="preserve">SRE</w:t>
            </w:r>
          </w:p>
        </w:tc>
      </w:tr>
      <w:tr>
        <w:trPr>
          <w:cantSplit/>
        </w:trPr>
        <w:tc>
          <w:tcPr>
            <w:tcW w:w="728" w:type="dxa"/>
            <w:vAlign w:val="top"/>
          </w:tcPr>
          <w:p>
            <w:pPr>
              <w:pStyle w:val="TableText"/>
              <w:jc w:val="left"/>
            </w:pPr>
            <w:r>
              <w:t xml:space="preserve">7</w:t>
            </w:r>
          </w:p>
        </w:tc>
        <w:tc>
          <w:tcPr>
            <w:tcW w:w="791" w:type="dxa"/>
            <w:vAlign w:val="top"/>
          </w:tcPr>
          <w:p>
            <w:pPr>
              <w:pStyle w:val="TableText"/>
              <w:jc w:val="left"/>
            </w:pPr>
            <w:r>
              <w:t xml:space="preserve">1:00</w:t>
            </w:r>
          </w:p>
        </w:tc>
        <w:tc>
          <w:tcPr>
            <w:tcW w:w="5611" w:type="dxa"/>
            <w:vAlign w:val="top"/>
          </w:tcPr>
          <w:p>
            <w:pPr>
              <w:pStyle w:val="TableText"/>
              <w:jc w:val="left"/>
            </w:pPr>
            <w:r>
              <w:t xml:space="preserve">Smoke tests: readiness (</w:t>
            </w:r>
            <w:r>
              <w:rPr>
                <w:rStyle w:val="CodeChar"/>
              </w:rPr>
              <w:t xml:space="preserve">store</w:t>
            </w:r>
            <w:r>
              <w:t xml:space="preserve"> </w:t>
            </w:r>
            <w:r>
              <w:t xml:space="preserve">postgres,</w:t>
            </w:r>
            <w:r>
              <w:t xml:space="preserve"> </w:t>
            </w:r>
            <w:r>
              <w:rPr>
                <w:rStyle w:val="CodeChar"/>
              </w:rPr>
              <w:t xml:space="preserve">db</w:t>
            </w:r>
            <w:r>
              <w:t xml:space="preserve"> </w:t>
            </w:r>
            <w:r>
              <w:t xml:space="preserve">true), audit verification, staff sign-in with MFA, customer session, home and quote (proves TASCO core rating from DR), certificate check, operations and integration status with all circuits closed</w:t>
            </w:r>
          </w:p>
        </w:tc>
        <w:tc>
          <w:tcPr>
            <w:tcW w:w="1897" w:type="dxa"/>
            <w:vAlign w:val="top"/>
          </w:tcPr>
          <w:p>
            <w:pPr>
              <w:pStyle w:val="TableText"/>
              <w:jc w:val="left"/>
            </w:pPr>
            <w:r>
              <w:t xml:space="preserve">L2 and QA</w:t>
            </w:r>
          </w:p>
        </w:tc>
      </w:tr>
      <w:tr>
        <w:trPr>
          <w:cantSplit/>
        </w:trPr>
        <w:tc>
          <w:tcPr>
            <w:tcW w:w="728" w:type="dxa"/>
            <w:shd w:val="clear" w:color="auto" w:fill="F4F7FB"/>
            <w:vAlign w:val="top"/>
          </w:tcPr>
          <w:p>
            <w:pPr>
              <w:pStyle w:val="TableText"/>
              <w:jc w:val="left"/>
            </w:pPr>
            <w:r>
              <w:t xml:space="preserve">8</w:t>
            </w:r>
          </w:p>
        </w:tc>
        <w:tc>
          <w:tcPr>
            <w:tcW w:w="791" w:type="dxa"/>
            <w:shd w:val="clear" w:color="auto" w:fill="F4F7FB"/>
            <w:vAlign w:val="top"/>
          </w:tcPr>
          <w:p>
            <w:pPr>
              <w:pStyle w:val="TableText"/>
              <w:jc w:val="left"/>
            </w:pPr>
            <w:r>
              <w:t xml:space="preserve">1:15</w:t>
            </w:r>
          </w:p>
        </w:tc>
        <w:tc>
          <w:tcPr>
            <w:tcW w:w="5611" w:type="dxa"/>
            <w:shd w:val="clear" w:color="auto" w:fill="F4F7FB"/>
            <w:vAlign w:val="top"/>
          </w:tcPr>
          <w:p>
            <w:pPr>
              <w:pStyle w:val="TableText"/>
              <w:jc w:val="left"/>
            </w:pPr>
            <w:r>
              <w:t xml:space="preserve">Switch DNS to DR (TTL 60 s)</w:t>
            </w:r>
          </w:p>
        </w:tc>
        <w:tc>
          <w:tcPr>
            <w:tcW w:w="1897" w:type="dxa"/>
            <w:shd w:val="clear" w:color="auto" w:fill="F4F7FB"/>
            <w:vAlign w:val="top"/>
          </w:tcPr>
          <w:p>
            <w:pPr>
              <w:pStyle w:val="TableText"/>
              <w:jc w:val="left"/>
            </w:pPr>
            <w:r>
              <w:t xml:space="preserve">SRE</w:t>
            </w:r>
          </w:p>
        </w:tc>
      </w:tr>
      <w:tr>
        <w:trPr>
          <w:cantSplit/>
        </w:trPr>
        <w:tc>
          <w:tcPr>
            <w:tcW w:w="728" w:type="dxa"/>
            <w:vAlign w:val="top"/>
          </w:tcPr>
          <w:p>
            <w:pPr>
              <w:pStyle w:val="TableText"/>
              <w:jc w:val="left"/>
            </w:pPr>
            <w:r>
              <w:t xml:space="preserve">9</w:t>
            </w:r>
          </w:p>
        </w:tc>
        <w:tc>
          <w:tcPr>
            <w:tcW w:w="791" w:type="dxa"/>
            <w:vAlign w:val="top"/>
          </w:tcPr>
          <w:p>
            <w:pPr>
              <w:pStyle w:val="TableText"/>
              <w:jc w:val="left"/>
            </w:pPr>
            <w:r>
              <w:t xml:space="preserve">1:30</w:t>
            </w:r>
          </w:p>
        </w:tc>
        <w:tc>
          <w:tcPr>
            <w:tcW w:w="5611" w:type="dxa"/>
            <w:vAlign w:val="top"/>
          </w:tcPr>
          <w:p>
            <w:pPr>
              <w:pStyle w:val="TableText"/>
              <w:jc w:val="left"/>
            </w:pPr>
            <w:r>
              <w:t xml:space="preserve">Run the relay; events stuck in processing are re-claimed after 5 minutes, otherwise RB-06</w:t>
            </w:r>
          </w:p>
        </w:tc>
        <w:tc>
          <w:tcPr>
            <w:tcW w:w="1897" w:type="dxa"/>
            <w:vAlign w:val="top"/>
          </w:tcPr>
          <w:p>
            <w:pPr>
              <w:pStyle w:val="TableText"/>
              <w:jc w:val="left"/>
            </w:pPr>
            <w:r>
              <w:t xml:space="preserve">L2</w:t>
            </w:r>
          </w:p>
        </w:tc>
      </w:tr>
      <w:tr>
        <w:trPr>
          <w:cantSplit/>
        </w:trPr>
        <w:tc>
          <w:tcPr>
            <w:tcW w:w="728" w:type="dxa"/>
            <w:shd w:val="clear" w:color="auto" w:fill="F4F7FB"/>
            <w:vAlign w:val="top"/>
          </w:tcPr>
          <w:p>
            <w:pPr>
              <w:pStyle w:val="TableText"/>
              <w:jc w:val="left"/>
            </w:pPr>
            <w:r>
              <w:t xml:space="preserve">10</w:t>
            </w:r>
          </w:p>
        </w:tc>
        <w:tc>
          <w:tcPr>
            <w:tcW w:w="791" w:type="dxa"/>
            <w:shd w:val="clear" w:color="auto" w:fill="F4F7FB"/>
            <w:vAlign w:val="top"/>
          </w:tcPr>
          <w:p>
            <w:pPr>
              <w:pStyle w:val="TableText"/>
              <w:jc w:val="left"/>
            </w:pPr>
            <w:r>
              <w:t xml:space="preserve">1:45</w:t>
            </w:r>
          </w:p>
        </w:tc>
        <w:tc>
          <w:tcPr>
            <w:tcW w:w="5611" w:type="dxa"/>
            <w:shd w:val="clear" w:color="auto" w:fill="F4F7FB"/>
            <w:vAlign w:val="top"/>
          </w:tcPr>
          <w:p>
            <w:pPr>
              <w:pStyle w:val="TableText"/>
              <w:jc w:val="left"/>
            </w:pPr>
            <w:r>
              <w:t xml:space="preserve">Resume scheduled jobs in DR, including the catalogue sync. Reconcile the loss window with the VETC settlement file and the TASCO core issuance report (by core quote reference); work</w:t>
            </w:r>
            <w:r>
              <w:t xml:space="preserve"> </w:t>
            </w:r>
            <w:r>
              <w:rPr>
                <w:rStyle w:val="CodeChar"/>
              </w:rPr>
              <w:t xml:space="preserve">compensation_failed</w:t>
            </w:r>
            <w:r>
              <w:t xml:space="preserve"> </w:t>
            </w:r>
            <w:r>
              <w:t xml:space="preserve">and</w:t>
            </w:r>
            <w:r>
              <w:t xml:space="preserve"> </w:t>
            </w:r>
            <w:r>
              <w:rPr>
                <w:rStyle w:val="CodeChar"/>
              </w:rPr>
              <w:t xml:space="preserve">payment_failed</w:t>
            </w:r>
            <w:r>
              <w:t xml:space="preserve"> </w:t>
            </w:r>
            <w:r>
              <w:t xml:space="preserve">orders through RB-11</w:t>
            </w:r>
          </w:p>
        </w:tc>
        <w:tc>
          <w:tcPr>
            <w:tcW w:w="1897" w:type="dxa"/>
            <w:shd w:val="clear" w:color="auto" w:fill="F4F7FB"/>
            <w:vAlign w:val="top"/>
          </w:tcPr>
          <w:p>
            <w:pPr>
              <w:pStyle w:val="TableText"/>
              <w:jc w:val="left"/>
            </w:pPr>
            <w:r>
              <w:t xml:space="preserve">L2 and TASCO Finance</w:t>
            </w:r>
          </w:p>
        </w:tc>
      </w:tr>
      <w:tr>
        <w:trPr>
          <w:cantSplit/>
        </w:trPr>
        <w:tc>
          <w:tcPr>
            <w:tcW w:w="728" w:type="dxa"/>
            <w:vAlign w:val="top"/>
          </w:tcPr>
          <w:p>
            <w:pPr>
              <w:pStyle w:val="TableText"/>
              <w:jc w:val="left"/>
            </w:pPr>
            <w:r>
              <w:t xml:space="preserve">11</w:t>
            </w:r>
          </w:p>
        </w:tc>
        <w:tc>
          <w:tcPr>
            <w:tcW w:w="791" w:type="dxa"/>
            <w:vAlign w:val="top"/>
          </w:tcPr>
          <w:p>
            <w:pPr>
              <w:pStyle w:val="TableText"/>
              <w:jc w:val="left"/>
            </w:pPr>
            <w:r>
              <w:t xml:space="preserve">2:00 to 4:00</w:t>
            </w:r>
          </w:p>
        </w:tc>
        <w:tc>
          <w:tcPr>
            <w:tcW w:w="5611" w:type="dxa"/>
            <w:vAlign w:val="top"/>
          </w:tcPr>
          <w:p>
            <w:pPr>
              <w:pStyle w:val="TableText"/>
              <w:jc w:val="left"/>
            </w:pPr>
            <w:r>
              <w:t xml:space="preserve">Monitor the service level objectives; notify partners; issue the DR status report</w:t>
            </w:r>
          </w:p>
        </w:tc>
        <w:tc>
          <w:tcPr>
            <w:tcW w:w="1897" w:type="dxa"/>
            <w:vAlign w:val="top"/>
          </w:tcPr>
          <w:p>
            <w:pPr>
              <w:pStyle w:val="TableText"/>
              <w:jc w:val="left"/>
            </w:pPr>
            <w:r>
              <w:t xml:space="preserve">Incident Commander</w:t>
            </w:r>
          </w:p>
        </w:tc>
      </w:tr>
    </w:tbl>
    <w:p>
      <w:pPr>
        <w:pStyle w:val="Heading2"/>
      </w:pPr>
      <w:bookmarkStart w:id="19" w:name="_Toc300000015"/>
      <w:r>
        <w:t xml:space="preserve">FB-1 Failback to the primary region (planned)</w:t>
      </w:r>
      <w:bookmarkEnd w:id="19"/>
    </w:p>
    <w:p>
      <w:pPr>
        <w:pStyle w:val="Compact"/>
        <w:numPr>
          <w:ilvl w:val="0"/>
          <w:numId w:val="1005"/>
        </w:numPr>
      </w:pPr>
      <w:r>
        <w:t xml:space="preserve">Rebuild the primary-region database as a replica of the DR primary from a fresh base backup. Never reuse the old primary’s data files.</w:t>
      </w:r>
    </w:p>
    <w:p>
      <w:pPr>
        <w:pStyle w:val="Compact"/>
        <w:numPr>
          <w:ilvl w:val="0"/>
          <w:numId w:val="1005"/>
        </w:numPr>
      </w:pPr>
      <w:r>
        <w:t xml:space="preserve">When lag is under 5 seconds, in a CAB-approved window after 20:00: suspend DR jobs, scale the DR application to 0 (about 10 minutes of outage), promote the primary-region replica, point the secrets at it, scale up, run the step 7 smoke tests, switch DNS back and resume jobs.</w:t>
      </w:r>
    </w:p>
    <w:p>
      <w:pPr>
        <w:pStyle w:val="Compact"/>
        <w:numPr>
          <w:ilvl w:val="0"/>
          <w:numId w:val="1005"/>
        </w:numPr>
      </w:pPr>
      <w:r>
        <w:t xml:space="preserve">Rebuild the DR replica from the new primary. Reconcile and verify the audit chain.</w:t>
      </w:r>
    </w:p>
    <w:p>
      <w:pPr>
        <w:pStyle w:val="Heading2"/>
      </w:pPr>
      <w:bookmarkStart w:id="20" w:name="_Toc300000016"/>
      <w:r>
        <w:t xml:space="preserve">FO-2 Logical corruption (point-in-time recovery)</w:t>
      </w:r>
      <w:bookmarkEnd w:id="20"/>
    </w:p>
    <w:p>
      <w:pPr>
        <w:pStyle w:val="FirstParagraph"/>
      </w:pPr>
      <w:r>
        <w:t xml:space="preserve">Used when a bad job, a bad manual statement or a defect corrupts data and the infrastructure is healthy.</w:t>
      </w:r>
    </w:p>
    <w:p>
      <w:pPr>
        <w:pStyle w:val="Compact"/>
        <w:numPr>
          <w:ilvl w:val="0"/>
          <w:numId w:val="1006"/>
        </w:numPr>
      </w:pPr>
      <w:r>
        <w:t xml:space="preserve">Stop the source of damage: suspend jobs and, if needed, scale writers down.</w:t>
      </w:r>
    </w:p>
    <w:p>
      <w:pPr>
        <w:pStyle w:val="Compact"/>
        <w:numPr>
          <w:ilvl w:val="0"/>
          <w:numId w:val="1006"/>
        </w:numPr>
      </w:pPr>
      <w:r>
        <w:t xml:space="preserve">Restore to a new instance at the moment just before the event.</w:t>
      </w:r>
    </w:p>
    <w:p>
      <w:pPr>
        <w:pStyle w:val="Compact"/>
        <w:numPr>
          <w:ilvl w:val="0"/>
          <w:numId w:val="1006"/>
        </w:numPr>
      </w:pPr>
      <w:r>
        <w:t xml:space="preserve">Either cut over fully to the restored instance (loses every write after that moment, so only for a short window), or copy the affected rows from it into production under a change ticket.</w:t>
      </w:r>
    </w:p>
    <w:p>
      <w:pPr>
        <w:pStyle w:val="Compact"/>
        <w:numPr>
          <w:ilvl w:val="0"/>
          <w:numId w:val="1006"/>
        </w:numPr>
      </w:pPr>
      <w:r>
        <w:t xml:space="preserve">Verify the audit chain after any repair. Audit rows are never edited; repairs are recorded as new audit entries or in the change ticket.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DR tests</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2"/>
        <w:gridCol w:w="1307"/>
        <w:gridCol w:w="3061"/>
        <w:gridCol w:w="1576"/>
        <w:gridCol w:w="2251"/>
      </w:tblGrid>
      <w:tr>
        <w:trPr>
          <w:cantSplit/>
          <w:tblHeader/>
        </w:trPr>
        <w:tc>
          <w:tcPr>
            <w:tcW w:w="832" w:type="dxa"/>
            <w:shd w:val="clear" w:color="auto" w:fill="0F4761"/>
            <w:vAlign w:val="center"/>
          </w:tcPr>
          <w:p>
            <w:pPr>
              <w:pStyle w:val="TableHeading"/>
              <w:jc w:val="left"/>
            </w:pPr>
            <w:r>
              <w:rPr>
                <w:color w:val="FFFFFF"/>
              </w:rPr>
              <w:t xml:space="preserve">ID</w:t>
            </w:r>
          </w:p>
        </w:tc>
        <w:tc>
          <w:tcPr>
            <w:tcW w:w="1307" w:type="dxa"/>
            <w:shd w:val="clear" w:color="auto" w:fill="0F4761"/>
            <w:vAlign w:val="center"/>
          </w:tcPr>
          <w:p>
            <w:pPr>
              <w:pStyle w:val="TableHeading"/>
              <w:jc w:val="left"/>
            </w:pPr>
            <w:r>
              <w:rPr>
                <w:color w:val="FFFFFF"/>
              </w:rPr>
              <w:t xml:space="preserve">Test</w:t>
            </w:r>
          </w:p>
        </w:tc>
        <w:tc>
          <w:tcPr>
            <w:tcW w:w="3061" w:type="dxa"/>
            <w:shd w:val="clear" w:color="auto" w:fill="0F4761"/>
            <w:vAlign w:val="center"/>
          </w:tcPr>
          <w:p>
            <w:pPr>
              <w:pStyle w:val="TableHeading"/>
              <w:jc w:val="left"/>
            </w:pPr>
            <w:r>
              <w:rPr>
                <w:color w:val="FFFFFF"/>
              </w:rPr>
              <w:t xml:space="preserve">Scope</w:t>
            </w:r>
          </w:p>
        </w:tc>
        <w:tc>
          <w:tcPr>
            <w:tcW w:w="1576" w:type="dxa"/>
            <w:shd w:val="clear" w:color="auto" w:fill="0F4761"/>
            <w:vAlign w:val="center"/>
          </w:tcPr>
          <w:p>
            <w:pPr>
              <w:pStyle w:val="TableHeading"/>
              <w:jc w:val="left"/>
            </w:pPr>
            <w:r>
              <w:rPr>
                <w:color w:val="FFFFFF"/>
              </w:rPr>
              <w:t xml:space="preserve">Frequency</w:t>
            </w:r>
          </w:p>
        </w:tc>
        <w:tc>
          <w:tcPr>
            <w:tcW w:w="2251" w:type="dxa"/>
            <w:shd w:val="clear" w:color="auto" w:fill="0F4761"/>
            <w:vAlign w:val="center"/>
          </w:tcPr>
          <w:p>
            <w:pPr>
              <w:pStyle w:val="TableHeading"/>
              <w:jc w:val="left"/>
            </w:pPr>
            <w:r>
              <w:rPr>
                <w:color w:val="FFFFFF"/>
              </w:rPr>
              <w:t xml:space="preserve">Success criteria</w:t>
            </w:r>
          </w:p>
        </w:tc>
      </w:tr>
      <w:tr>
        <w:trPr>
          <w:cantSplit/>
        </w:trPr>
        <w:tc>
          <w:tcPr>
            <w:tcW w:w="832" w:type="dxa"/>
            <w:noWrap/>
            <w:vAlign w:val="top"/>
          </w:tcPr>
          <w:p>
            <w:pPr>
              <w:pStyle w:val="TableText"/>
              <w:jc w:val="left"/>
            </w:pPr>
            <w:r>
              <w:t xml:space="preserve">DR-T1</w:t>
            </w:r>
          </w:p>
        </w:tc>
        <w:tc>
          <w:tcPr>
            <w:tcW w:w="1307" w:type="dxa"/>
            <w:vAlign w:val="top"/>
          </w:tcPr>
          <w:p>
            <w:pPr>
              <w:pStyle w:val="TableText"/>
              <w:jc w:val="left"/>
            </w:pPr>
            <w:r>
              <w:t xml:space="preserve">Backup restore</w:t>
            </w:r>
          </w:p>
        </w:tc>
        <w:tc>
          <w:tcPr>
            <w:tcW w:w="3061" w:type="dxa"/>
            <w:vAlign w:val="top"/>
          </w:tcPr>
          <w:p>
            <w:pPr>
              <w:pStyle w:val="TableText"/>
              <w:jc w:val="left"/>
            </w:pPr>
            <w:r>
              <w:t xml:space="preserve">Restore to a new PREPROD instance at a random point in the last 7 days; application connects; audit verifies; row counts checked</w:t>
            </w:r>
          </w:p>
        </w:tc>
        <w:tc>
          <w:tcPr>
            <w:tcW w:w="1576" w:type="dxa"/>
            <w:vAlign w:val="top"/>
          </w:tcPr>
          <w:p>
            <w:pPr>
              <w:pStyle w:val="TableText"/>
              <w:jc w:val="left"/>
            </w:pPr>
            <w:r>
              <w:t xml:space="preserve">Weekly automated (light); quarterly full</w:t>
            </w:r>
          </w:p>
        </w:tc>
        <w:tc>
          <w:tcPr>
            <w:tcW w:w="2251" w:type="dxa"/>
            <w:vAlign w:val="top"/>
          </w:tcPr>
          <w:p>
            <w:pPr>
              <w:pStyle w:val="TableText"/>
              <w:jc w:val="left"/>
            </w:pPr>
            <w:r>
              <w:t xml:space="preserve">Restore within 60 minutes; data consistent to the target time (RPO within 15 minutes; design aim 5 minutes)</w:t>
            </w:r>
          </w:p>
        </w:tc>
      </w:tr>
      <w:tr>
        <w:trPr>
          <w:cantSplit/>
        </w:trPr>
        <w:tc>
          <w:tcPr>
            <w:tcW w:w="832" w:type="dxa"/>
            <w:shd w:val="clear" w:color="auto" w:fill="F4F7FB"/>
            <w:noWrap/>
            <w:vAlign w:val="top"/>
          </w:tcPr>
          <w:p>
            <w:pPr>
              <w:pStyle w:val="TableText"/>
              <w:jc w:val="left"/>
            </w:pPr>
            <w:r>
              <w:t xml:space="preserve">DR-T2</w:t>
            </w:r>
          </w:p>
        </w:tc>
        <w:tc>
          <w:tcPr>
            <w:tcW w:w="1307" w:type="dxa"/>
            <w:shd w:val="clear" w:color="auto" w:fill="F4F7FB"/>
            <w:vAlign w:val="top"/>
          </w:tcPr>
          <w:p>
            <w:pPr>
              <w:pStyle w:val="TableText"/>
              <w:jc w:val="left"/>
            </w:pPr>
            <w:r>
              <w:t xml:space="preserve">Zone failover</w:t>
            </w:r>
          </w:p>
        </w:tc>
        <w:tc>
          <w:tcPr>
            <w:tcW w:w="3061" w:type="dxa"/>
            <w:shd w:val="clear" w:color="auto" w:fill="F4F7FB"/>
            <w:vAlign w:val="top"/>
          </w:tcPr>
          <w:p>
            <w:pPr>
              <w:pStyle w:val="TableText"/>
              <w:jc w:val="left"/>
            </w:pPr>
            <w:r>
              <w:t xml:space="preserve">Database failover and drain of one zone under PERF-S1 load (TC-141, TC-142)</w:t>
            </w:r>
          </w:p>
        </w:tc>
        <w:tc>
          <w:tcPr>
            <w:tcW w:w="1576" w:type="dxa"/>
            <w:shd w:val="clear" w:color="auto" w:fill="F4F7FB"/>
            <w:vAlign w:val="top"/>
          </w:tcPr>
          <w:p>
            <w:pPr>
              <w:pStyle w:val="TableText"/>
              <w:jc w:val="left"/>
            </w:pPr>
            <w:r>
              <w:t xml:space="preserve">Before G3, then twice a year</w:t>
            </w:r>
          </w:p>
        </w:tc>
        <w:tc>
          <w:tcPr>
            <w:tcW w:w="2251" w:type="dxa"/>
            <w:shd w:val="clear" w:color="auto" w:fill="F4F7FB"/>
            <w:vAlign w:val="top"/>
          </w:tcPr>
          <w:p>
            <w:pPr>
              <w:pStyle w:val="TableText"/>
              <w:jc w:val="left"/>
            </w:pPr>
            <w:r>
              <w:t xml:space="preserve">Readiness back within 2 minutes; no lost orders; 5xx only during the switch</w:t>
            </w:r>
          </w:p>
        </w:tc>
      </w:tr>
      <w:tr>
        <w:trPr>
          <w:cantSplit/>
        </w:trPr>
        <w:tc>
          <w:tcPr>
            <w:tcW w:w="832" w:type="dxa"/>
            <w:noWrap/>
            <w:vAlign w:val="top"/>
          </w:tcPr>
          <w:p>
            <w:pPr>
              <w:pStyle w:val="TableText"/>
              <w:jc w:val="left"/>
            </w:pPr>
            <w:r>
              <w:t xml:space="preserve">DR-T3</w:t>
            </w:r>
          </w:p>
        </w:tc>
        <w:tc>
          <w:tcPr>
            <w:tcW w:w="1307" w:type="dxa"/>
            <w:vAlign w:val="top"/>
          </w:tcPr>
          <w:p>
            <w:pPr>
              <w:pStyle w:val="TableText"/>
              <w:jc w:val="left"/>
            </w:pPr>
            <w:r>
              <w:t xml:space="preserve">Region failover drill</w:t>
            </w:r>
          </w:p>
        </w:tc>
        <w:tc>
          <w:tcPr>
            <w:tcW w:w="3061" w:type="dxa"/>
            <w:vAlign w:val="top"/>
          </w:tcPr>
          <w:p>
            <w:pPr>
              <w:pStyle w:val="TableText"/>
              <w:jc w:val="left"/>
            </w:pPr>
            <w:r>
              <w:t xml:space="preserve">Full FO-1 in PREPROD and DR, including quotes priced by TASCO core from DR</w:t>
            </w:r>
          </w:p>
        </w:tc>
        <w:tc>
          <w:tcPr>
            <w:tcW w:w="1576" w:type="dxa"/>
            <w:vAlign w:val="top"/>
          </w:tcPr>
          <w:p>
            <w:pPr>
              <w:pStyle w:val="TableText"/>
              <w:jc w:val="left"/>
            </w:pPr>
            <w:r>
              <w:t xml:space="preserve">Before the scale phase, then yearly</w:t>
            </w:r>
          </w:p>
        </w:tc>
        <w:tc>
          <w:tcPr>
            <w:tcW w:w="2251" w:type="dxa"/>
            <w:vAlign w:val="top"/>
          </w:tcPr>
          <w:p>
            <w:pPr>
              <w:pStyle w:val="TableText"/>
              <w:jc w:val="left"/>
            </w:pPr>
            <w:r>
              <w:t xml:space="preserve">RTO within 4 hours and RPO within 15 minutes; partner and TASCO core calls succeed from DR egress</w:t>
            </w:r>
          </w:p>
        </w:tc>
      </w:tr>
      <w:tr>
        <w:trPr>
          <w:cantSplit/>
        </w:trPr>
        <w:tc>
          <w:tcPr>
            <w:tcW w:w="832" w:type="dxa"/>
            <w:shd w:val="clear" w:color="auto" w:fill="F4F7FB"/>
            <w:noWrap/>
            <w:vAlign w:val="top"/>
          </w:tcPr>
          <w:p>
            <w:pPr>
              <w:pStyle w:val="TableText"/>
              <w:jc w:val="left"/>
            </w:pPr>
            <w:r>
              <w:t xml:space="preserve">DR-T4</w:t>
            </w:r>
          </w:p>
        </w:tc>
        <w:tc>
          <w:tcPr>
            <w:tcW w:w="1307" w:type="dxa"/>
            <w:shd w:val="clear" w:color="auto" w:fill="F4F7FB"/>
            <w:vAlign w:val="top"/>
          </w:tcPr>
          <w:p>
            <w:pPr>
              <w:pStyle w:val="TableText"/>
              <w:jc w:val="left"/>
            </w:pPr>
            <w:r>
              <w:t xml:space="preserve">Rebuild from code</w:t>
            </w:r>
          </w:p>
        </w:tc>
        <w:tc>
          <w:tcPr>
            <w:tcW w:w="3061" w:type="dxa"/>
            <w:shd w:val="clear" w:color="auto" w:fill="F4F7FB"/>
            <w:vAlign w:val="top"/>
          </w:tcPr>
          <w:p>
            <w:pPr>
              <w:pStyle w:val="TableText"/>
              <w:jc w:val="left"/>
            </w:pPr>
            <w:r>
              <w:t xml:space="preserve">New cluster from infrastructure code, image registry and key escrow</w:t>
            </w:r>
          </w:p>
        </w:tc>
        <w:tc>
          <w:tcPr>
            <w:tcW w:w="1576" w:type="dxa"/>
            <w:shd w:val="clear" w:color="auto" w:fill="F4F7FB"/>
            <w:vAlign w:val="top"/>
          </w:tcPr>
          <w:p>
            <w:pPr>
              <w:pStyle w:val="TableText"/>
              <w:jc w:val="left"/>
            </w:pPr>
            <w:r>
              <w:t xml:space="preserve">Yearly</w:t>
            </w:r>
          </w:p>
        </w:tc>
        <w:tc>
          <w:tcPr>
            <w:tcW w:w="2251" w:type="dxa"/>
            <w:shd w:val="clear" w:color="auto" w:fill="F4F7FB"/>
            <w:vAlign w:val="top"/>
          </w:tcPr>
          <w:p>
            <w:pPr>
              <w:pStyle w:val="TableText"/>
              <w:jc w:val="left"/>
            </w:pPr>
            <w:r>
              <w:t xml:space="preserve">Platform running from scratch within 8 hours</w:t>
            </w:r>
          </w:p>
        </w:tc>
      </w:tr>
      <w:tr>
        <w:trPr>
          <w:cantSplit/>
        </w:trPr>
        <w:tc>
          <w:tcPr>
            <w:tcW w:w="832" w:type="dxa"/>
            <w:noWrap/>
            <w:vAlign w:val="top"/>
          </w:tcPr>
          <w:p>
            <w:pPr>
              <w:pStyle w:val="TableText"/>
              <w:jc w:val="left"/>
            </w:pPr>
            <w:r>
              <w:t xml:space="preserve">DR-T5</w:t>
            </w:r>
          </w:p>
        </w:tc>
        <w:tc>
          <w:tcPr>
            <w:tcW w:w="1307" w:type="dxa"/>
            <w:vAlign w:val="top"/>
          </w:tcPr>
          <w:p>
            <w:pPr>
              <w:pStyle w:val="TableText"/>
              <w:jc w:val="left"/>
            </w:pPr>
            <w:r>
              <w:t xml:space="preserve">Key recovery</w:t>
            </w:r>
          </w:p>
        </w:tc>
        <w:tc>
          <w:tcPr>
            <w:tcW w:w="3061" w:type="dxa"/>
            <w:vAlign w:val="top"/>
          </w:tcPr>
          <w:p>
            <w:pPr>
              <w:pStyle w:val="TableText"/>
              <w:jc w:val="left"/>
            </w:pPr>
            <w:r>
              <w:t xml:space="preserve">Recover all</w:t>
            </w:r>
            <w:r>
              <w:t xml:space="preserve"> </w:t>
            </w:r>
            <w:r>
              <w:rPr>
                <w:rStyle w:val="CodeChar"/>
              </w:rPr>
              <w:t xml:space="preserve">DATA_KEYS</w:t>
            </w:r>
            <w:r>
              <w:t xml:space="preserve"> </w:t>
            </w:r>
            <w:r>
              <w:t xml:space="preserve">IDs,</w:t>
            </w:r>
            <w:r>
              <w:t xml:space="preserve"> </w:t>
            </w:r>
            <w:r>
              <w:rPr>
                <w:rStyle w:val="CodeChar"/>
              </w:rPr>
              <w:t xml:space="preserve">BLIND_INDEX_KEY</w:t>
            </w:r>
            <w:r>
              <w:t xml:space="preserve"> </w:t>
            </w:r>
            <w:r>
              <w:t xml:space="preserve">and the TASCO core client secret from escrow; decrypt a sample in isolation</w:t>
            </w:r>
          </w:p>
        </w:tc>
        <w:tc>
          <w:tcPr>
            <w:tcW w:w="1576" w:type="dxa"/>
            <w:vAlign w:val="top"/>
          </w:tcPr>
          <w:p>
            <w:pPr>
              <w:pStyle w:val="TableText"/>
              <w:jc w:val="left"/>
            </w:pPr>
            <w:r>
              <w:t xml:space="preserve">Twice a year</w:t>
            </w:r>
          </w:p>
        </w:tc>
        <w:tc>
          <w:tcPr>
            <w:tcW w:w="2251" w:type="dxa"/>
            <w:vAlign w:val="top"/>
          </w:tcPr>
          <w:p>
            <w:pPr>
              <w:pStyle w:val="TableText"/>
              <w:jc w:val="left"/>
            </w:pPr>
            <w:r>
              <w:t xml:space="preserve">Two-person procedure within 1 hour</w:t>
            </w:r>
          </w:p>
        </w:tc>
      </w:tr>
      <w:tr>
        <w:trPr>
          <w:cantSplit/>
        </w:trPr>
        <w:tc>
          <w:tcPr>
            <w:tcW w:w="832" w:type="dxa"/>
            <w:shd w:val="clear" w:color="auto" w:fill="F4F7FB"/>
            <w:noWrap/>
            <w:vAlign w:val="top"/>
          </w:tcPr>
          <w:p>
            <w:pPr>
              <w:pStyle w:val="TableText"/>
              <w:jc w:val="left"/>
            </w:pPr>
            <w:r>
              <w:t xml:space="preserve">DR-T6</w:t>
            </w:r>
          </w:p>
        </w:tc>
        <w:tc>
          <w:tcPr>
            <w:tcW w:w="1307" w:type="dxa"/>
            <w:shd w:val="clear" w:color="auto" w:fill="F4F7FB"/>
            <w:vAlign w:val="top"/>
          </w:tcPr>
          <w:p>
            <w:pPr>
              <w:pStyle w:val="TableText"/>
              <w:jc w:val="left"/>
            </w:pPr>
            <w:r>
              <w:t xml:space="preserve">Vendor outage tabletop</w:t>
            </w:r>
          </w:p>
        </w:tc>
        <w:tc>
          <w:tcPr>
            <w:tcW w:w="3061" w:type="dxa"/>
            <w:shd w:val="clear" w:color="auto" w:fill="F4F7FB"/>
            <w:vAlign w:val="top"/>
          </w:tcPr>
          <w:p>
            <w:pPr>
              <w:pStyle w:val="TableText"/>
              <w:jc w:val="left"/>
            </w:pPr>
            <w:r>
              <w:t xml:space="preserve">Walk through the continuity scenarios with VETC customer service, the telesales supervisor, TASCO core IT and the voice vendor</w:t>
            </w:r>
          </w:p>
        </w:tc>
        <w:tc>
          <w:tcPr>
            <w:tcW w:w="1576" w:type="dxa"/>
            <w:shd w:val="clear" w:color="auto" w:fill="F4F7FB"/>
            <w:vAlign w:val="top"/>
          </w:tcPr>
          <w:p>
            <w:pPr>
              <w:pStyle w:val="TableText"/>
              <w:jc w:val="left"/>
            </w:pPr>
            <w:r>
              <w:t xml:space="preserve">Before the pilot, then twice a year</w:t>
            </w:r>
          </w:p>
        </w:tc>
        <w:tc>
          <w:tcPr>
            <w:tcW w:w="2251" w:type="dxa"/>
            <w:shd w:val="clear" w:color="auto" w:fill="F4F7FB"/>
            <w:vAlign w:val="top"/>
          </w:tcPr>
          <w:p>
            <w:pPr>
              <w:pStyle w:val="TableText"/>
              <w:jc w:val="left"/>
            </w:pPr>
            <w:r>
              <w:t xml:space="preserve">Roles clear; templates approved; contact lists valid</w:t>
            </w:r>
          </w:p>
        </w:tc>
      </w:tr>
      <w:tr>
        <w:trPr>
          <w:cantSplit/>
        </w:trPr>
        <w:tc>
          <w:tcPr>
            <w:tcW w:w="832" w:type="dxa"/>
            <w:noWrap/>
            <w:vAlign w:val="top"/>
          </w:tcPr>
          <w:p>
            <w:pPr>
              <w:pStyle w:val="TableText"/>
              <w:jc w:val="left"/>
            </w:pPr>
            <w:r>
              <w:t xml:space="preserve">DR-T7</w:t>
            </w:r>
          </w:p>
        </w:tc>
        <w:tc>
          <w:tcPr>
            <w:tcW w:w="1307" w:type="dxa"/>
            <w:vAlign w:val="top"/>
          </w:tcPr>
          <w:p>
            <w:pPr>
              <w:pStyle w:val="TableText"/>
              <w:jc w:val="left"/>
            </w:pPr>
            <w:r>
              <w:t xml:space="preserve">Outbox recovery</w:t>
            </w:r>
          </w:p>
        </w:tc>
        <w:tc>
          <w:tcPr>
            <w:tcW w:w="3061" w:type="dxa"/>
            <w:vAlign w:val="top"/>
          </w:tcPr>
          <w:p>
            <w:pPr>
              <w:pStyle w:val="TableText"/>
              <w:jc w:val="left"/>
            </w:pPr>
            <w:r>
              <w:t xml:space="preserve">Kill pods during relay; recover stuck and dead-letter events through RB-06</w:t>
            </w:r>
          </w:p>
        </w:tc>
        <w:tc>
          <w:tcPr>
            <w:tcW w:w="1576" w:type="dxa"/>
            <w:vAlign w:val="top"/>
          </w:tcPr>
          <w:p>
            <w:pPr>
              <w:pStyle w:val="TableText"/>
              <w:jc w:val="left"/>
            </w:pPr>
            <w:r>
              <w:t xml:space="preserve">Before G3</w:t>
            </w:r>
          </w:p>
        </w:tc>
        <w:tc>
          <w:tcPr>
            <w:tcW w:w="2251" w:type="dxa"/>
            <w:vAlign w:val="top"/>
          </w:tcPr>
          <w:p>
            <w:pPr>
              <w:pStyle w:val="TableText"/>
              <w:jc w:val="left"/>
            </w:pPr>
            <w:r>
              <w:t xml:space="preserve">No lost or duplicated customer messages beyond the documented exceptions</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053"/>
        <w:gridCol w:w="4974"/>
      </w:tblGrid>
      <w:tr>
        <w:trPr>
          <w:cantSplit/>
          <w:tblHeader/>
        </w:trPr>
        <w:tc>
          <w:tcPr>
            <w:tcW w:w="4053" w:type="dxa"/>
            <w:shd w:val="clear" w:color="auto" w:fill="0F4761"/>
            <w:vAlign w:val="center"/>
          </w:tcPr>
          <w:p>
            <w:pPr>
              <w:pStyle w:val="TableHeading"/>
              <w:jc w:val="left"/>
            </w:pPr>
            <w:r>
              <w:rPr>
                <w:color w:val="FFFFFF"/>
              </w:rPr>
              <w:t xml:space="preserve">Window</w:t>
            </w:r>
          </w:p>
        </w:tc>
        <w:tc>
          <w:tcPr>
            <w:tcW w:w="4974" w:type="dxa"/>
            <w:shd w:val="clear" w:color="auto" w:fill="0F4761"/>
            <w:vAlign w:val="center"/>
          </w:tcPr>
          <w:p>
            <w:pPr>
              <w:pStyle w:val="TableHeading"/>
              <w:jc w:val="left"/>
            </w:pPr>
            <w:r>
              <w:rPr>
                <w:color w:val="FFFFFF"/>
              </w:rPr>
              <w:t xml:space="preserve">Tests</w:t>
            </w:r>
          </w:p>
        </w:tc>
      </w:tr>
      <w:tr>
        <w:trPr>
          <w:cantSplit/>
        </w:trPr>
        <w:tc>
          <w:tcPr>
            <w:tcW w:w="4053" w:type="dxa"/>
            <w:vAlign w:val="top"/>
          </w:tcPr>
          <w:p>
            <w:pPr>
              <w:pStyle w:val="TableText"/>
              <w:jc w:val="left"/>
            </w:pPr>
            <w:r>
              <w:t xml:space="preserve">Test phase, 11 to 22 January 2027</w:t>
            </w:r>
          </w:p>
        </w:tc>
        <w:tc>
          <w:tcPr>
            <w:tcW w:w="4974" w:type="dxa"/>
            <w:vAlign w:val="top"/>
          </w:tcPr>
          <w:p>
            <w:pPr>
              <w:pStyle w:val="TableText"/>
              <w:jc w:val="left"/>
            </w:pPr>
            <w:r>
              <w:t xml:space="preserve">DR-T1, DR-T2, DR-T5, DR-T6, DR-T7 (G3 evidence)</w:t>
            </w:r>
          </w:p>
        </w:tc>
      </w:tr>
      <w:tr>
        <w:trPr>
          <w:cantSplit/>
        </w:trPr>
        <w:tc>
          <w:tcPr>
            <w:tcW w:w="4053" w:type="dxa"/>
            <w:shd w:val="clear" w:color="auto" w:fill="F4F7FB"/>
            <w:vAlign w:val="top"/>
          </w:tcPr>
          <w:p>
            <w:pPr>
              <w:pStyle w:val="TableText"/>
              <w:jc w:val="left"/>
            </w:pPr>
            <w:r>
              <w:t xml:space="preserve">Before the scale phase</w:t>
            </w:r>
          </w:p>
        </w:tc>
        <w:tc>
          <w:tcPr>
            <w:tcW w:w="4974" w:type="dxa"/>
            <w:shd w:val="clear" w:color="auto" w:fill="F4F7FB"/>
            <w:noWrap/>
            <w:vAlign w:val="top"/>
          </w:tcPr>
          <w:p>
            <w:pPr>
              <w:pStyle w:val="TableText"/>
              <w:jc w:val="left"/>
            </w:pPr>
            <w:r>
              <w:t xml:space="preserve">DR-T3</w:t>
            </w:r>
          </w:p>
        </w:tc>
      </w:tr>
      <w:tr>
        <w:trPr>
          <w:cantSplit/>
        </w:trPr>
        <w:tc>
          <w:tcPr>
            <w:tcW w:w="4053" w:type="dxa"/>
            <w:vAlign w:val="top"/>
          </w:tcPr>
          <w:p>
            <w:pPr>
              <w:pStyle w:val="TableText"/>
              <w:jc w:val="left"/>
            </w:pPr>
            <w:r>
              <w:t xml:space="preserve">Every quarter</w:t>
            </w:r>
          </w:p>
        </w:tc>
        <w:tc>
          <w:tcPr>
            <w:tcW w:w="4974" w:type="dxa"/>
            <w:vAlign w:val="top"/>
          </w:tcPr>
          <w:p>
            <w:pPr>
              <w:pStyle w:val="TableText"/>
              <w:jc w:val="left"/>
            </w:pPr>
            <w:r>
              <w:t xml:space="preserve">DR-T1 full</w:t>
            </w:r>
          </w:p>
        </w:tc>
      </w:tr>
      <w:tr>
        <w:trPr>
          <w:cantSplit/>
        </w:trPr>
        <w:tc>
          <w:tcPr>
            <w:tcW w:w="4053" w:type="dxa"/>
            <w:shd w:val="clear" w:color="auto" w:fill="F4F7FB"/>
            <w:vAlign w:val="top"/>
          </w:tcPr>
          <w:p>
            <w:pPr>
              <w:pStyle w:val="TableText"/>
              <w:jc w:val="left"/>
            </w:pPr>
            <w:r>
              <w:t xml:space="preserve">Twice a year</w:t>
            </w:r>
          </w:p>
        </w:tc>
        <w:tc>
          <w:tcPr>
            <w:tcW w:w="4974" w:type="dxa"/>
            <w:shd w:val="clear" w:color="auto" w:fill="F4F7FB"/>
            <w:vAlign w:val="top"/>
          </w:tcPr>
          <w:p>
            <w:pPr>
              <w:pStyle w:val="TableText"/>
              <w:jc w:val="left"/>
            </w:pPr>
            <w:r>
              <w:t xml:space="preserve">DR-T2, DR-T5, DR-T6</w:t>
            </w:r>
          </w:p>
        </w:tc>
      </w:tr>
      <w:tr>
        <w:trPr>
          <w:cantSplit/>
        </w:trPr>
        <w:tc>
          <w:tcPr>
            <w:tcW w:w="4053" w:type="dxa"/>
            <w:vAlign w:val="top"/>
          </w:tcPr>
          <w:p>
            <w:pPr>
              <w:pStyle w:val="TableText"/>
              <w:jc w:val="left"/>
            </w:pPr>
            <w:r>
              <w:t xml:space="preserve">Every year</w:t>
            </w:r>
          </w:p>
        </w:tc>
        <w:tc>
          <w:tcPr>
            <w:tcW w:w="4974" w:type="dxa"/>
            <w:vAlign w:val="top"/>
          </w:tcPr>
          <w:p>
            <w:pPr>
              <w:pStyle w:val="TableText"/>
              <w:jc w:val="left"/>
            </w:pPr>
            <w:r>
              <w:t xml:space="preserve">DR-T3, DR-T4</w:t>
            </w:r>
          </w:p>
        </w:tc>
      </w:tr>
    </w:tbl>
    <w:p>
      <w:pPr>
        <w:pStyle w:val="BodyText"/>
        <w:spacing w:before="160"/>
      </w:pPr>
      <w:r>
        <w:t xml:space="preserve">Each test produces a report with the date, scenario, actual RTO and RPO, issues and actions, signed by the TASCO Head of IT.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Business continuity</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70"/>
        <w:gridCol w:w="1514"/>
        <w:gridCol w:w="3990"/>
        <w:gridCol w:w="1853"/>
      </w:tblGrid>
      <w:tr>
        <w:trPr>
          <w:cantSplit/>
          <w:tblHeader/>
        </w:trPr>
        <w:tc>
          <w:tcPr>
            <w:tcW w:w="1670" w:type="dxa"/>
            <w:shd w:val="clear" w:color="auto" w:fill="0F4761"/>
            <w:vAlign w:val="center"/>
          </w:tcPr>
          <w:p>
            <w:pPr>
              <w:pStyle w:val="TableHeading"/>
              <w:jc w:val="left"/>
            </w:pPr>
            <w:r>
              <w:rPr>
                <w:color w:val="FFFFFF"/>
              </w:rPr>
              <w:t xml:space="preserve">Scenario</w:t>
            </w:r>
          </w:p>
        </w:tc>
        <w:tc>
          <w:tcPr>
            <w:tcW w:w="1514" w:type="dxa"/>
            <w:shd w:val="clear" w:color="auto" w:fill="0F4761"/>
            <w:vAlign w:val="center"/>
          </w:tcPr>
          <w:p>
            <w:pPr>
              <w:pStyle w:val="TableHeading"/>
              <w:jc w:val="left"/>
            </w:pPr>
            <w:r>
              <w:rPr>
                <w:color w:val="FFFFFF"/>
              </w:rPr>
              <w:t xml:space="preserve">Detection</w:t>
            </w:r>
          </w:p>
        </w:tc>
        <w:tc>
          <w:tcPr>
            <w:tcW w:w="3990" w:type="dxa"/>
            <w:shd w:val="clear" w:color="auto" w:fill="0F4761"/>
            <w:vAlign w:val="center"/>
          </w:tcPr>
          <w:p>
            <w:pPr>
              <w:pStyle w:val="TableHeading"/>
              <w:jc w:val="left"/>
            </w:pPr>
            <w:r>
              <w:rPr>
                <w:color w:val="FFFFFF"/>
              </w:rPr>
              <w:t xml:space="preserve">Continuity actions</w:t>
            </w:r>
          </w:p>
        </w:tc>
        <w:tc>
          <w:tcPr>
            <w:tcW w:w="1853" w:type="dxa"/>
            <w:shd w:val="clear" w:color="auto" w:fill="0F4761"/>
            <w:vAlign w:val="center"/>
          </w:tcPr>
          <w:p>
            <w:pPr>
              <w:pStyle w:val="TableHeading"/>
              <w:jc w:val="left"/>
            </w:pPr>
            <w:r>
              <w:rPr>
                <w:color w:val="FFFFFF"/>
              </w:rPr>
              <w:t xml:space="preserve">Customer impact</w:t>
            </w:r>
          </w:p>
        </w:tc>
      </w:tr>
      <w:tr>
        <w:trPr>
          <w:cantSplit/>
        </w:trPr>
        <w:tc>
          <w:tcPr>
            <w:tcW w:w="1670" w:type="dxa"/>
            <w:vAlign w:val="top"/>
          </w:tcPr>
          <w:p>
            <w:pPr>
              <w:pStyle w:val="TableText"/>
              <w:jc w:val="left"/>
            </w:pPr>
            <w:r>
              <w:t xml:space="preserve">TASCO core rating outage</w:t>
            </w:r>
          </w:p>
        </w:tc>
        <w:tc>
          <w:tcPr>
            <w:tcW w:w="1514" w:type="dxa"/>
            <w:vAlign w:val="top"/>
          </w:tcPr>
          <w:p>
            <w:pPr>
              <w:pStyle w:val="TableText"/>
              <w:jc w:val="left"/>
            </w:pPr>
            <w:r>
              <w:t xml:space="preserve">ALR-13, ALR-16; RB-16</w:t>
            </w:r>
          </w:p>
        </w:tc>
        <w:tc>
          <w:tcPr>
            <w:tcW w:w="3990" w:type="dxa"/>
            <w:vAlign w:val="top"/>
          </w:tcPr>
          <w:p>
            <w:pPr>
              <w:pStyle w:val="TableText"/>
              <w:jc w:val="left"/>
            </w:pPr>
            <w:r>
              <w:t xml:space="preserve">Core-only mode: no new quotes; telesales record intent and call back; journeys paused after 30 minutes. Fallback mode: indicative quotes, re-rated after recovery (RB-18)</w:t>
            </w:r>
          </w:p>
        </w:tc>
        <w:tc>
          <w:tcPr>
            <w:tcW w:w="1853" w:type="dxa"/>
            <w:vAlign w:val="top"/>
          </w:tcPr>
          <w:p>
            <w:pPr>
              <w:pStyle w:val="TableText"/>
              <w:jc w:val="left"/>
            </w:pPr>
            <w:r>
              <w:t xml:space="preserve">New purchases delayed</w:t>
            </w:r>
          </w:p>
        </w:tc>
      </w:tr>
      <w:tr>
        <w:trPr>
          <w:cantSplit/>
        </w:trPr>
        <w:tc>
          <w:tcPr>
            <w:tcW w:w="1670" w:type="dxa"/>
            <w:shd w:val="clear" w:color="auto" w:fill="F4F7FB"/>
            <w:vAlign w:val="top"/>
          </w:tcPr>
          <w:p>
            <w:pPr>
              <w:pStyle w:val="TableText"/>
              <w:jc w:val="left"/>
            </w:pPr>
            <w:r>
              <w:t xml:space="preserve">TASCO core issuance outage</w:t>
            </w:r>
          </w:p>
        </w:tc>
        <w:tc>
          <w:tcPr>
            <w:tcW w:w="1514" w:type="dxa"/>
            <w:shd w:val="clear" w:color="auto" w:fill="F4F7FB"/>
            <w:vAlign w:val="top"/>
          </w:tcPr>
          <w:p>
            <w:pPr>
              <w:pStyle w:val="TableText"/>
              <w:jc w:val="left"/>
            </w:pPr>
            <w:r>
              <w:t xml:space="preserve">ALR-84; RB-03</w:t>
            </w:r>
          </w:p>
        </w:tc>
        <w:tc>
          <w:tcPr>
            <w:tcW w:w="3990" w:type="dxa"/>
            <w:shd w:val="clear" w:color="auto" w:fill="F4F7FB"/>
            <w:vAlign w:val="top"/>
          </w:tcPr>
          <w:p>
            <w:pPr>
              <w:pStyle w:val="TableText"/>
              <w:jc w:val="left"/>
            </w:pPr>
            <w:r>
              <w:t xml:space="preserve">Stop sales (pause journeys, hide the renewal banner); queue callbacks; failed orders compensated automatically;</w:t>
            </w:r>
            <w:r>
              <w:t xml:space="preserve"> </w:t>
            </w:r>
            <w:r>
              <w:rPr>
                <w:rStyle w:val="CodeChar"/>
              </w:rPr>
              <w:t xml:space="preserve">compensation_failed</w:t>
            </w:r>
            <w:r>
              <w:t xml:space="preserve"> </w:t>
            </w:r>
            <w:r>
              <w:t xml:space="preserve">orders worked manually (RB-11)</w:t>
            </w:r>
          </w:p>
        </w:tc>
        <w:tc>
          <w:tcPr>
            <w:tcW w:w="1853" w:type="dxa"/>
            <w:shd w:val="clear" w:color="auto" w:fill="F4F7FB"/>
            <w:vAlign w:val="top"/>
          </w:tcPr>
          <w:p>
            <w:pPr>
              <w:pStyle w:val="TableText"/>
              <w:jc w:val="left"/>
            </w:pPr>
            <w:r>
              <w:t xml:space="preserve">Purchases delayed; charged customers refunded</w:t>
            </w:r>
          </w:p>
        </w:tc>
      </w:tr>
      <w:tr>
        <w:trPr>
          <w:cantSplit/>
        </w:trPr>
        <w:tc>
          <w:tcPr>
            <w:tcW w:w="1670" w:type="dxa"/>
            <w:vAlign w:val="top"/>
          </w:tcPr>
          <w:p>
            <w:pPr>
              <w:pStyle w:val="TableText"/>
              <w:jc w:val="left"/>
            </w:pPr>
            <w:r>
              <w:t xml:space="preserve">VETC wallet outage</w:t>
            </w:r>
          </w:p>
        </w:tc>
        <w:tc>
          <w:tcPr>
            <w:tcW w:w="1514" w:type="dxa"/>
            <w:vAlign w:val="top"/>
          </w:tcPr>
          <w:p>
            <w:pPr>
              <w:pStyle w:val="TableText"/>
              <w:jc w:val="left"/>
            </w:pPr>
            <w:r>
              <w:t xml:space="preserve">ALR-10; RB-02</w:t>
            </w:r>
          </w:p>
        </w:tc>
        <w:tc>
          <w:tcPr>
            <w:tcW w:w="3990" w:type="dxa"/>
            <w:vAlign w:val="top"/>
          </w:tcPr>
          <w:p>
            <w:pPr>
              <w:pStyle w:val="TableText"/>
              <w:jc w:val="left"/>
            </w:pPr>
            <w:r>
              <w:t xml:space="preserve">No other payment method in scope: customers pay only in the official app and staff never take payment. In-app banner; telesales send quotes and call back; journeys paused (SOP-07)</w:t>
            </w:r>
          </w:p>
        </w:tc>
        <w:tc>
          <w:tcPr>
            <w:tcW w:w="1853" w:type="dxa"/>
            <w:vAlign w:val="top"/>
          </w:tcPr>
          <w:p>
            <w:pPr>
              <w:pStyle w:val="TableText"/>
              <w:jc w:val="left"/>
            </w:pPr>
            <w:r>
              <w:t xml:space="preserve">Purchases delayed</w:t>
            </w:r>
          </w:p>
        </w:tc>
      </w:tr>
      <w:tr>
        <w:trPr>
          <w:cantSplit/>
        </w:trPr>
        <w:tc>
          <w:tcPr>
            <w:tcW w:w="1670" w:type="dxa"/>
            <w:shd w:val="clear" w:color="auto" w:fill="F4F7FB"/>
            <w:vAlign w:val="top"/>
          </w:tcPr>
          <w:p>
            <w:pPr>
              <w:pStyle w:val="TableText"/>
              <w:jc w:val="left"/>
            </w:pPr>
            <w:r>
              <w:t xml:space="preserve">Voice vendor outage</w:t>
            </w:r>
          </w:p>
        </w:tc>
        <w:tc>
          <w:tcPr>
            <w:tcW w:w="1514" w:type="dxa"/>
            <w:shd w:val="clear" w:color="auto" w:fill="F4F7FB"/>
            <w:vAlign w:val="top"/>
          </w:tcPr>
          <w:p>
            <w:pPr>
              <w:pStyle w:val="TableText"/>
              <w:jc w:val="left"/>
            </w:pPr>
            <w:r>
              <w:t xml:space="preserve">ALR-10; RB-05</w:t>
            </w:r>
          </w:p>
        </w:tc>
        <w:tc>
          <w:tcPr>
            <w:tcW w:w="3990" w:type="dxa"/>
            <w:shd w:val="clear" w:color="auto" w:fill="F4F7FB"/>
            <w:vAlign w:val="top"/>
          </w:tcPr>
          <w:p>
            <w:pPr>
              <w:pStyle w:val="TableText"/>
              <w:jc w:val="left"/>
            </w:pPr>
            <w:r>
              <w:t xml:space="preserve">Stop launching voice campaigns. Through maker-checker, add telesales to the voice step’s channels, or raise hot-lead priority for agents. Supervisors add shifts. Digital reminders continue</w:t>
            </w:r>
          </w:p>
        </w:tc>
        <w:tc>
          <w:tcPr>
            <w:tcW w:w="1853" w:type="dxa"/>
            <w:shd w:val="clear" w:color="auto" w:fill="F4F7FB"/>
            <w:vAlign w:val="top"/>
          </w:tcPr>
          <w:p>
            <w:pPr>
              <w:pStyle w:val="TableText"/>
              <w:jc w:val="left"/>
            </w:pPr>
            <w:r>
              <w:t xml:space="preserve">Fewer proactive calls</w:t>
            </w:r>
          </w:p>
        </w:tc>
      </w:tr>
      <w:tr>
        <w:trPr>
          <w:cantSplit/>
        </w:trPr>
        <w:tc>
          <w:tcPr>
            <w:tcW w:w="1670" w:type="dxa"/>
            <w:vAlign w:val="top"/>
          </w:tcPr>
          <w:p>
            <w:pPr>
              <w:pStyle w:val="TableText"/>
              <w:jc w:val="left"/>
            </w:pPr>
            <w:r>
              <w:t xml:space="preserve">Telesales unavailable</w:t>
            </w:r>
          </w:p>
        </w:tc>
        <w:tc>
          <w:tcPr>
            <w:tcW w:w="1514" w:type="dxa"/>
            <w:vAlign w:val="top"/>
          </w:tcPr>
          <w:p>
            <w:pPr>
              <w:pStyle w:val="TableText"/>
              <w:jc w:val="left"/>
            </w:pPr>
            <w:r>
              <w:t xml:space="preserve">Supervisor report; ALR-83</w:t>
            </w:r>
          </w:p>
        </w:tc>
        <w:tc>
          <w:tcPr>
            <w:tcW w:w="3990" w:type="dxa"/>
            <w:vAlign w:val="top"/>
          </w:tcPr>
          <w:p>
            <w:pPr>
              <w:pStyle w:val="TableText"/>
              <w:jc w:val="left"/>
            </w:pPr>
            <w:r>
              <w:t xml:space="preserve">Through a rule change, remove telesales from journey steps and switch the voice bot’s hot-lead outcome to sending the renewal link; partner channel unaffected. If no channel remains, suspend journeys (SOP-07)</w:t>
            </w:r>
          </w:p>
        </w:tc>
        <w:tc>
          <w:tcPr>
            <w:tcW w:w="1853" w:type="dxa"/>
            <w:vAlign w:val="top"/>
          </w:tcPr>
          <w:p>
            <w:pPr>
              <w:pStyle w:val="TableText"/>
              <w:jc w:val="left"/>
            </w:pPr>
            <w:r>
              <w:t xml:space="preserve">Hot leads served by self-service link</w:t>
            </w:r>
          </w:p>
        </w:tc>
      </w:tr>
      <w:tr>
        <w:trPr>
          <w:cantSplit/>
        </w:trPr>
        <w:tc>
          <w:tcPr>
            <w:tcW w:w="1670" w:type="dxa"/>
            <w:shd w:val="clear" w:color="auto" w:fill="F4F7FB"/>
            <w:vAlign w:val="top"/>
          </w:tcPr>
          <w:p>
            <w:pPr>
              <w:pStyle w:val="TableText"/>
              <w:jc w:val="left"/>
            </w:pPr>
            <w:r>
              <w:t xml:space="preserve">Zalo ZNS or SMS outage</w:t>
            </w:r>
          </w:p>
        </w:tc>
        <w:tc>
          <w:tcPr>
            <w:tcW w:w="1514" w:type="dxa"/>
            <w:shd w:val="clear" w:color="auto" w:fill="F4F7FB"/>
            <w:vAlign w:val="top"/>
          </w:tcPr>
          <w:p>
            <w:pPr>
              <w:pStyle w:val="TableText"/>
              <w:jc w:val="left"/>
            </w:pPr>
            <w:r>
              <w:t xml:space="preserve">ALR-31; RB-04</w:t>
            </w:r>
          </w:p>
        </w:tc>
        <w:tc>
          <w:tcPr>
            <w:tcW w:w="3990" w:type="dxa"/>
            <w:shd w:val="clear" w:color="auto" w:fill="F4F7FB"/>
            <w:vAlign w:val="top"/>
          </w:tcPr>
          <w:p>
            <w:pPr>
              <w:pStyle w:val="TableText"/>
              <w:jc w:val="left"/>
            </w:pPr>
            <w:r>
              <w:t xml:space="preserve">Built-in channel fallback (app push, ZNS, SMS per step); for a long outage, reorder channels through a rule change</w:t>
            </w:r>
          </w:p>
        </w:tc>
        <w:tc>
          <w:tcPr>
            <w:tcW w:w="1853" w:type="dxa"/>
            <w:shd w:val="clear" w:color="auto" w:fill="F4F7FB"/>
            <w:vAlign w:val="top"/>
          </w:tcPr>
          <w:p>
            <w:pPr>
              <w:pStyle w:val="TableText"/>
              <w:jc w:val="left"/>
            </w:pPr>
            <w:r>
              <w:t xml:space="preserve">Some reminders delayed</w:t>
            </w:r>
          </w:p>
        </w:tc>
      </w:tr>
      <w:tr>
        <w:trPr>
          <w:cantSplit/>
        </w:trPr>
        <w:tc>
          <w:tcPr>
            <w:tcW w:w="1670" w:type="dxa"/>
            <w:vAlign w:val="top"/>
          </w:tcPr>
          <w:p>
            <w:pPr>
              <w:pStyle w:val="TableText"/>
              <w:jc w:val="left"/>
            </w:pPr>
            <w:r>
              <w:t xml:space="preserve">VETC sign-on or app outage</w:t>
            </w:r>
          </w:p>
        </w:tc>
        <w:tc>
          <w:tcPr>
            <w:tcW w:w="1514" w:type="dxa"/>
            <w:vAlign w:val="top"/>
          </w:tcPr>
          <w:p>
            <w:pPr>
              <w:pStyle w:val="TableText"/>
              <w:jc w:val="left"/>
            </w:pPr>
            <w:r>
              <w:t xml:space="preserve">VETC notice</w:t>
            </w:r>
          </w:p>
        </w:tc>
        <w:tc>
          <w:tcPr>
            <w:tcW w:w="3990" w:type="dxa"/>
            <w:vAlign w:val="top"/>
          </w:tcPr>
          <w:p>
            <w:pPr>
              <w:pStyle w:val="TableText"/>
              <w:jc w:val="left"/>
            </w:pPr>
            <w:r>
              <w:t xml:space="preserve">Signed links through Zalo continue if Zalo is up; telesales assist</w:t>
            </w:r>
          </w:p>
        </w:tc>
        <w:tc>
          <w:tcPr>
            <w:tcW w:w="1853" w:type="dxa"/>
            <w:vAlign w:val="top"/>
          </w:tcPr>
          <w:p>
            <w:pPr>
              <w:pStyle w:val="TableText"/>
              <w:jc w:val="left"/>
            </w:pPr>
            <w:r>
              <w:t xml:space="preserve">Partial</w:t>
            </w:r>
          </w:p>
        </w:tc>
      </w:tr>
      <w:tr>
        <w:trPr>
          <w:cantSplit/>
        </w:trPr>
        <w:tc>
          <w:tcPr>
            <w:tcW w:w="1670" w:type="dxa"/>
            <w:shd w:val="clear" w:color="auto" w:fill="F4F7FB"/>
            <w:vAlign w:val="top"/>
          </w:tcPr>
          <w:p>
            <w:pPr>
              <w:pStyle w:val="TableText"/>
              <w:jc w:val="left"/>
            </w:pPr>
            <w:r>
              <w:t xml:space="preserve">Platform total outage</w:t>
            </w:r>
          </w:p>
        </w:tc>
        <w:tc>
          <w:tcPr>
            <w:tcW w:w="1514" w:type="dxa"/>
            <w:shd w:val="clear" w:color="auto" w:fill="F4F7FB"/>
            <w:vAlign w:val="top"/>
          </w:tcPr>
          <w:p>
            <w:pPr>
              <w:pStyle w:val="TableText"/>
              <w:jc w:val="left"/>
            </w:pPr>
            <w:r>
              <w:t xml:space="preserve">DR declared</w:t>
            </w:r>
          </w:p>
        </w:tc>
        <w:tc>
          <w:tcPr>
            <w:tcW w:w="3990" w:type="dxa"/>
            <w:shd w:val="clear" w:color="auto" w:fill="F4F7FB"/>
            <w:vAlign w:val="top"/>
          </w:tcPr>
          <w:p>
            <w:pPr>
              <w:pStyle w:val="TableText"/>
              <w:jc w:val="left"/>
            </w:pPr>
            <w:r>
              <w:t xml:space="preserve">VETC customer service scripts; TASCO hotline for claims; partners informed</w:t>
            </w:r>
          </w:p>
        </w:tc>
        <w:tc>
          <w:tcPr>
            <w:tcW w:w="1853" w:type="dxa"/>
            <w:shd w:val="clear" w:color="auto" w:fill="F4F7FB"/>
            <w:vAlign w:val="top"/>
          </w:tcPr>
          <w:p>
            <w:pPr>
              <w:pStyle w:val="TableText"/>
              <w:jc w:val="left"/>
            </w:pPr>
            <w:r>
              <w:t xml:space="preserve">Per RTO</w:t>
            </w:r>
          </w:p>
        </w:tc>
      </w:tr>
    </w:tbl>
    <w:p>
      <w:pPr>
        <w:pStyle w:val="BodyText"/>
        <w:spacing w:before="160"/>
      </w:pPr>
      <w:r>
        <w:t xml:space="preserve">L2 keeps a manual workaround register with the approved customer templates (Vietnamese and English), customer service scripts, the partner notice template and the decision log.</w:t>
      </w:r>
    </w:p>
    <w:p>
      <w:pPr>
        <w:pStyle w:val="Heading2"/>
      </w:pPr>
      <w:bookmarkStart w:id="23" w:name="_Toc300000019"/>
      <w:r>
        <w:t xml:space="preserve">Communication</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01"/>
        <w:gridCol w:w="2102"/>
        <w:gridCol w:w="1932"/>
        <w:gridCol w:w="2792"/>
      </w:tblGrid>
      <w:tr>
        <w:trPr>
          <w:cantSplit/>
          <w:tblHeader/>
        </w:trPr>
        <w:tc>
          <w:tcPr>
            <w:tcW w:w="2201" w:type="dxa"/>
            <w:shd w:val="clear" w:color="auto" w:fill="0F4761"/>
            <w:vAlign w:val="center"/>
          </w:tcPr>
          <w:p>
            <w:pPr>
              <w:pStyle w:val="TableHeading"/>
              <w:jc w:val="left"/>
            </w:pPr>
            <w:r>
              <w:rPr>
                <w:color w:val="FFFFFF"/>
              </w:rPr>
              <w:t xml:space="preserve">Audience</w:t>
            </w:r>
          </w:p>
        </w:tc>
        <w:tc>
          <w:tcPr>
            <w:tcW w:w="2102" w:type="dxa"/>
            <w:shd w:val="clear" w:color="auto" w:fill="0F4761"/>
            <w:vAlign w:val="center"/>
          </w:tcPr>
          <w:p>
            <w:pPr>
              <w:pStyle w:val="TableHeading"/>
              <w:jc w:val="left"/>
            </w:pPr>
            <w:r>
              <w:rPr>
                <w:color w:val="FFFFFF"/>
              </w:rPr>
              <w:t xml:space="preserve">Owner</w:t>
            </w:r>
          </w:p>
        </w:tc>
        <w:tc>
          <w:tcPr>
            <w:tcW w:w="1932" w:type="dxa"/>
            <w:shd w:val="clear" w:color="auto" w:fill="0F4761"/>
            <w:vAlign w:val="center"/>
          </w:tcPr>
          <w:p>
            <w:pPr>
              <w:pStyle w:val="TableHeading"/>
              <w:jc w:val="left"/>
            </w:pPr>
            <w:r>
              <w:rPr>
                <w:color w:val="FFFFFF"/>
              </w:rPr>
              <w:t xml:space="preserve">Channel</w:t>
            </w:r>
          </w:p>
        </w:tc>
        <w:tc>
          <w:tcPr>
            <w:tcW w:w="2792" w:type="dxa"/>
            <w:shd w:val="clear" w:color="auto" w:fill="0F4761"/>
            <w:vAlign w:val="center"/>
          </w:tcPr>
          <w:p>
            <w:pPr>
              <w:pStyle w:val="TableHeading"/>
              <w:jc w:val="left"/>
            </w:pPr>
            <w:r>
              <w:rPr>
                <w:color w:val="FFFFFF"/>
              </w:rPr>
              <w:t xml:space="preserve">Timing</w:t>
            </w:r>
          </w:p>
        </w:tc>
      </w:tr>
      <w:tr>
        <w:trPr>
          <w:cantSplit/>
        </w:trPr>
        <w:tc>
          <w:tcPr>
            <w:tcW w:w="2201" w:type="dxa"/>
            <w:vAlign w:val="top"/>
          </w:tcPr>
          <w:p>
            <w:pPr>
              <w:pStyle w:val="TableText"/>
              <w:jc w:val="left"/>
            </w:pPr>
            <w:r>
              <w:t xml:space="preserve">Executives (TASCO Head of IT, Business Owner, VETC IT Lead)</w:t>
            </w:r>
          </w:p>
        </w:tc>
        <w:tc>
          <w:tcPr>
            <w:tcW w:w="2102" w:type="dxa"/>
            <w:vAlign w:val="top"/>
          </w:tcPr>
          <w:p>
            <w:pPr>
              <w:pStyle w:val="TableText"/>
              <w:jc w:val="left"/>
            </w:pPr>
            <w:r>
              <w:t xml:space="preserve">Incident Commander</w:t>
            </w:r>
          </w:p>
        </w:tc>
        <w:tc>
          <w:tcPr>
            <w:tcW w:w="1932" w:type="dxa"/>
            <w:vAlign w:val="top"/>
          </w:tcPr>
          <w:p>
            <w:pPr>
              <w:pStyle w:val="TableText"/>
              <w:jc w:val="left"/>
            </w:pPr>
            <w:r>
              <w:t xml:space="preserve">Phone and email</w:t>
            </w:r>
          </w:p>
        </w:tc>
        <w:tc>
          <w:tcPr>
            <w:tcW w:w="2792" w:type="dxa"/>
            <w:vAlign w:val="top"/>
          </w:tcPr>
          <w:p>
            <w:pPr>
              <w:pStyle w:val="TableText"/>
              <w:jc w:val="left"/>
            </w:pPr>
            <w:r>
              <w:t xml:space="preserve">Within 30 minutes of a Sev 1 or DR declaration, then hourly</w:t>
            </w:r>
          </w:p>
        </w:tc>
      </w:tr>
      <w:tr>
        <w:trPr>
          <w:cantSplit/>
        </w:trPr>
        <w:tc>
          <w:tcPr>
            <w:tcW w:w="2201" w:type="dxa"/>
            <w:shd w:val="clear" w:color="auto" w:fill="F4F7FB"/>
            <w:vAlign w:val="top"/>
          </w:tcPr>
          <w:p>
            <w:pPr>
              <w:pStyle w:val="TableText"/>
              <w:jc w:val="left"/>
            </w:pPr>
            <w:r>
              <w:t xml:space="preserve">TASCO core IT</w:t>
            </w:r>
          </w:p>
        </w:tc>
        <w:tc>
          <w:tcPr>
            <w:tcW w:w="2102" w:type="dxa"/>
            <w:shd w:val="clear" w:color="auto" w:fill="F4F7FB"/>
            <w:vAlign w:val="top"/>
          </w:tcPr>
          <w:p>
            <w:pPr>
              <w:pStyle w:val="TableText"/>
              <w:jc w:val="left"/>
            </w:pPr>
            <w:r>
              <w:t xml:space="preserve">Incident Commander</w:t>
            </w:r>
          </w:p>
        </w:tc>
        <w:tc>
          <w:tcPr>
            <w:tcW w:w="1932" w:type="dxa"/>
            <w:shd w:val="clear" w:color="auto" w:fill="F4F7FB"/>
            <w:vAlign w:val="top"/>
          </w:tcPr>
          <w:p>
            <w:pPr>
              <w:pStyle w:val="TableText"/>
              <w:jc w:val="left"/>
            </w:pPr>
            <w:r>
              <w:t xml:space="preserve">Core IT bridge</w:t>
            </w:r>
          </w:p>
        </w:tc>
        <w:tc>
          <w:tcPr>
            <w:tcW w:w="2792" w:type="dxa"/>
            <w:shd w:val="clear" w:color="auto" w:fill="F4F7FB"/>
            <w:vAlign w:val="top"/>
          </w:tcPr>
          <w:p>
            <w:pPr>
              <w:pStyle w:val="TableText"/>
              <w:jc w:val="left"/>
            </w:pPr>
            <w:r>
              <w:t xml:space="preserve">At once for any rating, catalogue or issuance impact, and at DR declaration</w:t>
            </w:r>
          </w:p>
        </w:tc>
      </w:tr>
      <w:tr>
        <w:trPr>
          <w:cantSplit/>
        </w:trPr>
        <w:tc>
          <w:tcPr>
            <w:tcW w:w="2201" w:type="dxa"/>
            <w:vAlign w:val="top"/>
          </w:tcPr>
          <w:p>
            <w:pPr>
              <w:pStyle w:val="TableText"/>
              <w:jc w:val="left"/>
            </w:pPr>
            <w:r>
              <w:t xml:space="preserve">Staff (telesales, campaign, claims)</w:t>
            </w:r>
          </w:p>
        </w:tc>
        <w:tc>
          <w:tcPr>
            <w:tcW w:w="2102" w:type="dxa"/>
            <w:vAlign w:val="top"/>
          </w:tcPr>
          <w:p>
            <w:pPr>
              <w:pStyle w:val="TableText"/>
              <w:jc w:val="left"/>
            </w:pPr>
            <w:r>
              <w:t xml:space="preserve">Service desk</w:t>
            </w:r>
          </w:p>
        </w:tc>
        <w:tc>
          <w:tcPr>
            <w:tcW w:w="1932" w:type="dxa"/>
            <w:vAlign w:val="top"/>
          </w:tcPr>
          <w:p>
            <w:pPr>
              <w:pStyle w:val="TableText"/>
              <w:jc w:val="left"/>
            </w:pPr>
            <w:r>
              <w:t xml:space="preserve">Teams or Zalo broadcast</w:t>
            </w:r>
          </w:p>
        </w:tc>
        <w:tc>
          <w:tcPr>
            <w:tcW w:w="2792" w:type="dxa"/>
            <w:vAlign w:val="top"/>
          </w:tcPr>
          <w:p>
            <w:pPr>
              <w:pStyle w:val="TableText"/>
              <w:jc w:val="left"/>
            </w:pPr>
            <w:r>
              <w:t xml:space="preserve">Within 30 minutes</w:t>
            </w:r>
          </w:p>
        </w:tc>
      </w:tr>
      <w:tr>
        <w:trPr>
          <w:cantSplit/>
        </w:trPr>
        <w:tc>
          <w:tcPr>
            <w:tcW w:w="2201" w:type="dxa"/>
            <w:shd w:val="clear" w:color="auto" w:fill="F4F7FB"/>
            <w:vAlign w:val="top"/>
          </w:tcPr>
          <w:p>
            <w:pPr>
              <w:pStyle w:val="TableText"/>
              <w:jc w:val="left"/>
            </w:pPr>
            <w:r>
              <w:t xml:space="preserve">Customers</w:t>
            </w:r>
          </w:p>
        </w:tc>
        <w:tc>
          <w:tcPr>
            <w:tcW w:w="2102" w:type="dxa"/>
            <w:shd w:val="clear" w:color="auto" w:fill="F4F7FB"/>
            <w:vAlign w:val="top"/>
          </w:tcPr>
          <w:p>
            <w:pPr>
              <w:pStyle w:val="TableText"/>
              <w:jc w:val="left"/>
            </w:pPr>
            <w:r>
              <w:t xml:space="preserve">VETC customer service and TASCO Marketing (approved templates)</w:t>
            </w:r>
          </w:p>
        </w:tc>
        <w:tc>
          <w:tcPr>
            <w:tcW w:w="1932" w:type="dxa"/>
            <w:shd w:val="clear" w:color="auto" w:fill="F4F7FB"/>
            <w:vAlign w:val="top"/>
          </w:tcPr>
          <w:p>
            <w:pPr>
              <w:pStyle w:val="TableText"/>
              <w:jc w:val="left"/>
            </w:pPr>
            <w:r>
              <w:t xml:space="preserve">In-app banner, ZNS service message, hotline message</w:t>
            </w:r>
          </w:p>
        </w:tc>
        <w:tc>
          <w:tcPr>
            <w:tcW w:w="2792" w:type="dxa"/>
            <w:shd w:val="clear" w:color="auto" w:fill="F4F7FB"/>
            <w:vAlign w:val="top"/>
          </w:tcPr>
          <w:p>
            <w:pPr>
              <w:pStyle w:val="TableText"/>
              <w:jc w:val="left"/>
            </w:pPr>
            <w:r>
              <w:t xml:space="preserve">When the purchase path is down for more than 30 minutes</w:t>
            </w:r>
          </w:p>
        </w:tc>
      </w:tr>
      <w:tr>
        <w:trPr>
          <w:cantSplit/>
        </w:trPr>
        <w:tc>
          <w:tcPr>
            <w:tcW w:w="2201" w:type="dxa"/>
            <w:vAlign w:val="top"/>
          </w:tcPr>
          <w:p>
            <w:pPr>
              <w:pStyle w:val="TableText"/>
              <w:jc w:val="left"/>
            </w:pPr>
            <w:r>
              <w:t xml:space="preserve">Partners</w:t>
            </w:r>
          </w:p>
        </w:tc>
        <w:tc>
          <w:tcPr>
            <w:tcW w:w="2102" w:type="dxa"/>
            <w:vAlign w:val="top"/>
          </w:tcPr>
          <w:p>
            <w:pPr>
              <w:pStyle w:val="TableText"/>
              <w:jc w:val="left"/>
            </w:pPr>
            <w:r>
              <w:t xml:space="preserve">Partner Manager</w:t>
            </w:r>
          </w:p>
        </w:tc>
        <w:tc>
          <w:tcPr>
            <w:tcW w:w="1932" w:type="dxa"/>
            <w:vAlign w:val="top"/>
          </w:tcPr>
          <w:p>
            <w:pPr>
              <w:pStyle w:val="TableText"/>
              <w:jc w:val="left"/>
            </w:pPr>
            <w:r>
              <w:t xml:space="preserve">Partner status email or portal</w:t>
            </w:r>
          </w:p>
        </w:tc>
        <w:tc>
          <w:tcPr>
            <w:tcW w:w="2792" w:type="dxa"/>
            <w:vAlign w:val="top"/>
          </w:tcPr>
          <w:p>
            <w:pPr>
              <w:pStyle w:val="TableText"/>
              <w:jc w:val="left"/>
            </w:pPr>
            <w:r>
              <w:t xml:space="preserve">Within 30 minutes of partner API impact</w:t>
            </w:r>
          </w:p>
        </w:tc>
      </w:tr>
      <w:tr>
        <w:trPr>
          <w:cantSplit/>
        </w:trPr>
        <w:tc>
          <w:tcPr>
            <w:tcW w:w="2201" w:type="dxa"/>
            <w:shd w:val="clear" w:color="auto" w:fill="F4F7FB"/>
            <w:vAlign w:val="top"/>
          </w:tcPr>
          <w:p>
            <w:pPr>
              <w:pStyle w:val="TableText"/>
              <w:jc w:val="left"/>
            </w:pPr>
            <w:r>
              <w:t xml:space="preserve">Regulator and data subjects</w:t>
            </w:r>
          </w:p>
        </w:tc>
        <w:tc>
          <w:tcPr>
            <w:tcW w:w="2102" w:type="dxa"/>
            <w:shd w:val="clear" w:color="auto" w:fill="F4F7FB"/>
            <w:vAlign w:val="top"/>
          </w:tcPr>
          <w:p>
            <w:pPr>
              <w:pStyle w:val="TableText"/>
              <w:jc w:val="left"/>
            </w:pPr>
            <w:r>
              <w:t xml:space="preserve">DPO with Legal</w:t>
            </w:r>
          </w:p>
        </w:tc>
        <w:tc>
          <w:tcPr>
            <w:tcW w:w="1932" w:type="dxa"/>
            <w:shd w:val="clear" w:color="auto" w:fill="F4F7FB"/>
            <w:vAlign w:val="top"/>
          </w:tcPr>
          <w:p>
            <w:pPr>
              <w:pStyle w:val="TableText"/>
              <w:jc w:val="left"/>
            </w:pPr>
            <w:r>
              <w:t xml:space="preserve">Statutory process</w:t>
            </w:r>
          </w:p>
        </w:tc>
        <w:tc>
          <w:tcPr>
            <w:tcW w:w="2792" w:type="dxa"/>
            <w:shd w:val="clear" w:color="auto" w:fill="F4F7FB"/>
            <w:vAlign w:val="top"/>
          </w:tcPr>
          <w:p>
            <w:pPr>
              <w:pStyle w:val="TableText"/>
              <w:jc w:val="left"/>
            </w:pPr>
            <w:r>
              <w:t xml:space="preserve">Within legal deadlines for a personal data breach</w:t>
            </w:r>
          </w:p>
        </w:tc>
      </w:tr>
    </w:tbl>
    <w:p>
      <w:pPr>
        <w:pStyle w:val="BodyText"/>
        <w:spacing w:before="160"/>
      </w:pPr>
      <w:r>
        <w:t xml:space="preserve">A recovery notice goes to all parties at the end, and the post-incident report within 5 business days.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Plan maintenance</w:t>
      </w:r>
      <w:bookmarkEnd w:id="24"/>
    </w:p>
    <w:p>
      <w:pPr>
        <w:pStyle w:val="FirstParagraph"/>
      </w:pPr>
      <w:r>
        <w:t xml:space="preserve">The plan is reviewed after every DR test, every Sev 1 and every architecture change (new region, provider or integration, including changes to the TASCO core interface). Contact lists are checked quarterly. SRE owns the technical procedures, the TASCO Head of IT the impact analysis and tiers, VETC customer service the customer communication, and the Partner Manager the partner communication.</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Sign-Off</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156"/>
        <w:gridCol w:w="1927"/>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156"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927"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15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Hosting provider, primary and DR regions in Vietnam confirmed in discovery</w:t>
            </w:r>
          </w:p>
        </w:tc>
        <w:tc>
          <w:tcPr>
            <w:tcW w:w="192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Head of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15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Data localisation position for the primary and DR regions to be confirmed by TASCO legal</w:t>
            </w:r>
          </w:p>
        </w:tc>
        <w:tc>
          <w:tcPr>
            <w:tcW w:w="192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15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recovery targets (RTO and RPO) and DR egress allow-listing recorded in the TASCO core interface agreement</w:t>
            </w:r>
          </w:p>
        </w:tc>
        <w:tc>
          <w:tcPr>
            <w:tcW w:w="192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15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DR egress IP addresses allow-listed by VETC wallet, SMS provider, Zalo and the voice vendor before go-live</w:t>
            </w:r>
          </w:p>
        </w:tc>
        <w:tc>
          <w:tcPr>
            <w:tcW w:w="192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IT and 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08"/>
        <w:gridCol w:w="1429"/>
        <w:gridCol w:w="2239"/>
        <w:gridCol w:w="4451"/>
      </w:tblGrid>
      <w:tr w:rsidR="002B183A" w14:paraId="731A77C7" w14:textId="77777777" w:rsidTr="002923F3">
        <w:trPr>
          <w:cantSplit/>
          <w:trHeight w:val="440"/>
          <w:tblHeader/>
        </w:trPr>
        <w:tc>
          <w:tcPr>
            <w:tcW w:w="908"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29"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23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451"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08"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2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3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5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Head of IT</w:t>
            </w:r>
          </w:p>
        </w:tc>
      </w:tr>
      <w:tr w:rsidR="002B183A" w:rsidRPr="00BB346A" w14:paraId="2AD1806B" w14:textId="77777777" w:rsidTr="002923F3">
        <w:trPr>
          <w:cantSplit/>
          <w:trHeight w:val="760"/>
        </w:trPr>
        <w:tc>
          <w:tcPr>
            <w:tcW w:w="908"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2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3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5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Infrastructure and Information Security</w:t>
            </w:r>
          </w:p>
        </w:tc>
      </w:tr>
      <w:tr w:rsidR="002B183A" w:rsidRPr="00BB346A" w14:paraId="2AD1806B" w14:textId="77777777" w:rsidTr="002923F3">
        <w:trPr>
          <w:cantSplit/>
          <w:trHeight w:val="760"/>
        </w:trPr>
        <w:tc>
          <w:tcPr>
            <w:tcW w:w="908"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2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3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45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Operations</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 and Business Continuity Plan</dc:title>
  <dc:subject>TGP-OPS-03</dc:subject>
  <dc:creator>iorta TechNXT</dc:creator>
  <cp:keywords>TGP-OPS-03; TASCO Insurance; iorta TechNXT</cp:keywords>
  <dc:description>TASCO Motor Insurance Growth Platform</dc:description>
  <cp:lastModifiedBy>iorta TechNXT</cp:lastModifiedBy>
  <cp:revision>1</cp:revision>
  <dcterms:created xsi:type="dcterms:W3CDTF">2026-10-08T02:23:32Z</dcterms:created>
  <dcterms:modified xsi:type="dcterms:W3CDTF">2026-10-08T02:23:32Z</dcterms:modified>
</cp:coreProperties>
</file>