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576000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jc w:val="center"/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  <w:t xml:space="preserve">TASCO Motor Insurance Growth Platform · TGP-OPS-04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5760000" cy="476885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  <w:t xml:space="preserve">Production Readiness Checklist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4791400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jc w:val="right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07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2930472</wp:posOffset>
                </wp:positionH>
                <wp:positionV relativeFrom="paragraph">
                  <wp:posOffset>4124960</wp:posOffset>
                </wp:positionV>
                <wp:extent cx="17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3000000" cy="266700"/>
                <wp:effectExtent l="0" t="0" r="0" b="0"/>
                <wp:wrapSquare wrapText="bothSides"/>
                <wp:docPr id="500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>
      <w:pPr>
        <w:pStyle w:val="TOC1"/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300000001" w:history="1">
        <w:r>
          <w:rPr>
            <w:noProof/>
          </w:rPr>
          <w:t>1.</w:t>
        </w:r>
        <w:r>
          <w:rPr>
            <w:noProof/>
          </w:rPr>
          <w:tab/>
        </w:r>
        <w:r>
          <w:rPr>
            <w:noProof/>
          </w:rPr>
          <w:t xml:space="preserve"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2" w:history="1">
        <w:r>
          <w:rPr>
            <w:noProof/>
          </w:rPr>
          <w:t>2.</w:t>
        </w:r>
        <w:r>
          <w:rPr>
            <w:noProof/>
          </w:rPr>
          <w:tab/>
        </w:r>
        <w:r>
          <w:rPr>
            <w:noProof/>
          </w:rPr>
          <w:t xml:space="preserve"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3" w:history="1">
        <w:r>
          <w:rPr>
            <w:noProof/>
          </w:rPr>
          <w:t>3.</w:t>
        </w:r>
        <w:r>
          <w:rPr>
            <w:noProof/>
          </w:rPr>
          <w:tab/>
        </w:r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4" w:history="1">
        <w:r>
          <w:rPr>
            <w:noProof/>
          </w:rPr>
          <w:t>3.1.</w:t>
        </w:r>
        <w:r>
          <w:rPr>
            <w:noProof/>
          </w:rPr>
          <w:tab/>
        </w:r>
        <w:r>
          <w:rPr>
            <w:noProof/>
          </w:rPr>
          <w:t xml:space="preserve">How to use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5" w:history="1">
        <w:r>
          <w:rPr>
            <w:noProof/>
          </w:rPr>
          <w:t>4.</w:t>
        </w:r>
        <w:r>
          <w:rPr>
            <w:noProof/>
          </w:rPr>
          <w:tab/>
        </w:r>
        <w:r>
          <w:rPr>
            <w:noProof/>
          </w:rPr>
          <w:t xml:space="preserve"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6" w:history="1">
        <w:r>
          <w:rPr>
            <w:noProof/>
          </w:rPr>
          <w:t>5.</w:t>
        </w:r>
        <w:r>
          <w:rPr>
            <w:noProof/>
          </w:rPr>
          <w:tab/>
        </w:r>
        <w:r>
          <w:rPr>
            <w:noProof/>
          </w:rPr>
          <w:t xml:space="preserve">Functional 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7" w:history="1">
        <w:r>
          <w:rPr>
            <w:noProof/>
          </w:rPr>
          <w:t>6.</w:t>
        </w:r>
        <w:r>
          <w:rPr>
            <w:noProof/>
          </w:rPr>
          <w:tab/>
        </w:r>
        <w:r>
          <w:rPr>
            <w:noProof/>
          </w:rPr>
          <w:t xml:space="preserve">Performance and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8" w:history="1">
        <w:r>
          <w:rPr>
            <w:noProof/>
          </w:rPr>
          <w:t>7.</w:t>
        </w:r>
        <w:r>
          <w:rPr>
            <w:noProof/>
          </w:rPr>
          <w:tab/>
        </w:r>
        <w:r>
          <w:rPr>
            <w:noProof/>
          </w:rPr>
          <w:t xml:space="preserve">Observability and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9" w:history="1">
        <w:r>
          <w:rPr>
            <w:noProof/>
          </w:rPr>
          <w:t>8.</w:t>
        </w:r>
        <w:r>
          <w:rPr>
            <w:noProof/>
          </w:rPr>
          <w:tab/>
        </w:r>
        <w:r>
          <w:rPr>
            <w:noProof/>
          </w:rPr>
          <w:t xml:space="preserve">Resilience and 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0" w:history="1">
        <w:r>
          <w:rPr>
            <w:noProof/>
          </w:rPr>
          <w:t>9.</w:t>
        </w:r>
        <w:r>
          <w:rPr>
            <w:noProof/>
          </w:rPr>
          <w:tab/>
        </w:r>
        <w:r>
          <w:rPr>
            <w:noProof/>
          </w:rPr>
          <w:t xml:space="preserve">TASCO core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1" w:history="1">
        <w:r>
          <w:rPr>
            <w:noProof/>
          </w:rPr>
          <w:t>10.</w:t>
        </w:r>
        <w:r>
          <w:rPr>
            <w:noProof/>
          </w:rPr>
          <w:tab/>
        </w:r>
        <w:r>
          <w:rPr>
            <w:noProof/>
          </w:rPr>
          <w:t xml:space="preserve">Compliance and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2" w:history="1">
        <w:r>
          <w:rPr>
            <w:noProof/>
          </w:rPr>
          <w:t>11.</w:t>
        </w:r>
        <w:r>
          <w:rPr>
            <w:noProof/>
          </w:rPr>
          <w:tab/>
        </w:r>
        <w:r>
          <w:rPr>
            <w:noProof/>
          </w:rPr>
          <w:t xml:space="preserve">Data migration and initial 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3" w:history="1">
        <w:r>
          <w:rPr>
            <w:noProof/>
          </w:rPr>
          <w:t>12.</w:t>
        </w:r>
        <w:r>
          <w:rPr>
            <w:noProof/>
          </w:rPr>
          <w:tab/>
        </w:r>
        <w:r>
          <w:rPr>
            <w:noProof/>
          </w:rPr>
          <w:t xml:space="preserve">People and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4" w:history="1">
        <w:r>
          <w:rPr>
            <w:noProof/>
          </w:rPr>
          <w:t>13.</w:t>
        </w:r>
        <w:r>
          <w:rPr>
            <w:noProof/>
          </w:rPr>
          <w:tab/>
        </w:r>
        <w:r>
          <w:rPr>
            <w:noProof/>
          </w:rPr>
          <w:t xml:space="preserve"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5" w:history="1">
        <w:r>
          <w:rPr>
            <w:noProof/>
          </w:rPr>
          <w:t>13.1.</w:t>
        </w:r>
        <w:r>
          <w:rPr>
            <w:noProof/>
          </w:rPr>
          <w:tab/>
        </w:r>
        <w:r>
          <w:rPr>
            <w:noProof/>
          </w:rPr>
          <w:t xml:space="preserve">Area 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6" w:history="1">
        <w:r>
          <w:rPr>
            <w:noProof/>
          </w:rPr>
          <w:t>14.</w:t>
        </w:r>
        <w:r>
          <w:rPr>
            <w:noProof/>
          </w:rPr>
          <w:tab/>
        </w:r>
        <w:r>
          <w:rPr>
            <w:noProof/>
          </w:rPr>
          <w:t xml:space="preserve">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" w:name="_Toc11824118"/>
      <w:bookmarkStart w:id="2" w:name="_Toc48319687"/>
      <w:bookmarkStart w:id="3" w:name="_Toc300000001"/>
      <w:r w:rsidRPr="00212D69">
        <w:rPr>
          <w:rStyle w:val="BookTitle"/>
          <w:b w:val="0"/>
        </w:rPr>
        <w:t xml:space="preserve"> </w:t>
      </w:r>
      <w:bookmarkStart w:id="4" w:name="_Toc233203387"/>
      <w:r w:rsidRPr="00465CAB">
        <w:rPr>
          <w:rStyle w:val="BookTitle"/>
          <w:bCs w:val="0"/>
          <w:i w:val="0"/>
          <w:iCs w:val="0"/>
          <w:spacing w:val="0"/>
        </w:rPr>
        <w:t>Document Control</w:t>
      </w:r>
      <w:bookmarkEnd w:id="1"/>
      <w:bookmarkEnd w:id="2"/>
      <w:bookmarkEnd w:id="4"/>
      <w:bookmarkEnd w:id="3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86"/>
        <w:gridCol w:w="991"/>
        <w:gridCol w:w="1714"/>
        <w:gridCol w:w="1607"/>
        <w:gridCol w:w="2142"/>
        <w:gridCol w:w="1287"/>
      </w:tblGrid>
      <w:tr w:rsidR="002B183A" w14:paraId="4E198CD6" w14:textId="77777777" w:rsidTr="002923F3">
        <w:trPr>
          <w:cantSplit/>
          <w:trHeight w:val="440"/>
          <w:tblHeader/>
        </w:trPr>
        <w:tc>
          <w:tcPr>
            <w:tcW w:w="1286" w:type="dxa"/>
            <w:shd w:val="clear" w:color="auto" w:fill="0F4761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91" w:type="dxa"/>
            <w:shd w:val="clear" w:color="auto" w:fill="0F4761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714" w:type="dxa"/>
            <w:shd w:val="clear" w:color="auto" w:fill="0F4761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Author &amp; Business Unit Info</w:t>
            </w:r>
          </w:p>
        </w:tc>
        <w:tc>
          <w:tcPr>
            <w:tcW w:w="1607" w:type="dxa"/>
            <w:shd w:val="clear" w:color="auto" w:fill="0F4761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Reviewed By &amp; Business Unit Info</w:t>
            </w:r>
          </w:p>
        </w:tc>
        <w:tc>
          <w:tcPr>
            <w:tcW w:w="2142" w:type="dxa"/>
            <w:shd w:val="clear" w:color="auto" w:fill="0F4761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 &amp; Business Unit Info</w:t>
            </w:r>
          </w:p>
        </w:tc>
        <w:tc>
          <w:tcPr>
            <w:tcW w:w="1287" w:type="dxa"/>
            <w:shd w:val="clear" w:color="auto" w:fill="0F4761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cantSplit/>
          <w:trHeight w:val="449"/>
        </w:trPr>
        <w:tc>
          <w:tcPr>
            <w:tcW w:w="1286" w:type="dxa"/>
            <w:vAlign w:val="top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07/10/2026</w:t>
            </w:r>
          </w:p>
        </w:tc>
        <w:tc>
          <w:tcPr>
            <w:tcW w:w="991" w:type="dxa"/>
            <w:vAlign w:val="top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1.0</w:t>
            </w:r>
          </w:p>
        </w:tc>
        <w:tc>
          <w:tcPr>
            <w:tcW w:w="1714" w:type="dxa"/>
            <w:vAlign w:val="top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Service Operations</w:t>
            </w:r>
          </w:p>
        </w:tc>
        <w:tc>
          <w:tcPr>
            <w:tcW w:w="1607" w:type="dxa"/>
            <w:vAlign w:val="top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Head of IT</w:t>
            </w:r>
          </w:p>
        </w:tc>
        <w:tc>
          <w:tcPr>
            <w:tcW w:w="2142" w:type="dxa"/>
            <w:vAlign w:val="top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Sponsor</w:t>
            </w:r>
          </w:p>
        </w:tc>
        <w:tc>
          <w:tcPr>
            <w:tcW w:w="1287" w:type="dxa"/>
            <w:vAlign w:val="top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Initial issue for submission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" w:name="_Toc233203388"/>
      <w:bookmarkStart w:id="6" w:name="_Toc300000002"/>
      <w:r>
        <w:rPr>
          <w:rStyle w:val="BookTitle"/>
          <w:bCs w:val="0"/>
          <w:i w:val="0"/>
          <w:iCs w:val="0"/>
          <w:spacing w:val="0"/>
        </w:rPr>
        <w:t>Acronyms</w:t>
      </w:r>
      <w:bookmarkEnd w:id="5"/>
      <w:bookmarkEnd w:id="6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608"/>
        <w:gridCol w:w="7419"/>
      </w:tblGrid>
      <w:tr w:rsidR="002B183A" w14:paraId="388F227F" w14:textId="77777777" w:rsidTr="002923F3">
        <w:trPr>
          <w:cantSplit/>
          <w:trHeight w:val="440"/>
          <w:tblHeader/>
        </w:trPr>
        <w:tc>
          <w:tcPr>
            <w:tcW w:w="1608" w:type="dxa"/>
            <w:shd w:val="clear" w:color="auto" w:fill="0F4761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Acronym / Symbol</w:t>
            </w:r>
          </w:p>
        </w:tc>
        <w:tc>
          <w:tcPr>
            <w:tcW w:w="7419" w:type="dxa"/>
            <w:shd w:val="clear" w:color="auto" w:fill="0F4761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ALR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Alert Rule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API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Application Programming Interface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CAB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Change Advisory Board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CI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Continuous Integration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CISO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Chief Information Security Officer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CORS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Cross-Origin Resource Sharing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DBA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Database Administrator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DDL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Definition Language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DPIA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Protection Impact Assessment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DPO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Protection Officer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DR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Disaster Recovery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DSAR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Subject Access Request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HSTS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HTTP Strict Transport Security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ID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Identifier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Information Technology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ITSM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IT Service Management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KI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Known Issue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MFA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Multi-Factor Authentication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OAuth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 Authorization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PDP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Personal Data Protection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PO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Product Owner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PRC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Production Readiness Check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QA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Quality Assurance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RB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Runbook procedure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RPO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Recovery Point Objective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SBOM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Software Bill of Materials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SIT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System Integration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Short Message Service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SOP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Standard Operating Procedure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SQL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Structured Query Language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SRE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Site Reliability Engineering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TC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Test Case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TLS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Transport Layer Security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TNDS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Compulsory motor third-party liability insurance (Bảo hiểm TNDS bắt buộc)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UAT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Acceptance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UTC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Coordinated Universal Time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UX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Experience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WAF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Web Application Firewall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WORM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Write Once Read Many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ZAP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Zed Attack Proxy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8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ZNS</w:t>
            </w:r>
          </w:p>
        </w:tc>
        <w:tc>
          <w:tcPr>
            <w:tcW w:w="7419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Zalo Notification Service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" w:name="_Toc300000003"/>
      <w:r>
        <w:rPr>
          <w:rStyle w:val="BookTitle"/>
          <w:bCs w:val="0"/>
          <w:i w:val="0"/>
          <w:iCs w:val="0"/>
          <w:spacing w:val="0"/>
        </w:rPr>
        <w:t xml:space="preserve">Introduction</w:t>
      </w:r>
      <w:bookmarkEnd w:id="7"/>
    </w:p>
    <w:p>
      <w:pPr>
        <w:pStyle w:val="FirstParagraph"/>
      </w:pPr>
      <w:r>
        <w:t xml:space="preserve">This checklist is the evidence base for the go-live decision. Each check has an owner, the evidence that proves it and its current status. The Steering Committee uses it at gate G3 (go or no-go for the pilot, 26 January 2027), and it is run again before each scale-up step.</w:t>
      </w:r>
    </w:p>
    <w:p>
      <w:pPr>
        <w:pStyle w:val="BodyText"/>
      </w:pPr>
      <w:r>
        <w:t xml:space="preserve">It covers security, functional quality, performance, observability and operations, resilience and DR, the TASCO core integration, compliance and legal sign-offs, data migration, and people and process.</w:t>
      </w:r>
    </w:p>
    <w:p>
      <w:pPr>
        <w:pStyle w:val="BodyText"/>
      </w:pPr>
      <w:r>
        <w:t xml:space="preserve">The audience is the iorta TechNXT Delivery Lead, who compiles the checklist, the TASCO Head of IT, who accepts it, and the Steering Committee.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TGP-QA-01 Test Strategy (known issues KI-xx) and TGP-QA-02 Test Case Catalogue.</w:t>
      </w:r>
    </w:p>
    <w:p>
      <w:pPr>
        <w:pStyle w:val="Compact"/>
        <w:numPr>
          <w:ilvl w:val="0"/>
          <w:numId w:val="1001"/>
        </w:numPr>
      </w:pPr>
      <w:r>
        <w:t xml:space="preserve">TGP-QA-04 User Acceptance Test Plan.</w:t>
      </w:r>
    </w:p>
    <w:p>
      <w:pPr>
        <w:pStyle w:val="Compact"/>
        <w:numPr>
          <w:ilvl w:val="0"/>
          <w:numId w:val="1001"/>
        </w:numPr>
      </w:pPr>
      <w:r>
        <w:t xml:space="preserve">TGP-OPS-01 Runbook and Support Guide, TGP-OPS-02 Monitoring and Alerting and TGP-OPS-03 Disaster Recovery and Business Continuity Plan.</w:t>
      </w:r>
    </w:p>
    <w:p>
      <w:pPr>
        <w:pStyle w:val="Compact"/>
        <w:numPr>
          <w:ilvl w:val="0"/>
          <w:numId w:val="1001"/>
        </w:numPr>
      </w:pPr>
      <w:r>
        <w:t xml:space="preserve">TGP-OPS-05 Go-Live and Hypercare Plan.</w:t>
      </w:r>
    </w:p>
    <w:p>
      <w:pPr>
        <w:pStyle w:val="Heading2"/>
      </w:pPr>
      <w:bookmarkStart w:id="8" w:name="_Toc300000004"/>
      <w:r>
        <w:t xml:space="preserve">How to use it</w:t>
      </w:r>
      <w:bookmarkEnd w:id="8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48"/>
        <w:gridCol w:w="7779"/>
      </w:tblGrid>
      <w:tr>
        <w:trPr>
          <w:cantSplit/>
          <w:tblHeader/>
        </w:trPr>
        <w:tc>
          <w:tcPr>
            <w:tcW w:w="1248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Item</w:t>
            </w:r>
          </w:p>
        </w:tc>
        <w:tc>
          <w:tcPr>
            <w:tcW w:w="777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Rule</w:t>
            </w:r>
          </w:p>
        </w:tc>
      </w:tr>
      <w:tr>
        <w:trPr>
          <w:cantSplit/>
        </w:trPr>
        <w:tc>
          <w:tcPr>
            <w:tcW w:w="1248" w:type="dxa"/>
            <w:vAlign w:val="top"/>
          </w:tcPr>
          <w:p>
            <w:pPr>
              <w:pStyle w:val="TableText"/>
              <w:jc w:val="left"/>
            </w:pPr>
            <w:r>
              <w:t xml:space="preserve">Status values</w:t>
            </w:r>
          </w:p>
        </w:tc>
        <w:tc>
          <w:tcPr>
            <w:tcW w:w="7779" w:type="dxa"/>
            <w:vAlign w:val="top"/>
          </w:tcPr>
          <w:p>
            <w:pPr>
              <w:pStyle w:val="TableText"/>
              <w:jc w:val="left"/>
            </w:pPr>
            <w:r>
              <w:t xml:space="preserve">Not started; In progress; Done (evidence linked); Waived (approver and expiry); Not applicable</w:t>
            </w:r>
          </w:p>
        </w:tc>
      </w:tr>
      <w:tr>
        <w:trPr>
          <w:cantSplit/>
        </w:trPr>
        <w:tc>
          <w:tcPr>
            <w:tcW w:w="12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Gate rule</w:t>
            </w:r>
          </w:p>
        </w:tc>
        <w:tc>
          <w:tcPr>
            <w:tcW w:w="777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Every P1 item is Done or Waived by the Steering Committee before go-live</w:t>
            </w:r>
          </w:p>
        </w:tc>
      </w:tr>
      <w:tr>
        <w:trPr>
          <w:cantSplit/>
        </w:trPr>
        <w:tc>
          <w:tcPr>
            <w:tcW w:w="1248" w:type="dxa"/>
            <w:vAlign w:val="top"/>
          </w:tcPr>
          <w:p>
            <w:pPr>
              <w:pStyle w:val="TableText"/>
              <w:jc w:val="left"/>
            </w:pPr>
            <w:r>
              <w:t xml:space="preserve">Waivers</w:t>
            </w:r>
          </w:p>
        </w:tc>
        <w:tc>
          <w:tcPr>
            <w:tcW w:w="7779" w:type="dxa"/>
            <w:vAlign w:val="top"/>
          </w:tcPr>
          <w:p>
            <w:pPr>
              <w:pStyle w:val="TableText"/>
              <w:jc w:val="left"/>
            </w:pPr>
            <w:r>
              <w:t xml:space="preserve">Name the approver, the reason, the compensating controls and an expiry date</w:t>
            </w:r>
          </w:p>
        </w:tc>
      </w:tr>
      <w:tr>
        <w:trPr>
          <w:cantSplit/>
        </w:trPr>
        <w:tc>
          <w:tcPr>
            <w:tcW w:w="1248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Current state</w:t>
            </w:r>
          </w:p>
        </w:tc>
        <w:tc>
          <w:tcPr>
            <w:tcW w:w="7779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Status as at 7 October 2026 (release 1.0.0). Items blocked by an open known issue name it. Test evidence is in TASCO-Test-Cases-and-Results.xlsx. Update the table in place at each review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footerReference w:type="default" r:id="rId14"/>
          <w:headerReference w:type="first" r:id="rId15"/>
          <w:footerReference w:type="first" r:id="rId16"/>
          <w:pgSz w:w="11907" w:h="16839" w:code="9"/>
          <w:pgMar w:top="1440" w:right="1440" w:bottom="1440" w:left="1440" w:header="1134" w:footer="0" w:gutter="0"/>
          <w:cols w:space="720"/>
          <w:docGrid w:linePitch="360"/>
        </w:sect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9" w:name="_Toc300000005"/>
      <w:r>
        <w:rPr>
          <w:rStyle w:val="BookTitle"/>
          <w:bCs w:val="0"/>
          <w:i w:val="0"/>
          <w:iCs w:val="0"/>
          <w:spacing w:val="0"/>
        </w:rPr>
        <w:t xml:space="preserve">Security</w:t>
      </w:r>
      <w:bookmarkEnd w:id="9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Production secrets in the vault, injected as</w:t>
            </w:r>
            <w:r>
              <w:t xml:space="preserve"> </w:t>
            </w:r>
            <w:r>
              <w:rPr>
                <w:rStyle w:val="CodeChar"/>
              </w:rPr>
              <w:t xml:space="preserve">&lt;NAME&gt;_FILE</w:t>
            </w:r>
            <w:r>
              <w:t xml:space="preserve">; none in environment files, images or git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Secret inventory; gitleaks report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Production start-up refuses missing</w:t>
            </w:r>
            <w:r>
              <w:t xml:space="preserve"> </w:t>
            </w:r>
            <w:r>
              <w:rPr>
                <w:rStyle w:val="Code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DATA_KEYS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BLIND_INDEX_KEY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CodeChar"/>
              </w:rPr>
              <w:t xml:space="preserve">DATABASE_URL</w:t>
            </w:r>
            <w:r>
              <w:t xml:space="preserve">, demo mode, and local rating without approval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Dev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TC-159, TC-176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Done in code; confirm in production configuration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Demo mode off; demo code helper returns 404 (SYN-06)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Synthetic result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Seed job cannot run against production (KI-01 fixed); no seed job in the manifests;</w:t>
            </w:r>
            <w:r>
              <w:t xml:space="preserve"> </w:t>
            </w:r>
            <w:r>
              <w:rPr>
                <w:rStyle w:val="CodeChar"/>
              </w:rPr>
              <w:t xml:space="preserve">kubectl exec</w:t>
            </w:r>
            <w:r>
              <w:t xml:space="preserve"> </w:t>
            </w:r>
            <w:r>
              <w:t xml:space="preserve">denied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Dev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TC-134; manifest review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progress: code done, manifest and access review pending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No demo users in the production database; named accounts only;</w:t>
            </w:r>
            <w:r>
              <w:t xml:space="preserve"> </w:t>
            </w:r>
            <w:r>
              <w:rPr>
                <w:rStyle w:val="CodeChar"/>
              </w:rPr>
              <w:t xml:space="preserve">DEMO_PASSWORD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DEMO_TOTP_SEED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CodeChar"/>
              </w:rPr>
              <w:t xml:space="preserve">DEMO_ACCOUNT_SYNC</w:t>
            </w:r>
            <w:r>
              <w:t xml:space="preserve"> </w:t>
            </w:r>
            <w:r>
              <w:t xml:space="preserve">unset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Administrator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User export; configuration review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MFA enforced for administrator, rule approver, compliance officer and data steward with self-enrolment; lockout across both factors (KI-06 fixed); separation-of-duties pairs and restricted rule kinds reviewed by Security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TC-010, TC-020, TC-027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Rate limiting at the gateway or WAF in front of the per-replica limiter (KI-07); trusted proxy settings match the proxy chain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WAF configuration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PRC-SEC-08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Independent penetration test: no open critical or high findings; mediums with a dated plan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CISO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PRC-SEC-09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CI security gates green on the release tag: CodeQL, dependency audit, gitleaks, Trivy, ZAP, SBOM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DevSecOps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CI run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PRC-SEC-10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Metrics token set (KI-14 fixed);</w:t>
            </w:r>
            <w:r>
              <w:t xml:space="preserve"> </w:t>
            </w:r>
            <w:r>
              <w:rPr>
                <w:rStyle w:val="CodeChar"/>
              </w:rPr>
              <w:t xml:space="preserve">/metrics</w:t>
            </w:r>
            <w:r>
              <w:t xml:space="preserve"> </w:t>
            </w:r>
            <w:r>
              <w:t xml:space="preserve">unreachable from the internet; network policy allows only Prometheus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External request returns 401 or 404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CORS origins set to the exact console and app origins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Configuration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TLS everywhere: valid ingress certificate, HSTS, database TLS with a verified certificate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TLS scan grade A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Database roles: application role without DDL and not the table owner; audit triggers enabled with no update, delete or truncate grants; pgaudit on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DBA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Grants and trigger export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Staff roles and regions reviewed and signed by line managers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IT Security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Signed list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Administrator unlock and MFA reset (KI-27 fixed); SOP-08, including forgotten passwords, agreed by Security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SOP sign-off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progress: function done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PRC-SEC-16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Renewal links expire; separate link key from the token secret (KI-08) or the risk accepted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P3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Fix or risk acceptance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 (KI-08)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300000006"/>
      <w:r>
        <w:rPr>
          <w:rStyle w:val="BookTitle"/>
          <w:bCs w:val="0"/>
          <w:i w:val="0"/>
          <w:iCs w:val="0"/>
          <w:spacing w:val="0"/>
        </w:rPr>
        <w:t xml:space="preserve">Functional quality</w:t>
      </w:r>
      <w:bookmarkEnd w:id="10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UAT signed off by every persona; compliance scenarios without waiver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Business Owner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TGP-QA-04 sign-off sheet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SIT passed with VETC wallet, sign-on, app and events, TASCO core rating, catalogue and issuance, Zalo ZNS, SMS and the voice vendor (TC-150 to TC-155, TC-161, TC-180)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SIT 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started: production adapters pending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Coverage gate and all automated suites green on the release tag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QA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255 tests: 252 passed, 3 to-do; coverage 99.41 % lines, 88.25 % branches, 97.12 % functions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Done for 1.0.0; re-run on the release tag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Redesigned staff console, customer app and certificate verification page in the release image; SYN-09 green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UX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Smoke test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progress: redesign under way (KI-15 fixed)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Sev 1 known issues fixed: KI-01, KI-02, KI-09, KI-28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Dev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TC-080, TC-134, TC-135, TC-159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Done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Open Sev 2 issues KI-04, KI-13 and KI-18 fixed or waived with a date (KI-05, KI-25 and KI-33 are fixed); KI-03 replay tool or the RB-06 procedure approved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Dev lead and PO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TGP-QA-01 known issues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API documentation published to partners and matching the release (TC-133)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Tech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Published OpenAPI document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PRC-FUNC-08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Accessibility: no serious or critical violations; manual screen reader pass on the renewal flow (TC-144, TC-145)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UX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1" w:name="_Toc300000007"/>
      <w:r>
        <w:rPr>
          <w:rStyle w:val="BookTitle"/>
          <w:bCs w:val="0"/>
          <w:i w:val="0"/>
          <w:iCs w:val="0"/>
          <w:spacing w:val="0"/>
        </w:rPr>
        <w:t xml:space="preserve">Performance and capacity</w:t>
      </w:r>
      <w:bookmarkEnd w:id="11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PERF-S1 at the design point meets the targets, with TASCO core latency injected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Performance engineer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Report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Pilot cohort (50,000 to 100,000 vehicles) loaded and reconciled; 6 million volume test before the scale phase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Performance engineer and data steward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PERF-S7 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Daily journey run completes within contact hours at pilot volume; all due touchpoints paged and window-blocked ones deferred (KI-05 fixed)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Campaign manager and 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Run logs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12-hour soak with no leak (24 hours before the scale phase)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Performance engineer</w:t>
            </w:r>
          </w:p>
        </w:tc>
        <w:tc>
          <w:tcPr>
            <w:tcW w:w="225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PERF-S11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Autoscaling, disruption budget and resource limits set per the capacity model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Manifests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PRC-PERF-06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Connection budget: replicas × pool size under 70 % of the database maximum, or a pooler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DBA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Calculation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2" w:name="_Toc300000008"/>
      <w:r>
        <w:rPr>
          <w:rStyle w:val="BookTitle"/>
          <w:bCs w:val="0"/>
          <w:i w:val="0"/>
          <w:iCs w:val="0"/>
          <w:spacing w:val="0"/>
        </w:rPr>
        <w:t xml:space="preserve">Observability and operations</w:t>
      </w:r>
      <w:bookmarkEnd w:id="12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Metrics scraped; dashboards D1 to D7 live; alert rules ALR-xx loaded, tested and routed to on-call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Dashboard links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Readiness and liveness probes in use; readiness shows store</w:t>
            </w:r>
            <w:r>
              <w:t xml:space="preserve"> </w:t>
            </w:r>
            <w:r>
              <w:rPr>
                <w:rStyle w:val="CodeChar"/>
              </w:rPr>
              <w:t xml:space="preserve">postgres</w:t>
            </w:r>
            <w:r>
              <w:t xml:space="preserve">; grace period at least 30 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Manifest; SYN-01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progress: manifest sets 30 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Logs shipped and searchable by request ID, route and status; kept 90 days; no personal data (LOG-07 clean)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Log query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Scheduled jobs deployed (UTC): journeys 01:15, recompute 17:30, sync-catalogue 18:00, reconcile 19:00, retention 20:00, relay every 5 minutes; no overlap; no seed job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Manifests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progress: manifests done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Migration job runs before rollout; migrate-on-start off in Kubernetes (KI-30 fixed)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Manifests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Database exporter series for the outbox, journey backlog, open handoffs, orders and indicative quotes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Dashboard D3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Procedures RB-01 to RB-18 and SOP-01 to SOP-09 walked through by L2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L2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Attendance and feedback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PRC-OPS-08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On-call rota live (L2, and L3 for hypercare); paging tested end to end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L2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Test page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PRC-OPS-09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ITSM categories, severity matrix and service levels configured; known-error database seeded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Service desk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ITSM configuration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PRC-OPS-10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Synthetic checks SYN-01 to SYN-09 live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Results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PRC-OPS-11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Dead-letter recovery tool (KI-03) or the RB-06 SQL procedure approved by the DBA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Dev lead and DBA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Approval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3" w:name="_Toc300000009"/>
      <w:r>
        <w:rPr>
          <w:rStyle w:val="BookTitle"/>
          <w:bCs w:val="0"/>
          <w:i w:val="0"/>
          <w:iCs w:val="0"/>
          <w:spacing w:val="0"/>
        </w:rPr>
        <w:t xml:space="preserve">Resilience and DR</w:t>
      </w:r>
      <w:bookmarkEnd w:id="13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Point-in-time recovery on, 35 days, cross-region copy; backup alert ALR-93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DBA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Provider configuration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DR-T1 restore within 60 minutes and RPO within 15 minutes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DBA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DR-T2 zone failover under load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Report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DR egress addresses allow-listed by VETC wallet, TASCO core (including the token endpoint), SMS, Zalo and the voice vendor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Integration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 confirmations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Key escrow and recovery drill (DR-T5): all data keys, the blind-index key and the TASCO core client secret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Drill record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Circuit behaviour verified per integration (TC-079, TC-140, TC-178)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QA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Tests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PRC-DR-07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Vendor outage tabletop (DR-T6), including TASCO core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Incident Commander and business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Minutes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4" w:name="_Toc300000010"/>
      <w:r>
        <w:rPr>
          <w:rStyle w:val="BookTitle"/>
          <w:bCs w:val="0"/>
          <w:i w:val="0"/>
          <w:iCs w:val="0"/>
          <w:spacing w:val="0"/>
        </w:rPr>
        <w:t xml:space="preserve">TASCO core integration</w:t>
      </w:r>
      <w:bookmarkEnd w:id="14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TASCO core interface specification confirmed: rating, catalogue, issuance, cancellation, error codes, OAuth scopes. The client’s assumed paths (</w:t>
            </w:r>
            <w:r>
              <w:rPr>
                <w:rStyle w:val="CodeChar"/>
              </w:rPr>
              <w:t xml:space="preserve">/oauth2/token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/rating/v1/quotes</w:t>
            </w:r>
            <w:r>
              <w:t xml:space="preserve">,</w:t>
            </w:r>
            <w:r>
              <w:t xml:space="preserve"> </w:t>
            </w:r>
            <w:r>
              <w:rPr>
                <w:rStyle w:val="CodeChar"/>
              </w:rPr>
              <w:t xml:space="preserve">/products/v1/catalogue</w:t>
            </w:r>
            <w:r>
              <w:t xml:space="preserve">) aligned and contract tests updated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Integration lead and TASCO core IT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Signed specification; updated tests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started: client built on assumed paths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Client credentials issued for UAT and production; secret in the vault as</w:t>
            </w:r>
            <w:r>
              <w:t xml:space="preserve"> </w:t>
            </w:r>
            <w:r>
              <w:rPr>
                <w:rStyle w:val="CodeChar"/>
              </w:rPr>
              <w:t xml:space="preserve">TASCO_CORE_CLIENT_SECRET_FILE</w:t>
            </w:r>
            <w:r>
              <w:t xml:space="preserve">; client certificate if TASCO requires mutual TLS; rotation owner named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SRE and TASCO core IT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Vault inventory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Rating mode decided by TASCO and set:</w:t>
            </w:r>
            <w:r>
              <w:t xml:space="preserve"> </w:t>
            </w:r>
            <w:r>
              <w:rPr>
                <w:rStyle w:val="CodeChar"/>
              </w:rPr>
              <w:t xml:space="preserve">core</w:t>
            </w:r>
            <w:r>
              <w:t xml:space="preserve"> </w:t>
            </w:r>
            <w:r>
              <w:t xml:space="preserve">(shipped default) or</w:t>
            </w:r>
            <w:r>
              <w:t xml:space="preserve"> </w:t>
            </w:r>
            <w:r>
              <w:rPr>
                <w:rStyle w:val="CodeChar"/>
              </w:rPr>
              <w:t xml:space="preserve">core_with_fallback</w:t>
            </w:r>
            <w:r>
              <w:t xml:space="preserve">;</w:t>
            </w:r>
            <w:r>
              <w:t xml:space="preserve"> </w:t>
            </w:r>
            <w:r>
              <w:rPr>
                <w:rStyle w:val="CodeChar"/>
              </w:rPr>
              <w:t xml:space="preserve">ALLOW_LOCAL_RATING</w:t>
            </w:r>
            <w:r>
              <w:t xml:space="preserve"> </w:t>
            </w:r>
            <w:r>
              <w:t xml:space="preserve">unset; integration status shows mode</w:t>
            </w:r>
            <w:r>
              <w:t xml:space="preserve"> </w:t>
            </w:r>
            <w:r>
              <w:rPr>
                <w:rStyle w:val="CodeChar"/>
              </w:rPr>
              <w:t xml:space="preserve">http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Business Owner and SRE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Decision record; integration status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progress: production configuration ships</w:t>
            </w:r>
            <w:r>
              <w:t xml:space="preserve"> </w:t>
            </w:r>
            <w:r>
              <w:rPr>
                <w:rStyle w:val="CodeChar"/>
              </w:rPr>
              <w:t xml:space="preserve">core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Production issuance adapter built and SIT-tested with the core quote reference (TC-153, TC-170)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Dev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SIT 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started: issuance is a sandbox adapter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Catalogue sync job live; first proposal reviewed and approved by a rule approver; channels configured for new products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Product Owner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Approved products version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progress: job and manifest done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core latency target and rate limits agreed; SIT TC-180 passed; alerts ALR-13 to ALR-16 tuned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IT Architecture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Agreement; SIT 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PRC-CORE-07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TASCO core recovery targets recorded in the interface agreement and reflected in TGP-OPS-03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Head of IT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Interface agreement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5" w:name="_Toc300000011"/>
      <w:r>
        <w:rPr>
          <w:rStyle w:val="BookTitle"/>
          <w:bCs w:val="0"/>
          <w:i w:val="0"/>
          <w:iCs w:val="0"/>
          <w:spacing w:val="0"/>
        </w:rPr>
        <w:t xml:space="preserve">Compliance and legal</w:t>
      </w:r>
      <w:bookmarkEnd w:id="15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Content inventory signed: every active message template, the voice script and benefit texts in Vietnamese; no discount, rebate or cashback language (KI-26 fixed)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Compliance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Signed inventory with rule checksums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Contact policy confirmed by TASCO legal: 08:00 to 20:00, 1 per day and 3 per week marketing, 2 calls per week, consent mapping, service-message exemption, under Decree 91/2020/ND-CP and the PDP rules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Legal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Legal memo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Voice campaigns and journeys respect the contact policy (KI-09 and KI-33 fixed; TC-135, TC-162); bot disclosure wording approved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Compliance and dev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Tests; script sign-off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In progress: script sign-off pending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Benefits pending legal review (loyalty points; referral disabled) and unavailable items (auto-renew, fleet dashboard) hidden from customers; loyalty points never promised; approval only through maker-checker with the legal memo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Legal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Memo; TC-041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progress: control in place, approval pending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Zalo ZNS templates approved by Zalo for all 12 template keys used, with parameter mapping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Marketing and integration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Approval IDs mapped to keys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SMS brandname and templates registered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Marketing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Provider confirmation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PRC-COMP-07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Tariffs confirmed by TASCO underwriting: TNDS car and motorbike (Decree 67/2023/ND-CP); physical damage and personal accident rates replaced with filed rates. With core rating, the platform tariffs are used only for indicative prices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TASCO Underwriting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Approved rule versions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PRC-COMP-08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Commission caps confirmed by TASCO Finance and Legal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 before the first partner goes live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Finance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Memo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PRC-COMP-09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Privacy notice and consent wording in the app; DPIA completed; data processing agreements between VETC, TASCO and iorta TechNXT; no cross-border transfer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DPO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DPIA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PRC-COMP-10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DSAR procedure (SOP-05) working; export and erasure scope complete (KI-29 fixed; TC-105, TC-107)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DPO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SOP sign-off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 progress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PRC-COMP-11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Archival for profiles, messages, orders and certificates built, or waived by TASCO legal (KI-13); retention job live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DPO and dev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Job runs or waiver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 (KI-13)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PRC-COMP-12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Maker-checker staffed: at least 2 approvers with MFA and 2 authors, never the same person, and a compliance officer for restricted rule kinds; emergency rollback pair on call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Named list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PRC-COMP-13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Audit chain verifies at go-live; chain head exported to WORM storage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Compliance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Screenshot and export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6" w:name="_Toc300000012"/>
      <w:r>
        <w:rPr>
          <w:rStyle w:val="BookTitle"/>
          <w:bCs w:val="0"/>
          <w:i w:val="0"/>
          <w:iCs w:val="0"/>
          <w:spacing w:val="0"/>
        </w:rPr>
        <w:t xml:space="preserve">Data migration and initial load</w:t>
      </w:r>
      <w:bookmarkEnd w:id="16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Data-sharing agreement for VETC account and TASCO core extracts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Legal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Signed agreement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Pilot cohort extract (50,000 to 100,000 vehicles, with about 10 % held out as the control group) delivered and profiled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Data steward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Profiling report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Initial load in production in batches of 2,000 or fewer (KI-16); counts reconcile (TC-112); data quality issue volume as expected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Data steward and L3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Load log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Lead recompute after load; journey dry run on a sample; daily touchpoint volumes agreed with campaign managers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Campaign manager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Dry-run summary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Rule sets seeded and every kind’s checksum recorded in the change log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Tech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Operations status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PRC-DATA-06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First partner’s master data and API key issued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 manager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Partner list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7" w:name="_Toc300000013"/>
      <w:r>
        <w:rPr>
          <w:rStyle w:val="BookTitle"/>
          <w:bCs w:val="0"/>
          <w:i w:val="0"/>
          <w:iCs w:val="0"/>
          <w:spacing w:val="0"/>
        </w:rPr>
        <w:t xml:space="preserve">People and process</w:t>
      </w:r>
      <w:bookmarkEnd w:id="17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542"/>
        <w:gridCol w:w="4983"/>
        <w:gridCol w:w="1305"/>
        <w:gridCol w:w="1876"/>
        <w:gridCol w:w="2253"/>
        <w:gridCol w:w="2000"/>
      </w:tblGrid>
      <w:tr>
        <w:trPr>
          <w:cantSplit/>
          <w:tblHeader/>
        </w:trPr>
        <w:tc>
          <w:tcPr>
            <w:tcW w:w="154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498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Check</w:t>
            </w:r>
          </w:p>
        </w:tc>
        <w:tc>
          <w:tcPr>
            <w:tcW w:w="130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Priority</w:t>
            </w:r>
          </w:p>
        </w:tc>
        <w:tc>
          <w:tcPr>
            <w:tcW w:w="1876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Owner</w:t>
            </w:r>
          </w:p>
        </w:tc>
        <w:tc>
          <w:tcPr>
            <w:tcW w:w="225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Evidence</w:t>
            </w:r>
          </w:p>
        </w:tc>
        <w:tc>
          <w:tcPr>
            <w:tcW w:w="2000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PRC-PPL-01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Pilot users trained: telesales teams, supervisors, campaign, compliance, data steward, claims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PO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Attendance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PRC-PPL-02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customer service briefed: scripts, known errors, escalation path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VETC customer service lead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Briefing record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PRC-PPL-03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Hypercare plan, war room and daily review scheduled (TGP-OPS-05)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Delivery lead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Calendar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PRC-PPL-04</w:t>
            </w:r>
          </w:p>
        </w:tc>
        <w:tc>
          <w:tcPr>
            <w:tcW w:w="498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Release notes and rollback plan for the go-live release approved by CAB</w:t>
            </w:r>
          </w:p>
        </w:tc>
        <w:tc>
          <w:tcPr>
            <w:tcW w:w="130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P1</w:t>
            </w:r>
          </w:p>
        </w:tc>
        <w:tc>
          <w:tcPr>
            <w:tcW w:w="1876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Release manager</w:t>
            </w:r>
          </w:p>
        </w:tc>
        <w:tc>
          <w:tcPr>
            <w:tcW w:w="225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CAB minutes</w:t>
            </w:r>
          </w:p>
        </w:tc>
        <w:tc>
          <w:tcPr>
            <w:tcW w:w="2000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  <w:tr>
        <w:trPr>
          <w:cantSplit/>
        </w:trPr>
        <w:tc>
          <w:tcPr>
            <w:tcW w:w="154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PRC-PPL-05</w:t>
            </w:r>
          </w:p>
        </w:tc>
        <w:tc>
          <w:tcPr>
            <w:tcW w:w="4983" w:type="dxa"/>
            <w:vAlign w:val="top"/>
          </w:tcPr>
          <w:p>
            <w:pPr>
              <w:pStyle w:val="TableText"/>
              <w:jc w:val="left"/>
            </w:pPr>
            <w:r>
              <w:t xml:space="preserve">Partner and customer communications approved (launch and incident templates)</w:t>
            </w:r>
          </w:p>
        </w:tc>
        <w:tc>
          <w:tcPr>
            <w:tcW w:w="1305" w:type="dxa"/>
            <w:vAlign w:val="top"/>
          </w:tcPr>
          <w:p>
            <w:pPr>
              <w:pStyle w:val="TableText"/>
              <w:jc w:val="left"/>
            </w:pPr>
            <w:r>
              <w:t xml:space="preserve">P2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jc w:val="left"/>
            </w:pPr>
            <w:r>
              <w:t xml:space="preserve">Marketing and Compliance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jc w:val="left"/>
            </w:pPr>
            <w:r>
              <w:t xml:space="preserve">Templates</w:t>
            </w:r>
          </w:p>
        </w:tc>
        <w:tc>
          <w:tcPr>
            <w:tcW w:w="2000" w:type="dxa"/>
            <w:vAlign w:val="top"/>
          </w:tcPr>
          <w:p>
            <w:pPr>
              <w:pStyle w:val="TableText"/>
              <w:jc w:val="left"/>
            </w:pPr>
            <w:r>
              <w:t xml:space="preserve">Not started</w:t>
            </w:r>
          </w:p>
        </w:tc>
      </w:tr>
    </w:tbl>
    <w:p>
      <w:pPr>
        <w:spacing w:before="0" w:after="0" w:line="20" w:lineRule="exact"/>
        <w:rPr>
          <w:sz w:val="2"/>
        </w:rPr>
        <w:sectPr>
          <w:footerReference w:type="default" r:id="rIdFooterLandscape"/>
          <w:headerReference w:type="first" r:id="rId15"/>
          <w:footerReference w:type="first" r:id="rId16"/>
          <w:pgSz w:w="16839" w:h="11907" w:code="9" w:orient="landscape"/>
          <w:pgMar w:top="1440" w:right="1440" w:bottom="1440" w:left="1440" w:header="1134" w:footer="0" w:gutter="0"/>
          <w:cols w:space="720"/>
          <w:docGrid w:linePitch="360"/>
        </w:sect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8" w:name="_Toc300000014"/>
      <w:r>
        <w:rPr>
          <w:rStyle w:val="BookTitle"/>
          <w:bCs w:val="0"/>
          <w:i w:val="0"/>
          <w:iCs w:val="0"/>
          <w:spacing w:val="0"/>
        </w:rPr>
        <w:t xml:space="preserve">Appendix</w:t>
      </w:r>
      <w:bookmarkEnd w:id="18"/>
    </w:p>
    <w:p>
      <w:pPr>
        <w:pStyle w:val="Heading2"/>
      </w:pPr>
      <w:bookmarkStart w:id="19" w:name="_Toc300000015"/>
      <w:r>
        <w:t xml:space="preserve">Area approvals</w:t>
      </w:r>
      <w:bookmarkEnd w:id="19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2652"/>
        <w:gridCol w:w="4217"/>
        <w:gridCol w:w="1349"/>
        <w:gridCol w:w="809"/>
      </w:tblGrid>
      <w:tr>
        <w:trPr>
          <w:cantSplit/>
          <w:tblHeader/>
        </w:trPr>
        <w:tc>
          <w:tcPr>
            <w:tcW w:w="265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Area</w:t>
            </w:r>
          </w:p>
        </w:tc>
        <w:tc>
          <w:tcPr>
            <w:tcW w:w="421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Approver</w:t>
            </w:r>
          </w:p>
        </w:tc>
        <w:tc>
          <w:tcPr>
            <w:tcW w:w="134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Decision</w:t>
            </w:r>
          </w:p>
        </w:tc>
        <w:tc>
          <w:tcPr>
            <w:tcW w:w="809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Date</w:t>
            </w:r>
          </w:p>
        </w:tc>
      </w:tr>
      <w:tr>
        <w:trPr>
          <w:cantSplit/>
        </w:trPr>
        <w:tc>
          <w:tcPr>
            <w:tcW w:w="2652" w:type="dxa"/>
            <w:vAlign w:val="top"/>
          </w:tcPr>
          <w:p>
            <w:pPr>
              <w:pStyle w:val="TableText"/>
              <w:jc w:val="left"/>
            </w:pPr>
            <w:r>
              <w:t xml:space="preserve">Security</w:t>
            </w:r>
          </w:p>
        </w:tc>
        <w:tc>
          <w:tcPr>
            <w:tcW w:w="4217" w:type="dxa"/>
            <w:vAlign w:val="top"/>
          </w:tcPr>
          <w:p>
            <w:pPr>
              <w:pStyle w:val="TableText"/>
              <w:jc w:val="left"/>
            </w:pPr>
            <w:r>
              <w:t xml:space="preserve">TASCO CISO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Compliance and legal</w:t>
            </w:r>
          </w:p>
        </w:tc>
        <w:tc>
          <w:tcPr>
            <w:tcW w:w="421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Compliance Officer and Legal</w:t>
            </w:r>
          </w:p>
        </w:tc>
        <w:tc>
          <w:tcPr>
            <w:tcW w:w="134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vAlign w:val="top"/>
          </w:tcPr>
          <w:p>
            <w:pPr>
              <w:pStyle w:val="TableText"/>
              <w:jc w:val="left"/>
            </w:pPr>
            <w:r>
              <w:t xml:space="preserve">Operations</w:t>
            </w:r>
          </w:p>
        </w:tc>
        <w:tc>
          <w:tcPr>
            <w:tcW w:w="4217" w:type="dxa"/>
            <w:vAlign w:val="top"/>
          </w:tcPr>
          <w:p>
            <w:pPr>
              <w:pStyle w:val="TableText"/>
              <w:jc w:val="left"/>
            </w:pPr>
            <w:r>
              <w:t xml:space="preserve">TASCO IT Production Support lead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Infrastructure and DR</w:t>
            </w:r>
          </w:p>
        </w:tc>
        <w:tc>
          <w:tcPr>
            <w:tcW w:w="421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Head of IT</w:t>
            </w:r>
          </w:p>
        </w:tc>
        <w:tc>
          <w:tcPr>
            <w:tcW w:w="134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vAlign w:val="top"/>
          </w:tcPr>
          <w:p>
            <w:pPr>
              <w:pStyle w:val="TableText"/>
              <w:jc w:val="left"/>
            </w:pPr>
            <w:r>
              <w:t xml:space="preserve">TASCO core integration</w:t>
            </w:r>
          </w:p>
        </w:tc>
        <w:tc>
          <w:tcPr>
            <w:tcW w:w="4217" w:type="dxa"/>
            <w:vAlign w:val="top"/>
          </w:tcPr>
          <w:p>
            <w:pPr>
              <w:pStyle w:val="TableText"/>
              <w:jc w:val="left"/>
            </w:pPr>
            <w:r>
              <w:t xml:space="preserve">TASCO IT Architecture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Business</w:t>
            </w:r>
          </w:p>
        </w:tc>
        <w:tc>
          <w:tcPr>
            <w:tcW w:w="421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TASCO Business Owner</w:t>
            </w:r>
          </w:p>
        </w:tc>
        <w:tc>
          <w:tcPr>
            <w:tcW w:w="134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vAlign w:val="top"/>
          </w:tcPr>
          <w:p>
            <w:pPr>
              <w:pStyle w:val="TableText"/>
              <w:jc w:val="left"/>
            </w:pPr>
            <w:r>
              <w:t xml:space="preserve">VETC channel</w:t>
            </w:r>
          </w:p>
        </w:tc>
        <w:tc>
          <w:tcPr>
            <w:tcW w:w="4217" w:type="dxa"/>
            <w:vAlign w:val="top"/>
          </w:tcPr>
          <w:p>
            <w:pPr>
              <w:pStyle w:val="TableText"/>
              <w:jc w:val="left"/>
            </w:pPr>
            <w:r>
              <w:t xml:space="preserve">VETC Product Owner and IT Lead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652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Delivery</w:t>
            </w:r>
          </w:p>
        </w:tc>
        <w:tc>
          <w:tcPr>
            <w:tcW w:w="421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iorta TechNXT Delivery Lead</w:t>
            </w:r>
          </w:p>
        </w:tc>
        <w:tc>
          <w:tcPr>
            <w:tcW w:w="134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  <w:tc>
          <w:tcPr>
            <w:tcW w:w="809" w:type="dxa"/>
            <w:shd w:val="clear" w:color="auto" w:fill="F4F7FB"/>
            <w:vAlign w:val="top"/>
          </w:tcPr>
          <w:p>
            <w:pPr>
              <w:pStyle w:val="TableText"/>
            </w:pP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20" w:name="_Toc300000016"/>
      <w:r>
        <w:rPr>
          <w:rStyle w:val="BookTitle"/>
          <w:bCs w:val="0"/>
          <w:i w:val="0"/>
          <w:iCs w:val="0"/>
          <w:spacing w:val="0"/>
        </w:rPr>
        <w:t xml:space="preserve">Sign-Off</w:t>
      </w:r>
      <w:bookmarkEnd w:id="20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72"/>
        <w:gridCol w:w="5107"/>
        <w:gridCol w:w="1976"/>
        <w:gridCol w:w="972"/>
      </w:tblGrid>
      <w:tr w:rsidR="002B183A" w14:paraId="0ABAE4AD" w14:textId="77777777" w:rsidTr="002923F3">
        <w:trPr>
          <w:cantSplit/>
          <w:trHeight w:val="440"/>
          <w:tblHeader/>
        </w:trPr>
        <w:tc>
          <w:tcPr>
            <w:tcW w:w="972" w:type="dxa"/>
            <w:shd w:val="clear" w:color="auto" w:fill="0F4761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5107" w:type="dxa"/>
            <w:shd w:val="clear" w:color="auto" w:fill="0F4761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976" w:type="dxa"/>
            <w:shd w:val="clear" w:color="auto" w:fill="0F4761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972" w:type="dxa"/>
            <w:shd w:val="clear" w:color="auto" w:fill="0F4761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core interface specification (rating, catalogue, issuance, cancellation, error codes, scopes) confirmed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IT Architecture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2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core UAT and production client credentials issued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IT Architecture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3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Rating mode for production (core only, or core with indicative fallback) decided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Business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4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Contact policy, benefits wording, loyalty points and commission caps to be confirmed by TASCO legal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Legal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5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Tariffs for physical damage cover and personal accident cover per seat confirmed as filed rates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Underwriting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6</w:t>
            </w:r>
          </w:p>
        </w:tc>
        <w:tc>
          <w:tcPr>
            <w:tcW w:w="5107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Zalo ZNS templates approved by Zalo for every template used</w:t>
            </w:r>
          </w:p>
        </w:tc>
        <w:tc>
          <w:tcPr>
            <w:tcW w:w="1976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Marketing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106"/>
        <w:gridCol w:w="1742"/>
        <w:gridCol w:w="2729"/>
        <w:gridCol w:w="3450"/>
      </w:tblGrid>
      <w:tr w:rsidR="002B183A" w14:paraId="731A77C7" w14:textId="77777777" w:rsidTr="002923F3">
        <w:trPr>
          <w:cantSplit/>
          <w:trHeight w:val="440"/>
          <w:tblHeader/>
        </w:trPr>
        <w:tc>
          <w:tcPr>
            <w:tcW w:w="1106" w:type="dxa"/>
            <w:shd w:val="clear" w:color="auto" w:fill="0F4761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742" w:type="dxa"/>
            <w:shd w:val="clear" w:color="auto" w:fill="0F4761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  <w:tc>
          <w:tcPr>
            <w:tcW w:w="2729" w:type="dxa"/>
            <w:shd w:val="clear" w:color="auto" w:fill="0F4761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450" w:type="dxa"/>
            <w:shd w:val="clear" w:color="auto" w:fill="0F4761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106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42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2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450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Sponsor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106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42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2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450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Head of IT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106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42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29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</w:p>
        </w:tc>
        <w:tc>
          <w:tcPr>
            <w:tcW w:w="3450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Service Operations</w:t>
            </w:r>
          </w:p>
        </w:tc>
      </w:tr>
    </w:tbl>
    <w:p w14:paraId="1146A836" w14:textId="10B273DD" w:rsidR="00EE516B" w:rsidRDefault="002B183A">
      <w:r w:rsidRPr="00FE19FE"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11120475" cy="885012"/>
          <wp:effectExtent l="0" t="0" r="4445" b="0"/>
          <wp:wrapNone/>
          <wp:docPr id="499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0475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ascii="Segoe UI" w:hAnsi="Segoe UI" w:hint="default"/>
        <w:b/>
        <w:i w:val="0"/>
        <w:color w:val="0F4761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ascii="Segoe UI" w:hAnsi="Segoe UI" w:hint="default"/>
        <w:b/>
        <w:i w:val="0"/>
        <w:color w:val="0F4761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num w:numId="1" w16cid:durableId="1413504409">
    <w:abstractNumId w:val="0"/>
  </w:num>
  <w:num w:numId="2" w16cid:durableId="1722510407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styleId="BodyText">
    <w:name w:val="Body Text"/>
    <w:basedOn w:val="Normal"/>
    <w:qFormat/>
    <w:pPr>
      <w:spacing w:before="0" w:after="140" w:line="276" w:lineRule="auto"/>
      <w:jc w:val="both"/>
    </w:pPr>
    <w:rPr>
      <w:rFonts w:ascii="Segoe UI" w:hAnsi="Segoe UI" w:eastAsia="Segoe UI" w:cs="Segoe UI"/>
      <w:color w:val="101820"/>
      <w:sz w:val="22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60"/>
      <w:jc w:val="left"/>
    </w:pPr>
  </w:style>
  <w:style w:type="paragraph" w:customStyle="1" w:styleId="TableText">
    <w:name w:val="Table Text"/>
    <w:basedOn w:val="Normal"/>
    <w:qFormat/>
    <w:pPr>
      <w:spacing w:before="20" w:after="20" w:line="245" w:lineRule="auto"/>
      <w:jc w:val="left"/>
    </w:pPr>
    <w:rPr>
      <w:rFonts w:ascii="Segoe UI" w:hAnsi="Segoe UI" w:eastAsia="Segoe UI" w:cs="Segoe UI"/>
      <w:color w:val="101820"/>
      <w:sz w:val="19"/>
      <w:szCs w:val="19"/>
    </w:rPr>
  </w:style>
  <w:style w:type="paragraph" w:customStyle="1" w:styleId="TableHeading">
    <w:name w:val="Table Heading"/>
    <w:basedOn w:val="TableText"/>
    <w:qFormat/>
    <w:pPr>
      <w:keepNext/>
    </w:pPr>
    <w:rPr>
      <w:b/>
      <w:bCs/>
      <w:color w:val="FFFFF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numPr>
        <w:ilvl w:val="1"/>
        <w:numId w:val="1"/>
      </w:numPr>
      <w:spacing w:before="280" w:after="100" w:line="259" w:lineRule="auto"/>
      <w:ind w:left="720" w:hanging="72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1"/>
      </w:numPr>
      <w:spacing w:before="220" w:after="80" w:line="259" w:lineRule="auto"/>
      <w:ind w:left="864" w:hanging="864"/>
      <w:outlineLvl w:val="2"/>
    </w:pPr>
    <w:rPr>
      <w:rFonts w:asciiTheme="majorHAnsi" w:eastAsiaTheme="majorEastAsia" w:hAnsiTheme="majorHAnsi" w:cstheme="majorBidi"/>
      <w:b/>
      <w:bCs/>
      <w:color w:val="0F476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80" w:after="60" w:line="259" w:lineRule="auto"/>
      <w:outlineLvl w:val="3"/>
    </w:pPr>
    <w:rPr>
      <w:rFonts w:ascii="Segoe UI" w:hAnsi="Segoe UI" w:eastAsia="Segoe UI" w:cs="Segoe UI"/>
      <w:b/>
      <w:bCs/>
      <w:color w:val="0F4761"/>
      <w:sz w:val="22"/>
      <w:szCs w:val="22"/>
    </w:rPr>
  </w:style>
  <w:style w:type="paragraph" w:styleId="Caption">
    <w:name w:val="caption"/>
    <w:basedOn w:val="Normal"/>
    <w:next w:val="BodyText"/>
    <w:qFormat/>
    <w:pPr>
      <w:spacing w:before="60" w:after="240" w:line="240" w:lineRule="auto"/>
      <w:jc w:val="center"/>
    </w:pPr>
    <w:rPr>
      <w:rFonts w:ascii="Segoe UI" w:hAnsi="Segoe UI" w:eastAsia="Segoe UI" w:cs="Segoe UI"/>
      <w:i/>
      <w:iCs/>
      <w:color w:val="0F4761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80"/>
      <w:jc w:val="left"/>
    </w:pPr>
  </w:style>
  <w:style w:type="paragraph" w:customStyle="1" w:styleId="Figure">
    <w:name w:val="Figure"/>
    <w:basedOn w:val="Normal"/>
    <w:next w:val="Caption"/>
    <w:qFormat/>
    <w:pPr>
      <w:keepNext/>
      <w:spacing w:before="160" w:after="40" w:line="240" w:lineRule="auto"/>
      <w:jc w:val="center"/>
    </w:pPr>
  </w:style>
  <w:style w:type="paragraph" w:customStyle="1" w:styleId="FigureWide">
    <w:name w:val="Figure Wide"/>
    <w:basedOn w:val="Figure"/>
    <w:next w:val="Caption"/>
    <w:qFormat/>
  </w:style>
  <w:style w:type="paragraph" w:customStyle="1" w:styleId="CodeBlock">
    <w:name w:val="Code Block"/>
    <w:basedOn w:val="Normal"/>
    <w:next w:val="BodyText"/>
    <w:qFormat/>
    <w:pPr>
      <w:pBdr>
        <w:top w:val="single" w:sz="4" w:space="4" w:color="D3DCE6"/>
        <w:left w:val="single" w:sz="4" w:space="4" w:color="D3DCE6"/>
        <w:bottom w:val="single" w:sz="4" w:space="4" w:color="D3DCE6"/>
        <w:right w:val="single" w:sz="4" w:space="4" w:color="D3DCE6"/>
      </w:pBdr>
      <w:shd w:val="clear" w:color="auto" w:fill="F3F6FA"/>
      <w:spacing w:before="80" w:after="200" w:line="240" w:lineRule="auto"/>
      <w:ind w:left="113" w:right="113"/>
      <w:jc w:val="left"/>
    </w:pPr>
    <w:rPr>
      <w:rFonts w:ascii="Consolas" w:hAnsi="Consolas" w:eastAsia="Consolas" w:cs="Consolas"/>
      <w:color w:val="1F2937"/>
      <w:sz w:val="18"/>
      <w:szCs w:val="18"/>
    </w:rPr>
  </w:style>
  <w:style w:type="character" w:customStyle="1" w:styleId="CodeChar">
    <w:name w:val="Code Char"/>
    <w:basedOn w:val="DefaultParagraphFont"/>
    <w:qFormat/>
    <w:rPr>
      <w:rFonts w:ascii="Consolas" w:hAnsi="Consolas" w:eastAsia="Consolas" w:cs="Consolas"/>
      <w:color w:val="1F3864"/>
      <w:sz w:val="19"/>
      <w:szCs w:val="19"/>
    </w:rPr>
  </w:style>
  <w:style w:type="paragraph" w:customStyle="1" w:styleId="Callout">
    <w:name w:val="Callout"/>
    <w:basedOn w:val="Normal"/>
    <w:next w:val="BodyText"/>
    <w:qFormat/>
    <w:pPr>
      <w:pBdr>
        <w:left w:val="single" w:sz="24" w:space="8" w:color="1D74BA"/>
      </w:pBdr>
      <w:shd w:val="clear" w:color="auto" w:fill="E8F1FA"/>
      <w:spacing w:before="60" w:after="60" w:line="264" w:lineRule="auto"/>
      <w:ind w:left="227" w:right="113"/>
      <w:jc w:val="left"/>
    </w:pPr>
    <w:rPr>
      <w:rFonts w:ascii="Segoe UI" w:hAnsi="Segoe UI" w:eastAsia="Segoe UI" w:cs="Segoe UI"/>
      <w:color w:val="101820"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260"/>
        <w:tab w:val="right" w:leader="dot" w:pos="9350"/>
      </w:tabs>
      <w:spacing w:after="60" w:line="264" w:lineRule="auto"/>
      <w:ind w:left="360"/>
    </w:pPr>
    <w:rPr>
      <w:rFonts w:ascii="Segoe UI" w:hAnsi="Segoe UI" w:eastAsia="Segoe UI" w:cs="Segoe UI"/>
      <w:noProof/>
      <w:color w:val="101820"/>
      <w:sz w:val="19"/>
      <w:szCs w:val="19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700"/>
        <w:tab w:val="right" w:leader="dot" w:pos="9350"/>
      </w:tabs>
      <w:spacing w:after="40" w:line="264" w:lineRule="auto"/>
      <w:ind w:left="720"/>
    </w:pPr>
    <w:rPr>
      <w:rFonts w:ascii="Segoe UI" w:hAnsi="Segoe UI" w:eastAsia="Segoe UI" w:cs="Segoe UI"/>
      <w:noProof/>
      <w:color w:val="404A55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FooterLandscape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footer_band_landscap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>iorta TechNXT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Readiness Checklist</dc:title>
  <dc:subject>TGP-OPS-04</dc:subject>
  <dc:creator>iorta TechNXT</dc:creator>
  <cp:keywords>TGP-OPS-04; TASCO Insurance; iorta TechNXT</cp:keywords>
  <dc:description>TASCO Motor Insurance Growth Platform</dc:description>
  <cp:lastModifiedBy>iorta TechNXT</cp:lastModifiedBy>
  <cp:revision>1</cp:revision>
  <dcterms:created xsi:type="dcterms:W3CDTF">2026-10-08T02:23:38Z</dcterms:created>
  <dcterms:modified xsi:type="dcterms:W3CDTF">2026-10-08T02:23:38Z</dcterms:modified>
</cp:coreProperties>
</file>