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2347965</wp:posOffset>
                </wp:positionV>
                <wp:extent cx="5760000" cy="560832"/>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60832"/>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Prepared for TASCO Insurance, in partnership with VETC · ITN-TASCO-2026-001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829056"/>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29056"/>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Proposal for the TASCO Motor Insurance Growth Platform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4</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4</w:t>
        </w:r>
        <w:r>
          <w:rPr>
            <w:noProof/>
            <w:webHidden/>
          </w:rPr>
          <w:fldChar w:fldCharType="end"/>
        </w:r>
      </w:hyperlink>
    </w:p>
    <w:p>
      <w:pPr>
        <w:pStyle w:val="TOC1"/>
      </w:pPr>
      <w:hyperlink w:anchor="_Toc300000003" w:history="1">
        <w:r>
          <w:rPr>
            <w:noProof/>
          </w:rPr>
          <w:t>3.</w:t>
        </w:r>
        <w:r>
          <w:rPr>
            <w:noProof/>
          </w:rPr>
          <w:tab/>
        </w:r>
        <w:r>
          <w:rPr>
            <w:noProof/>
          </w:rPr>
          <w:t xml:space="preserve">About this proposal</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6</w:t>
        </w:r>
        <w:r>
          <w:rPr>
            <w:noProof/>
            <w:webHidden/>
          </w:rPr>
          <w:fldChar w:fldCharType="end"/>
        </w:r>
      </w:hyperlink>
    </w:p>
    <w:p>
      <w:pPr>
        <w:pStyle w:val="TOC1"/>
      </w:pPr>
      <w:hyperlink w:anchor="_Toc300000004" w:history="1">
        <w:r>
          <w:rPr>
            <w:noProof/>
          </w:rPr>
          <w:t>4.</w:t>
        </w:r>
        <w:r>
          <w:rPr>
            <w:noProof/>
          </w:rPr>
          <w:tab/>
        </w:r>
        <w:r>
          <w:rPr>
            <w:noProof/>
          </w:rPr>
          <w:t xml:space="preserve">Executive summary</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6</w:t>
        </w:r>
        <w:r>
          <w:rPr>
            <w:noProof/>
            <w:webHidden/>
          </w:rPr>
          <w:fldChar w:fldCharType="end"/>
        </w:r>
      </w:hyperlink>
    </w:p>
    <w:p>
      <w:pPr>
        <w:pStyle w:val="TOC1"/>
      </w:pPr>
      <w:hyperlink w:anchor="_Toc300000005" w:history="1">
        <w:r>
          <w:rPr>
            <w:noProof/>
          </w:rPr>
          <w:t>5.</w:t>
        </w:r>
        <w:r>
          <w:rPr>
            <w:noProof/>
          </w:rPr>
          <w:tab/>
        </w:r>
        <w:r>
          <w:rPr>
            <w:noProof/>
          </w:rPr>
          <w:t xml:space="preserve">Our understanding of the situation</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7</w:t>
        </w:r>
        <w:r>
          <w:rPr>
            <w:noProof/>
            <w:webHidden/>
          </w:rPr>
          <w:fldChar w:fldCharType="end"/>
        </w:r>
      </w:hyperlink>
    </w:p>
    <w:p>
      <w:pPr>
        <w:pStyle w:val="TOC2"/>
      </w:pPr>
      <w:hyperlink w:anchor="_Toc300000006" w:history="1">
        <w:r>
          <w:rPr>
            <w:noProof/>
          </w:rPr>
          <w:t>5.1.</w:t>
        </w:r>
        <w:r>
          <w:rPr>
            <w:noProof/>
          </w:rPr>
          <w:tab/>
        </w:r>
        <w:r>
          <w:rPr>
            <w:noProof/>
          </w:rPr>
          <w:t xml:space="preserve">The parties and what each brings</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7</w:t>
        </w:r>
        <w:r>
          <w:rPr>
            <w:noProof/>
            <w:webHidden/>
          </w:rPr>
          <w:fldChar w:fldCharType="end"/>
        </w:r>
      </w:hyperlink>
    </w:p>
    <w:p>
      <w:pPr>
        <w:pStyle w:val="TOC2"/>
      </w:pPr>
      <w:hyperlink w:anchor="_Toc300000007" w:history="1">
        <w:r>
          <w:rPr>
            <w:noProof/>
          </w:rPr>
          <w:t>5.2.</w:t>
        </w:r>
        <w:r>
          <w:rPr>
            <w:noProof/>
          </w:rPr>
          <w:tab/>
        </w:r>
        <w:r>
          <w:rPr>
            <w:noProof/>
          </w:rPr>
          <w:t xml:space="preserve">TASCO’s digital channels today</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7</w:t>
        </w:r>
        <w:r>
          <w:rPr>
            <w:noProof/>
            <w:webHidden/>
          </w:rPr>
          <w:fldChar w:fldCharType="end"/>
        </w:r>
      </w:hyperlink>
    </w:p>
    <w:p>
      <w:pPr>
        <w:pStyle w:val="TOC2"/>
      </w:pPr>
      <w:hyperlink w:anchor="_Toc300000008" w:history="1">
        <w:r>
          <w:rPr>
            <w:noProof/>
          </w:rPr>
          <w:t>5.3.</w:t>
        </w:r>
        <w:r>
          <w:rPr>
            <w:noProof/>
          </w:rPr>
          <w:tab/>
        </w:r>
        <w:r>
          <w:rPr>
            <w:noProof/>
          </w:rPr>
          <w:t xml:space="preserve">Why own-channel sales are close to zero</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8</w:t>
        </w:r>
        <w:r>
          <w:rPr>
            <w:noProof/>
            <w:webHidden/>
          </w:rPr>
          <w:fldChar w:fldCharType="end"/>
        </w:r>
      </w:hyperlink>
    </w:p>
    <w:p>
      <w:pPr>
        <w:pStyle w:val="TOC2"/>
      </w:pPr>
      <w:hyperlink w:anchor="_Toc300000009" w:history="1">
        <w:r>
          <w:rPr>
            <w:noProof/>
          </w:rPr>
          <w:t>5.4.</w:t>
        </w:r>
        <w:r>
          <w:rPr>
            <w:noProof/>
          </w:rPr>
          <w:tab/>
        </w:r>
        <w:r>
          <w:rPr>
            <w:noProof/>
          </w:rPr>
          <w:t xml:space="preserve">The regulatory frame</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9</w:t>
        </w:r>
        <w:r>
          <w:rPr>
            <w:noProof/>
            <w:webHidden/>
          </w:rPr>
          <w:fldChar w:fldCharType="end"/>
        </w:r>
      </w:hyperlink>
    </w:p>
    <w:p>
      <w:pPr>
        <w:pStyle w:val="TOC1"/>
      </w:pPr>
      <w:hyperlink w:anchor="_Toc300000010" w:history="1">
        <w:r>
          <w:rPr>
            <w:noProof/>
          </w:rPr>
          <w:t>6.</w:t>
        </w:r>
        <w:r>
          <w:rPr>
            <w:noProof/>
          </w:rPr>
          <w:tab/>
        </w:r>
        <w:r>
          <w:rPr>
            <w:noProof/>
          </w:rPr>
          <w:t xml:space="preserve">Our approach in one picture</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9</w:t>
        </w:r>
        <w:r>
          <w:rPr>
            <w:noProof/>
            <w:webHidden/>
          </w:rPr>
          <w:fldChar w:fldCharType="end"/>
        </w:r>
      </w:hyperlink>
    </w:p>
    <w:p>
      <w:pPr>
        <w:pStyle w:val="TOC1"/>
      </w:pPr>
      <w:hyperlink w:anchor="_Toc300000011" w:history="1">
        <w:r>
          <w:rPr>
            <w:noProof/>
          </w:rPr>
          <w:t>7.</w:t>
        </w:r>
        <w:r>
          <w:rPr>
            <w:noProof/>
          </w:rPr>
          <w:tab/>
        </w:r>
        <w:r>
          <w:rPr>
            <w:noProof/>
          </w:rPr>
          <w:t xml:space="preserve">Why iorta TechNXT</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10</w:t>
        </w:r>
        <w:r>
          <w:rPr>
            <w:noProof/>
            <w:webHidden/>
          </w:rPr>
          <w:fldChar w:fldCharType="end"/>
        </w:r>
      </w:hyperlink>
    </w:p>
    <w:p>
      <w:pPr>
        <w:pStyle w:val="TOC1"/>
      </w:pPr>
      <w:hyperlink w:anchor="_Toc300000012" w:history="1">
        <w:r>
          <w:rPr>
            <w:noProof/>
          </w:rPr>
          <w:t>8.</w:t>
        </w:r>
        <w:r>
          <w:rPr>
            <w:noProof/>
          </w:rPr>
          <w:tab/>
        </w:r>
        <w:r>
          <w:rPr>
            <w:noProof/>
          </w:rPr>
          <w:t xml:space="preserve">How the solution answers each challenge</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11</w:t>
        </w:r>
        <w:r>
          <w:rPr>
            <w:noProof/>
            <w:webHidden/>
          </w:rPr>
          <w:fldChar w:fldCharType="end"/>
        </w:r>
      </w:hyperlink>
    </w:p>
    <w:p>
      <w:pPr>
        <w:pStyle w:val="TOC1"/>
      </w:pPr>
      <w:hyperlink w:anchor="_Toc300000013" w:history="1">
        <w:r>
          <w:rPr>
            <w:noProof/>
          </w:rPr>
          <w:t>9.</w:t>
        </w:r>
        <w:r>
          <w:rPr>
            <w:noProof/>
          </w:rPr>
          <w:tab/>
        </w:r>
        <w:r>
          <w:rPr>
            <w:noProof/>
          </w:rPr>
          <w:t xml:space="preserve">The solution</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12</w:t>
        </w:r>
        <w:r>
          <w:rPr>
            <w:noProof/>
            <w:webHidden/>
          </w:rPr>
          <w:fldChar w:fldCharType="end"/>
        </w:r>
      </w:hyperlink>
    </w:p>
    <w:p>
      <w:pPr>
        <w:pStyle w:val="TOC2"/>
      </w:pPr>
      <w:hyperlink w:anchor="_Toc300000014" w:history="1">
        <w:r>
          <w:rPr>
            <w:noProof/>
          </w:rPr>
          <w:t>9.1.</w:t>
        </w:r>
        <w:r>
          <w:rPr>
            <w:noProof/>
          </w:rPr>
          <w:tab/>
        </w:r>
        <w:r>
          <w:rPr>
            <w:noProof/>
          </w:rPr>
          <w:t xml:space="preserve">Capabilities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12</w:t>
        </w:r>
        <w:r>
          <w:rPr>
            <w:noProof/>
            <w:webHidden/>
          </w:rPr>
          <w:fldChar w:fldCharType="end"/>
        </w:r>
      </w:hyperlink>
    </w:p>
    <w:p>
      <w:pPr>
        <w:pStyle w:val="TOC2"/>
      </w:pPr>
      <w:hyperlink w:anchor="_Toc300000015" w:history="1">
        <w:r>
          <w:rPr>
            <w:noProof/>
          </w:rPr>
          <w:t>9.2.</w:t>
        </w:r>
        <w:r>
          <w:rPr>
            <w:noProof/>
          </w:rPr>
          <w:tab/>
        </w:r>
        <w:r>
          <w:rPr>
            <w:noProof/>
          </w:rPr>
          <w:t xml:space="preserve">New business, not only renewals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14</w:t>
        </w:r>
        <w:r>
          <w:rPr>
            <w:noProof/>
            <w:webHidden/>
          </w:rPr>
          <w:fldChar w:fldCharType="end"/>
        </w:r>
      </w:hyperlink>
    </w:p>
    <w:p>
      <w:pPr>
        <w:pStyle w:val="TOC2"/>
      </w:pPr>
      <w:hyperlink w:anchor="_Toc300000016" w:history="1">
        <w:r>
          <w:rPr>
            <w:noProof/>
          </w:rPr>
          <w:t>9.3.</w:t>
        </w:r>
        <w:r>
          <w:rPr>
            <w:noProof/>
          </w:rPr>
          <w:tab/>
        </w:r>
        <w:r>
          <w:rPr>
            <w:noProof/>
          </w:rPr>
          <w:t xml:space="preserve">Value beyond discount</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14</w:t>
        </w:r>
        <w:r>
          <w:rPr>
            <w:noProof/>
            <w:webHidden/>
          </w:rPr>
          <w:fldChar w:fldCharType="end"/>
        </w:r>
      </w:hyperlink>
    </w:p>
    <w:p>
      <w:pPr>
        <w:pStyle w:val="TOC1"/>
      </w:pPr>
      <w:hyperlink w:anchor="_Toc300000017" w:history="1">
        <w:r>
          <w:rPr>
            <w:noProof/>
          </w:rPr>
          <w:t>10.</w:t>
        </w:r>
        <w:r>
          <w:rPr>
            <w:noProof/>
          </w:rPr>
          <w:tab/>
        </w:r>
        <w:r>
          <w:rPr>
            <w:noProof/>
          </w:rPr>
          <w:t xml:space="preserve">Business and process flows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16</w:t>
        </w:r>
        <w:r>
          <w:rPr>
            <w:noProof/>
            <w:webHidden/>
          </w:rPr>
          <w:fldChar w:fldCharType="end"/>
        </w:r>
      </w:hyperlink>
    </w:p>
    <w:p>
      <w:pPr>
        <w:pStyle w:val="TOC2"/>
      </w:pPr>
      <w:hyperlink w:anchor="_Toc300000018" w:history="1">
        <w:r>
          <w:rPr>
            <w:noProof/>
          </w:rPr>
          <w:t>10.1.</w:t>
        </w:r>
        <w:r>
          <w:rPr>
            <w:noProof/>
          </w:rPr>
          <w:tab/>
        </w:r>
        <w:r>
          <w:rPr>
            <w:noProof/>
          </w:rPr>
          <w:t xml:space="preserve">Who does what</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16</w:t>
        </w:r>
        <w:r>
          <w:rPr>
            <w:noProof/>
            <w:webHidden/>
          </w:rPr>
          <w:fldChar w:fldCharType="end"/>
        </w:r>
      </w:hyperlink>
    </w:p>
    <w:p>
      <w:pPr>
        <w:pStyle w:val="TOC2"/>
      </w:pPr>
      <w:hyperlink w:anchor="_Toc300000019" w:history="1">
        <w:r>
          <w:rPr>
            <w:noProof/>
          </w:rPr>
          <w:t>10.2.</w:t>
        </w:r>
        <w:r>
          <w:rPr>
            <w:noProof/>
          </w:rPr>
          <w:tab/>
        </w:r>
        <w:r>
          <w:rPr>
            <w:noProof/>
          </w:rPr>
          <w:t xml:space="preserve">Renewal with one-tap purchase</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17</w:t>
        </w:r>
        <w:r>
          <w:rPr>
            <w:noProof/>
            <w:webHidden/>
          </w:rPr>
          <w:fldChar w:fldCharType="end"/>
        </w:r>
      </w:hyperlink>
    </w:p>
    <w:p>
      <w:pPr>
        <w:pStyle w:val="TOC2"/>
      </w:pPr>
      <w:hyperlink w:anchor="_Toc300000020" w:history="1">
        <w:r>
          <w:rPr>
            <w:noProof/>
          </w:rPr>
          <w:t>10.3.</w:t>
        </w:r>
        <w:r>
          <w:rPr>
            <w:noProof/>
          </w:rPr>
          <w:tab/>
        </w:r>
        <w:r>
          <w:rPr>
            <w:noProof/>
          </w:rPr>
          <w:t xml:space="preserve">Voice assistant: plate first, then handoff</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19</w:t>
        </w:r>
        <w:r>
          <w:rPr>
            <w:noProof/>
            <w:webHidden/>
          </w:rPr>
          <w:fldChar w:fldCharType="end"/>
        </w:r>
      </w:hyperlink>
    </w:p>
    <w:p>
      <w:pPr>
        <w:pStyle w:val="TOC2"/>
      </w:pPr>
      <w:hyperlink w:anchor="_Toc300000021" w:history="1">
        <w:r>
          <w:rPr>
            <w:noProof/>
          </w:rPr>
          <w:t>10.4.</w:t>
        </w:r>
        <w:r>
          <w:rPr>
            <w:noProof/>
          </w:rPr>
          <w:tab/>
        </w:r>
        <w:r>
          <w:rPr>
            <w:noProof/>
          </w:rPr>
          <w:t xml:space="preserve">New vehicle at tag activation</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21</w:t>
        </w:r>
        <w:r>
          <w:rPr>
            <w:noProof/>
            <w:webHidden/>
          </w:rPr>
          <w:fldChar w:fldCharType="end"/>
        </w:r>
      </w:hyperlink>
    </w:p>
    <w:p>
      <w:pPr>
        <w:pStyle w:val="TOC2"/>
      </w:pPr>
      <w:hyperlink w:anchor="_Toc300000022" w:history="1">
        <w:r>
          <w:rPr>
            <w:noProof/>
          </w:rPr>
          <w:t>10.5.</w:t>
        </w:r>
        <w:r>
          <w:rPr>
            <w:noProof/>
          </w:rPr>
          <w:tab/>
        </w:r>
        <w:r>
          <w:rPr>
            <w:noProof/>
          </w:rPr>
          <w:t xml:space="preserve">Partner sale through the API</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22</w:t>
        </w:r>
        <w:r>
          <w:rPr>
            <w:noProof/>
            <w:webHidden/>
          </w:rPr>
          <w:fldChar w:fldCharType="end"/>
        </w:r>
      </w:hyperlink>
    </w:p>
    <w:p>
      <w:pPr>
        <w:pStyle w:val="TOC2"/>
      </w:pPr>
      <w:hyperlink w:anchor="_Toc300000023" w:history="1">
        <w:r>
          <w:rPr>
            <w:noProof/>
          </w:rPr>
          <w:t>10.6.</w:t>
        </w:r>
        <w:r>
          <w:rPr>
            <w:noProof/>
          </w:rPr>
          <w:tab/>
        </w:r>
        <w:r>
          <w:rPr>
            <w:noProof/>
          </w:rPr>
          <w:t xml:space="preserve">Product and tariff changes</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22</w:t>
        </w:r>
        <w:r>
          <w:rPr>
            <w:noProof/>
            <w:webHidden/>
          </w:rPr>
          <w:fldChar w:fldCharType="end"/>
        </w:r>
      </w:hyperlink>
    </w:p>
    <w:p>
      <w:pPr>
        <w:pStyle w:val="TOC1"/>
      </w:pPr>
      <w:hyperlink w:anchor="_Toc300000024" w:history="1">
        <w:r>
          <w:rPr>
            <w:noProof/>
          </w:rPr>
          <w:t>11.</w:t>
        </w:r>
        <w:r>
          <w:rPr>
            <w:noProof/>
          </w:rPr>
          <w:tab/>
        </w:r>
        <w:r>
          <w:rPr>
            <w:noProof/>
          </w:rPr>
          <w:t xml:space="preserve">Personas and their journeys</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23</w:t>
        </w:r>
        <w:r>
          <w:rPr>
            <w:noProof/>
            <w:webHidden/>
          </w:rPr>
          <w:fldChar w:fldCharType="end"/>
        </w:r>
      </w:hyperlink>
    </w:p>
    <w:p>
      <w:pPr>
        <w:pStyle w:val="TOC2"/>
      </w:pPr>
      <w:hyperlink w:anchor="_Toc300000025" w:history="1">
        <w:r>
          <w:rPr>
            <w:noProof/>
          </w:rPr>
          <w:t>11.1.</w:t>
        </w:r>
        <w:r>
          <w:rPr>
            <w:noProof/>
          </w:rPr>
          <w:tab/>
        </w:r>
        <w:r>
          <w:rPr>
            <w:noProof/>
          </w:rPr>
          <w:t xml:space="preserve">Customers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23</w:t>
        </w:r>
        <w:r>
          <w:rPr>
            <w:noProof/>
            <w:webHidden/>
          </w:rPr>
          <w:fldChar w:fldCharType="end"/>
        </w:r>
      </w:hyperlink>
    </w:p>
    <w:p>
      <w:pPr>
        <w:pStyle w:val="TOC2"/>
      </w:pPr>
      <w:hyperlink w:anchor="_Toc300000026" w:history="1">
        <w:r>
          <w:rPr>
            <w:noProof/>
          </w:rPr>
          <w:t>11.2.</w:t>
        </w:r>
        <w:r>
          <w:rPr>
            <w:noProof/>
          </w:rPr>
          <w:tab/>
        </w:r>
        <w:r>
          <w:rPr>
            <w:noProof/>
          </w:rPr>
          <w:t xml:space="preserve">Anh Minh’s renewal, before and after</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24</w:t>
        </w:r>
        <w:r>
          <w:rPr>
            <w:noProof/>
            <w:webHidden/>
          </w:rPr>
          <w:fldChar w:fldCharType="end"/>
        </w:r>
      </w:hyperlink>
    </w:p>
    <w:p>
      <w:pPr>
        <w:pStyle w:val="TOC2"/>
      </w:pPr>
      <w:hyperlink w:anchor="_Toc300000027" w:history="1">
        <w:r>
          <w:rPr>
            <w:noProof/>
          </w:rPr>
          <w:t>11.3.</w:t>
        </w:r>
        <w:r>
          <w:rPr>
            <w:noProof/>
          </w:rPr>
          <w:tab/>
        </w:r>
        <w:r>
          <w:rPr>
            <w:noProof/>
          </w:rPr>
          <w:t xml:space="preserve">Anh Tuấn’s return from lapsed</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24</w:t>
        </w:r>
        <w:r>
          <w:rPr>
            <w:noProof/>
            <w:webHidden/>
          </w:rPr>
          <w:fldChar w:fldCharType="end"/>
        </w:r>
      </w:hyperlink>
    </w:p>
    <w:p>
      <w:pPr>
        <w:pStyle w:val="TOC2"/>
      </w:pPr>
      <w:hyperlink w:anchor="_Toc300000028" w:history="1">
        <w:r>
          <w:rPr>
            <w:noProof/>
          </w:rPr>
          <w:t>11.4.</w:t>
        </w:r>
        <w:r>
          <w:rPr>
            <w:noProof/>
          </w:rPr>
          <w:tab/>
        </w:r>
        <w:r>
          <w:rPr>
            <w:noProof/>
          </w:rPr>
          <w:t xml:space="preserve">Staff and partners</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24</w:t>
        </w:r>
        <w:r>
          <w:rPr>
            <w:noProof/>
            <w:webHidden/>
          </w:rPr>
          <w:fldChar w:fldCharType="end"/>
        </w:r>
      </w:hyperlink>
    </w:p>
    <w:p>
      <w:pPr>
        <w:pStyle w:val="TOC1"/>
      </w:pPr>
      <w:hyperlink w:anchor="_Toc300000029" w:history="1">
        <w:r>
          <w:rPr>
            <w:noProof/>
          </w:rPr>
          <w:t>12.</w:t>
        </w:r>
        <w:r>
          <w:rPr>
            <w:noProof/>
          </w:rPr>
          <w:tab/>
        </w:r>
        <w:r>
          <w:rPr>
            <w:noProof/>
          </w:rPr>
          <w:t xml:space="preserve">User stories</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25</w:t>
        </w:r>
        <w:r>
          <w:rPr>
            <w:noProof/>
            <w:webHidden/>
          </w:rPr>
          <w:fldChar w:fldCharType="end"/>
        </w:r>
      </w:hyperlink>
    </w:p>
    <w:p>
      <w:pPr>
        <w:pStyle w:val="TOC1"/>
      </w:pPr>
      <w:hyperlink w:anchor="_Toc300000030" w:history="1">
        <w:r>
          <w:rPr>
            <w:noProof/>
          </w:rPr>
          <w:t>13.</w:t>
        </w:r>
        <w:r>
          <w:rPr>
            <w:noProof/>
          </w:rPr>
          <w:tab/>
        </w:r>
        <w:r>
          <w:rPr>
            <w:noProof/>
          </w:rPr>
          <w:t xml:space="preserve">The product in use</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26</w:t>
        </w:r>
        <w:r>
          <w:rPr>
            <w:noProof/>
            <w:webHidden/>
          </w:rPr>
          <w:fldChar w:fldCharType="end"/>
        </w:r>
      </w:hyperlink>
    </w:p>
    <w:p>
      <w:pPr>
        <w:pStyle w:val="TOC2"/>
      </w:pPr>
      <w:hyperlink w:anchor="_Toc300000031" w:history="1">
        <w:r>
          <w:rPr>
            <w:noProof/>
          </w:rPr>
          <w:t>13.1.</w:t>
        </w:r>
        <w:r>
          <w:rPr>
            <w:noProof/>
          </w:rPr>
          <w:tab/>
        </w:r>
        <w:r>
          <w:rPr>
            <w:noProof/>
          </w:rPr>
          <w:t xml:space="preserve">The driver’s experience</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26</w:t>
        </w:r>
        <w:r>
          <w:rPr>
            <w:noProof/>
            <w:webHidden/>
          </w:rPr>
          <w:fldChar w:fldCharType="end"/>
        </w:r>
      </w:hyperlink>
    </w:p>
    <w:p>
      <w:pPr>
        <w:pStyle w:val="TOC2"/>
      </w:pPr>
      <w:hyperlink w:anchor="_Toc300000032" w:history="1">
        <w:r>
          <w:rPr>
            <w:noProof/>
          </w:rPr>
          <w:t>13.2.</w:t>
        </w:r>
        <w:r>
          <w:rPr>
            <w:noProof/>
          </w:rPr>
          <w:tab/>
        </w:r>
        <w:r>
          <w:rPr>
            <w:noProof/>
          </w:rPr>
          <w:t xml:space="preserve">Telesales: fewer calls, better calls</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28</w:t>
        </w:r>
        <w:r>
          <w:rPr>
            <w:noProof/>
            <w:webHidden/>
          </w:rPr>
          <w:fldChar w:fldCharType="end"/>
        </w:r>
      </w:hyperlink>
    </w:p>
    <w:p>
      <w:pPr>
        <w:pStyle w:val="TOC2"/>
      </w:pPr>
      <w:hyperlink w:anchor="_Toc300000033" w:history="1">
        <w:r>
          <w:rPr>
            <w:noProof/>
          </w:rPr>
          <w:t>13.3.</w:t>
        </w:r>
        <w:r>
          <w:rPr>
            <w:noProof/>
          </w:rPr>
          <w:tab/>
        </w:r>
        <w:r>
          <w:rPr>
            <w:noProof/>
          </w:rPr>
          <w:t xml:space="preserve">Management: growth at a glance</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31</w:t>
        </w:r>
        <w:r>
          <w:rPr>
            <w:noProof/>
            <w:webHidden/>
          </w:rPr>
          <w:fldChar w:fldCharType="end"/>
        </w:r>
      </w:hyperlink>
    </w:p>
    <w:p>
      <w:pPr>
        <w:pStyle w:val="TOC2"/>
      </w:pPr>
      <w:hyperlink w:anchor="_Toc300000034" w:history="1">
        <w:r>
          <w:rPr>
            <w:noProof/>
          </w:rPr>
          <w:t>13.4.</w:t>
        </w:r>
        <w:r>
          <w:rPr>
            <w:noProof/>
          </w:rPr>
          <w:tab/>
        </w:r>
        <w:r>
          <w:rPr>
            <w:noProof/>
          </w:rPr>
          <w:t xml:space="preserve">Governance: change safely, prove everything</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33</w:t>
        </w:r>
        <w:r>
          <w:rPr>
            <w:noProof/>
            <w:webHidden/>
          </w:rPr>
          <w:fldChar w:fldCharType="end"/>
        </w:r>
      </w:hyperlink>
    </w:p>
    <w:p>
      <w:pPr>
        <w:pStyle w:val="TOC2"/>
      </w:pPr>
      <w:hyperlink w:anchor="_Toc300000035" w:history="1">
        <w:r>
          <w:rPr>
            <w:noProof/>
          </w:rPr>
          <w:t>13.5.</w:t>
        </w:r>
        <w:r>
          <w:rPr>
            <w:noProof/>
          </w:rPr>
          <w:tab/>
        </w:r>
        <w:r>
          <w:rPr>
            <w:noProof/>
          </w:rPr>
          <w:t xml:space="preserve">Data, claims, partners and operations</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35</w:t>
        </w:r>
        <w:r>
          <w:rPr>
            <w:noProof/>
            <w:webHidden/>
          </w:rPr>
          <w:fldChar w:fldCharType="end"/>
        </w:r>
      </w:hyperlink>
    </w:p>
    <w:p>
      <w:pPr>
        <w:pStyle w:val="TOC1"/>
      </w:pPr>
      <w:hyperlink w:anchor="_Toc300000036" w:history="1">
        <w:r>
          <w:rPr>
            <w:noProof/>
          </w:rPr>
          <w:t>14.</w:t>
        </w:r>
        <w:r>
          <w:rPr>
            <w:noProof/>
          </w:rPr>
          <w:tab/>
        </w:r>
        <w:r>
          <w:rPr>
            <w:noProof/>
          </w:rPr>
          <w:t xml:space="preserve">Architecture</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38</w:t>
        </w:r>
        <w:r>
          <w:rPr>
            <w:noProof/>
            <w:webHidden/>
          </w:rPr>
          <w:fldChar w:fldCharType="end"/>
        </w:r>
      </w:hyperlink>
    </w:p>
    <w:p>
      <w:pPr>
        <w:pStyle w:val="TOC2"/>
      </w:pPr>
      <w:hyperlink w:anchor="_Toc300000037" w:history="1">
        <w:r>
          <w:rPr>
            <w:noProof/>
          </w:rPr>
          <w:t>14.1.</w:t>
        </w:r>
        <w:r>
          <w:rPr>
            <w:noProof/>
          </w:rPr>
          <w:tab/>
        </w:r>
        <w:r>
          <w:rPr>
            <w:noProof/>
          </w:rPr>
          <w:t xml:space="preserve">Principles</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38</w:t>
        </w:r>
        <w:r>
          <w:rPr>
            <w:noProof/>
            <w:webHidden/>
          </w:rPr>
          <w:fldChar w:fldCharType="end"/>
        </w:r>
      </w:hyperlink>
    </w:p>
    <w:p>
      <w:pPr>
        <w:pStyle w:val="TOC2"/>
      </w:pPr>
      <w:hyperlink w:anchor="_Toc300000038" w:history="1">
        <w:r>
          <w:rPr>
            <w:noProof/>
          </w:rPr>
          <w:t>14.2.</w:t>
        </w:r>
        <w:r>
          <w:rPr>
            <w:noProof/>
          </w:rPr>
          <w:tab/>
        </w:r>
        <w:r>
          <w:rPr>
            <w:noProof/>
          </w:rPr>
          <w:t xml:space="preserve">Functional architecture</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39</w:t>
        </w:r>
        <w:r>
          <w:rPr>
            <w:noProof/>
            <w:webHidden/>
          </w:rPr>
          <w:fldChar w:fldCharType="end"/>
        </w:r>
      </w:hyperlink>
    </w:p>
    <w:p>
      <w:pPr>
        <w:pStyle w:val="TOC2"/>
      </w:pPr>
      <w:hyperlink w:anchor="_Toc300000039" w:history="1">
        <w:r>
          <w:rPr>
            <w:noProof/>
          </w:rPr>
          <w:t>14.3.</w:t>
        </w:r>
        <w:r>
          <w:rPr>
            <w:noProof/>
          </w:rPr>
          <w:tab/>
        </w:r>
        <w:r>
          <w:rPr>
            <w:noProof/>
          </w:rPr>
          <w:t xml:space="preserve">Technical architecture</w:t>
        </w:r>
        <w:r>
          <w:rPr>
            <w:noProof/>
            <w:webHidden/>
          </w:rPr>
          <w:tab/>
        </w:r>
        <w:r>
          <w:rPr>
            <w:noProof/>
            <w:webHidden/>
          </w:rPr>
          <w:fldChar w:fldCharType="begin"/>
        </w:r>
        <w:r>
          <w:rPr>
            <w:noProof/>
            <w:webHidden/>
          </w:rPr>
          <w:instrText xml:space="preserve"> PAGEREF _Toc300000039 \h </w:instrText>
        </w:r>
        <w:r>
          <w:rPr>
            <w:noProof/>
            <w:webHidden/>
          </w:rPr>
          <w:fldChar w:fldCharType="separate"/>
        </w:r>
        <w:r>
          <w:rPr>
            <w:noProof/>
            <w:webHidden/>
          </w:rPr>
          <w:t>39</w:t>
        </w:r>
        <w:r>
          <w:rPr>
            <w:noProof/>
            <w:webHidden/>
          </w:rPr>
          <w:fldChar w:fldCharType="end"/>
        </w:r>
      </w:hyperlink>
    </w:p>
    <w:p>
      <w:pPr>
        <w:pStyle w:val="TOC1"/>
      </w:pPr>
      <w:hyperlink w:anchor="_Toc300000040" w:history="1">
        <w:r>
          <w:rPr>
            <w:noProof/>
          </w:rPr>
          <w:t>15.</w:t>
        </w:r>
        <w:r>
          <w:rPr>
            <w:noProof/>
          </w:rPr>
          <w:tab/>
        </w:r>
        <w:r>
          <w:rPr>
            <w:noProof/>
          </w:rPr>
          <w:t xml:space="preserve">Integration with TASCO’s core system and VETC</w:t>
        </w:r>
        <w:r>
          <w:rPr>
            <w:noProof/>
            <w:webHidden/>
          </w:rPr>
          <w:tab/>
        </w:r>
        <w:r>
          <w:rPr>
            <w:noProof/>
            <w:webHidden/>
          </w:rPr>
          <w:fldChar w:fldCharType="begin"/>
        </w:r>
        <w:r>
          <w:rPr>
            <w:noProof/>
            <w:webHidden/>
          </w:rPr>
          <w:instrText xml:space="preserve"> PAGEREF _Toc300000040 \h </w:instrText>
        </w:r>
        <w:r>
          <w:rPr>
            <w:noProof/>
            <w:webHidden/>
          </w:rPr>
          <w:fldChar w:fldCharType="separate"/>
        </w:r>
        <w:r>
          <w:rPr>
            <w:noProof/>
            <w:webHidden/>
          </w:rPr>
          <w:t>40</w:t>
        </w:r>
        <w:r>
          <w:rPr>
            <w:noProof/>
            <w:webHidden/>
          </w:rPr>
          <w:fldChar w:fldCharType="end"/>
        </w:r>
      </w:hyperlink>
    </w:p>
    <w:p>
      <w:pPr>
        <w:pStyle w:val="TOC2"/>
      </w:pPr>
      <w:hyperlink w:anchor="_Toc300000041" w:history="1">
        <w:r>
          <w:rPr>
            <w:noProof/>
          </w:rPr>
          <w:t>15.1.</w:t>
        </w:r>
        <w:r>
          <w:rPr>
            <w:noProof/>
          </w:rPr>
          <w:tab/>
        </w:r>
        <w:r>
          <w:rPr>
            <w:noProof/>
          </w:rPr>
          <w:t xml:space="preserve">TASCO core: the most important integration</w:t>
        </w:r>
        <w:r>
          <w:rPr>
            <w:noProof/>
            <w:webHidden/>
          </w:rPr>
          <w:tab/>
        </w:r>
        <w:r>
          <w:rPr>
            <w:noProof/>
            <w:webHidden/>
          </w:rPr>
          <w:fldChar w:fldCharType="begin"/>
        </w:r>
        <w:r>
          <w:rPr>
            <w:noProof/>
            <w:webHidden/>
          </w:rPr>
          <w:instrText xml:space="preserve"> PAGEREF _Toc300000041 \h </w:instrText>
        </w:r>
        <w:r>
          <w:rPr>
            <w:noProof/>
            <w:webHidden/>
          </w:rPr>
          <w:fldChar w:fldCharType="separate"/>
        </w:r>
        <w:r>
          <w:rPr>
            <w:noProof/>
            <w:webHidden/>
          </w:rPr>
          <w:t>40</w:t>
        </w:r>
        <w:r>
          <w:rPr>
            <w:noProof/>
            <w:webHidden/>
          </w:rPr>
          <w:fldChar w:fldCharType="end"/>
        </w:r>
      </w:hyperlink>
    </w:p>
    <w:p>
      <w:pPr>
        <w:pStyle w:val="TOC2"/>
      </w:pPr>
      <w:hyperlink w:anchor="_Toc300000042" w:history="1">
        <w:r>
          <w:rPr>
            <w:noProof/>
          </w:rPr>
          <w:t>15.2.</w:t>
        </w:r>
        <w:r>
          <w:rPr>
            <w:noProof/>
          </w:rPr>
          <w:tab/>
        </w:r>
        <w:r>
          <w:rPr>
            <w:noProof/>
          </w:rPr>
          <w:t xml:space="preserve">All integration touchpoints</w:t>
        </w:r>
        <w:r>
          <w:rPr>
            <w:noProof/>
            <w:webHidden/>
          </w:rPr>
          <w:tab/>
        </w:r>
        <w:r>
          <w:rPr>
            <w:noProof/>
            <w:webHidden/>
          </w:rPr>
          <w:fldChar w:fldCharType="begin"/>
        </w:r>
        <w:r>
          <w:rPr>
            <w:noProof/>
            <w:webHidden/>
          </w:rPr>
          <w:instrText xml:space="preserve"> PAGEREF _Toc300000042 \h </w:instrText>
        </w:r>
        <w:r>
          <w:rPr>
            <w:noProof/>
            <w:webHidden/>
          </w:rPr>
          <w:fldChar w:fldCharType="separate"/>
        </w:r>
        <w:r>
          <w:rPr>
            <w:noProof/>
            <w:webHidden/>
          </w:rPr>
          <w:t>42</w:t>
        </w:r>
        <w:r>
          <w:rPr>
            <w:noProof/>
            <w:webHidden/>
          </w:rPr>
          <w:fldChar w:fldCharType="end"/>
        </w:r>
      </w:hyperlink>
    </w:p>
    <w:p>
      <w:pPr>
        <w:pStyle w:val="TOC2"/>
      </w:pPr>
      <w:hyperlink w:anchor="_Toc300000043" w:history="1">
        <w:r>
          <w:rPr>
            <w:noProof/>
          </w:rPr>
          <w:t>15.3.</w:t>
        </w:r>
        <w:r>
          <w:rPr>
            <w:noProof/>
          </w:rPr>
          <w:tab/>
        </w:r>
        <w:r>
          <w:rPr>
            <w:noProof/>
          </w:rPr>
          <w:t xml:space="preserve">Reuse of existing assets</w:t>
        </w:r>
        <w:r>
          <w:rPr>
            <w:noProof/>
            <w:webHidden/>
          </w:rPr>
          <w:tab/>
        </w:r>
        <w:r>
          <w:rPr>
            <w:noProof/>
            <w:webHidden/>
          </w:rPr>
          <w:fldChar w:fldCharType="begin"/>
        </w:r>
        <w:r>
          <w:rPr>
            <w:noProof/>
            <w:webHidden/>
          </w:rPr>
          <w:instrText xml:space="preserve"> PAGEREF _Toc300000043 \h </w:instrText>
        </w:r>
        <w:r>
          <w:rPr>
            <w:noProof/>
            <w:webHidden/>
          </w:rPr>
          <w:fldChar w:fldCharType="separate"/>
        </w:r>
        <w:r>
          <w:rPr>
            <w:noProof/>
            <w:webHidden/>
          </w:rPr>
          <w:t>43</w:t>
        </w:r>
        <w:r>
          <w:rPr>
            <w:noProof/>
            <w:webHidden/>
          </w:rPr>
          <w:fldChar w:fldCharType="end"/>
        </w:r>
      </w:hyperlink>
    </w:p>
    <w:p>
      <w:pPr>
        <w:pStyle w:val="TOC2"/>
      </w:pPr>
      <w:hyperlink w:anchor="_Toc300000044" w:history="1">
        <w:r>
          <w:rPr>
            <w:noProof/>
          </w:rPr>
          <w:t>15.4.</w:t>
        </w:r>
        <w:r>
          <w:rPr>
            <w:noProof/>
          </w:rPr>
          <w:tab/>
        </w:r>
        <w:r>
          <w:rPr>
            <w:noProof/>
          </w:rPr>
          <w:t xml:space="preserve">Integration standards</w:t>
        </w:r>
        <w:r>
          <w:rPr>
            <w:noProof/>
            <w:webHidden/>
          </w:rPr>
          <w:tab/>
        </w:r>
        <w:r>
          <w:rPr>
            <w:noProof/>
            <w:webHidden/>
          </w:rPr>
          <w:fldChar w:fldCharType="begin"/>
        </w:r>
        <w:r>
          <w:rPr>
            <w:noProof/>
            <w:webHidden/>
          </w:rPr>
          <w:instrText xml:space="preserve"> PAGEREF _Toc300000044 \h </w:instrText>
        </w:r>
        <w:r>
          <w:rPr>
            <w:noProof/>
            <w:webHidden/>
          </w:rPr>
          <w:fldChar w:fldCharType="separate"/>
        </w:r>
        <w:r>
          <w:rPr>
            <w:noProof/>
            <w:webHidden/>
          </w:rPr>
          <w:t>45</w:t>
        </w:r>
        <w:r>
          <w:rPr>
            <w:noProof/>
            <w:webHidden/>
          </w:rPr>
          <w:fldChar w:fldCharType="end"/>
        </w:r>
      </w:hyperlink>
    </w:p>
    <w:p>
      <w:pPr>
        <w:pStyle w:val="TOC1"/>
      </w:pPr>
      <w:hyperlink w:anchor="_Toc300000045" w:history="1">
        <w:r>
          <w:rPr>
            <w:noProof/>
          </w:rPr>
          <w:t>16.</w:t>
        </w:r>
        <w:r>
          <w:rPr>
            <w:noProof/>
          </w:rPr>
          <w:tab/>
        </w:r>
        <w:r>
          <w:rPr>
            <w:noProof/>
          </w:rPr>
          <w:t xml:space="preserve">Deployment and infrastructure</w:t>
        </w:r>
        <w:r>
          <w:rPr>
            <w:noProof/>
            <w:webHidden/>
          </w:rPr>
          <w:tab/>
        </w:r>
        <w:r>
          <w:rPr>
            <w:noProof/>
            <w:webHidden/>
          </w:rPr>
          <w:fldChar w:fldCharType="begin"/>
        </w:r>
        <w:r>
          <w:rPr>
            <w:noProof/>
            <w:webHidden/>
          </w:rPr>
          <w:instrText xml:space="preserve"> PAGEREF _Toc300000045 \h </w:instrText>
        </w:r>
        <w:r>
          <w:rPr>
            <w:noProof/>
            <w:webHidden/>
          </w:rPr>
          <w:fldChar w:fldCharType="separate"/>
        </w:r>
        <w:r>
          <w:rPr>
            <w:noProof/>
            <w:webHidden/>
          </w:rPr>
          <w:t>45</w:t>
        </w:r>
        <w:r>
          <w:rPr>
            <w:noProof/>
            <w:webHidden/>
          </w:rPr>
          <w:fldChar w:fldCharType="end"/>
        </w:r>
      </w:hyperlink>
    </w:p>
    <w:p>
      <w:pPr>
        <w:pStyle w:val="TOC2"/>
      </w:pPr>
      <w:hyperlink w:anchor="_Toc300000046" w:history="1">
        <w:r>
          <w:rPr>
            <w:noProof/>
          </w:rPr>
          <w:t>16.1.</w:t>
        </w:r>
        <w:r>
          <w:rPr>
            <w:noProof/>
          </w:rPr>
          <w:tab/>
        </w:r>
        <w:r>
          <w:rPr>
            <w:noProof/>
          </w:rPr>
          <w:t xml:space="preserve">Hosting</w:t>
        </w:r>
        <w:r>
          <w:rPr>
            <w:noProof/>
            <w:webHidden/>
          </w:rPr>
          <w:tab/>
        </w:r>
        <w:r>
          <w:rPr>
            <w:noProof/>
            <w:webHidden/>
          </w:rPr>
          <w:fldChar w:fldCharType="begin"/>
        </w:r>
        <w:r>
          <w:rPr>
            <w:noProof/>
            <w:webHidden/>
          </w:rPr>
          <w:instrText xml:space="preserve"> PAGEREF _Toc300000046 \h </w:instrText>
        </w:r>
        <w:r>
          <w:rPr>
            <w:noProof/>
            <w:webHidden/>
          </w:rPr>
          <w:fldChar w:fldCharType="separate"/>
        </w:r>
        <w:r>
          <w:rPr>
            <w:noProof/>
            <w:webHidden/>
          </w:rPr>
          <w:t>45</w:t>
        </w:r>
        <w:r>
          <w:rPr>
            <w:noProof/>
            <w:webHidden/>
          </w:rPr>
          <w:fldChar w:fldCharType="end"/>
        </w:r>
      </w:hyperlink>
    </w:p>
    <w:p>
      <w:pPr>
        <w:pStyle w:val="TOC2"/>
      </w:pPr>
      <w:hyperlink w:anchor="_Toc300000047" w:history="1">
        <w:r>
          <w:rPr>
            <w:noProof/>
          </w:rPr>
          <w:t>16.2.</w:t>
        </w:r>
        <w:r>
          <w:rPr>
            <w:noProof/>
          </w:rPr>
          <w:tab/>
        </w:r>
        <w:r>
          <w:rPr>
            <w:noProof/>
          </w:rPr>
          <w:t xml:space="preserve">Environments</w:t>
        </w:r>
        <w:r>
          <w:rPr>
            <w:noProof/>
            <w:webHidden/>
          </w:rPr>
          <w:tab/>
        </w:r>
        <w:r>
          <w:rPr>
            <w:noProof/>
            <w:webHidden/>
          </w:rPr>
          <w:fldChar w:fldCharType="begin"/>
        </w:r>
        <w:r>
          <w:rPr>
            <w:noProof/>
            <w:webHidden/>
          </w:rPr>
          <w:instrText xml:space="preserve"> PAGEREF _Toc300000047 \h </w:instrText>
        </w:r>
        <w:r>
          <w:rPr>
            <w:noProof/>
            <w:webHidden/>
          </w:rPr>
          <w:fldChar w:fldCharType="separate"/>
        </w:r>
        <w:r>
          <w:rPr>
            <w:noProof/>
            <w:webHidden/>
          </w:rPr>
          <w:t>46</w:t>
        </w:r>
        <w:r>
          <w:rPr>
            <w:noProof/>
            <w:webHidden/>
          </w:rPr>
          <w:fldChar w:fldCharType="end"/>
        </w:r>
      </w:hyperlink>
    </w:p>
    <w:p>
      <w:pPr>
        <w:pStyle w:val="TOC2"/>
      </w:pPr>
      <w:hyperlink w:anchor="_Toc300000048" w:history="1">
        <w:r>
          <w:rPr>
            <w:noProof/>
          </w:rPr>
          <w:t>16.3.</w:t>
        </w:r>
        <w:r>
          <w:rPr>
            <w:noProof/>
          </w:rPr>
          <w:tab/>
        </w:r>
        <w:r>
          <w:rPr>
            <w:noProof/>
          </w:rPr>
          <w:t xml:space="preserve">Resilience and recovery</w:t>
        </w:r>
        <w:r>
          <w:rPr>
            <w:noProof/>
            <w:webHidden/>
          </w:rPr>
          <w:tab/>
        </w:r>
        <w:r>
          <w:rPr>
            <w:noProof/>
            <w:webHidden/>
          </w:rPr>
          <w:fldChar w:fldCharType="begin"/>
        </w:r>
        <w:r>
          <w:rPr>
            <w:noProof/>
            <w:webHidden/>
          </w:rPr>
          <w:instrText xml:space="preserve"> PAGEREF _Toc300000048 \h </w:instrText>
        </w:r>
        <w:r>
          <w:rPr>
            <w:noProof/>
            <w:webHidden/>
          </w:rPr>
          <w:fldChar w:fldCharType="separate"/>
        </w:r>
        <w:r>
          <w:rPr>
            <w:noProof/>
            <w:webHidden/>
          </w:rPr>
          <w:t>47</w:t>
        </w:r>
        <w:r>
          <w:rPr>
            <w:noProof/>
            <w:webHidden/>
          </w:rPr>
          <w:fldChar w:fldCharType="end"/>
        </w:r>
      </w:hyperlink>
    </w:p>
    <w:p>
      <w:pPr>
        <w:pStyle w:val="TOC1"/>
      </w:pPr>
      <w:hyperlink w:anchor="_Toc300000049" w:history="1">
        <w:r>
          <w:rPr>
            <w:noProof/>
          </w:rPr>
          <w:t>17.</w:t>
        </w:r>
        <w:r>
          <w:rPr>
            <w:noProof/>
          </w:rPr>
          <w:tab/>
        </w:r>
        <w:r>
          <w:rPr>
            <w:noProof/>
          </w:rPr>
          <w:t xml:space="preserve">Security and privacy</w:t>
        </w:r>
        <w:r>
          <w:rPr>
            <w:noProof/>
            <w:webHidden/>
          </w:rPr>
          <w:tab/>
        </w:r>
        <w:r>
          <w:rPr>
            <w:noProof/>
            <w:webHidden/>
          </w:rPr>
          <w:fldChar w:fldCharType="begin"/>
        </w:r>
        <w:r>
          <w:rPr>
            <w:noProof/>
            <w:webHidden/>
          </w:rPr>
          <w:instrText xml:space="preserve"> PAGEREF _Toc300000049 \h </w:instrText>
        </w:r>
        <w:r>
          <w:rPr>
            <w:noProof/>
            <w:webHidden/>
          </w:rPr>
          <w:fldChar w:fldCharType="separate"/>
        </w:r>
        <w:r>
          <w:rPr>
            <w:noProof/>
            <w:webHidden/>
          </w:rPr>
          <w:t>47</w:t>
        </w:r>
        <w:r>
          <w:rPr>
            <w:noProof/>
            <w:webHidden/>
          </w:rPr>
          <w:fldChar w:fldCharType="end"/>
        </w:r>
      </w:hyperlink>
    </w:p>
    <w:p>
      <w:pPr>
        <w:pStyle w:val="TOC1"/>
      </w:pPr>
      <w:hyperlink w:anchor="_Toc300000050" w:history="1">
        <w:r>
          <w:rPr>
            <w:noProof/>
          </w:rPr>
          <w:t>18.</w:t>
        </w:r>
        <w:r>
          <w:rPr>
            <w:noProof/>
          </w:rPr>
          <w:tab/>
        </w:r>
        <w:r>
          <w:rPr>
            <w:noProof/>
          </w:rPr>
          <w:t xml:space="preserve">Scalability and performance</w:t>
        </w:r>
        <w:r>
          <w:rPr>
            <w:noProof/>
            <w:webHidden/>
          </w:rPr>
          <w:tab/>
        </w:r>
        <w:r>
          <w:rPr>
            <w:noProof/>
            <w:webHidden/>
          </w:rPr>
          <w:fldChar w:fldCharType="begin"/>
        </w:r>
        <w:r>
          <w:rPr>
            <w:noProof/>
            <w:webHidden/>
          </w:rPr>
          <w:instrText xml:space="preserve"> PAGEREF _Toc300000050 \h </w:instrText>
        </w:r>
        <w:r>
          <w:rPr>
            <w:noProof/>
            <w:webHidden/>
          </w:rPr>
          <w:fldChar w:fldCharType="separate"/>
        </w:r>
        <w:r>
          <w:rPr>
            <w:noProof/>
            <w:webHidden/>
          </w:rPr>
          <w:t>47</w:t>
        </w:r>
        <w:r>
          <w:rPr>
            <w:noProof/>
            <w:webHidden/>
          </w:rPr>
          <w:fldChar w:fldCharType="end"/>
        </w:r>
      </w:hyperlink>
    </w:p>
    <w:p>
      <w:pPr>
        <w:pStyle w:val="TOC1"/>
      </w:pPr>
      <w:hyperlink w:anchor="_Toc300000051" w:history="1">
        <w:r>
          <w:rPr>
            <w:noProof/>
          </w:rPr>
          <w:t>19.</w:t>
        </w:r>
        <w:r>
          <w:rPr>
            <w:noProof/>
          </w:rPr>
          <w:tab/>
        </w:r>
        <w:r>
          <w:rPr>
            <w:noProof/>
          </w:rPr>
          <w:t xml:space="preserve">Implementation approach</w:t>
        </w:r>
        <w:r>
          <w:rPr>
            <w:noProof/>
            <w:webHidden/>
          </w:rPr>
          <w:tab/>
        </w:r>
        <w:r>
          <w:rPr>
            <w:noProof/>
            <w:webHidden/>
          </w:rPr>
          <w:fldChar w:fldCharType="begin"/>
        </w:r>
        <w:r>
          <w:rPr>
            <w:noProof/>
            <w:webHidden/>
          </w:rPr>
          <w:instrText xml:space="preserve"> PAGEREF _Toc300000051 \h </w:instrText>
        </w:r>
        <w:r>
          <w:rPr>
            <w:noProof/>
            <w:webHidden/>
          </w:rPr>
          <w:fldChar w:fldCharType="separate"/>
        </w:r>
        <w:r>
          <w:rPr>
            <w:noProof/>
            <w:webHidden/>
          </w:rPr>
          <w:t>48</w:t>
        </w:r>
        <w:r>
          <w:rPr>
            <w:noProof/>
            <w:webHidden/>
          </w:rPr>
          <w:fldChar w:fldCharType="end"/>
        </w:r>
      </w:hyperlink>
    </w:p>
    <w:p>
      <w:pPr>
        <w:pStyle w:val="TOC2"/>
      </w:pPr>
      <w:hyperlink w:anchor="_Toc300000052" w:history="1">
        <w:r>
          <w:rPr>
            <w:noProof/>
          </w:rPr>
          <w:t>19.1.</w:t>
        </w:r>
        <w:r>
          <w:rPr>
            <w:noProof/>
          </w:rPr>
          <w:tab/>
        </w:r>
        <w:r>
          <w:rPr>
            <w:noProof/>
          </w:rPr>
          <w:t xml:space="preserve">How we will work</w:t>
        </w:r>
        <w:r>
          <w:rPr>
            <w:noProof/>
            <w:webHidden/>
          </w:rPr>
          <w:tab/>
        </w:r>
        <w:r>
          <w:rPr>
            <w:noProof/>
            <w:webHidden/>
          </w:rPr>
          <w:fldChar w:fldCharType="begin"/>
        </w:r>
        <w:r>
          <w:rPr>
            <w:noProof/>
            <w:webHidden/>
          </w:rPr>
          <w:instrText xml:space="preserve"> PAGEREF _Toc300000052 \h </w:instrText>
        </w:r>
        <w:r>
          <w:rPr>
            <w:noProof/>
            <w:webHidden/>
          </w:rPr>
          <w:fldChar w:fldCharType="separate"/>
        </w:r>
        <w:r>
          <w:rPr>
            <w:noProof/>
            <w:webHidden/>
          </w:rPr>
          <w:t>48</w:t>
        </w:r>
        <w:r>
          <w:rPr>
            <w:noProof/>
            <w:webHidden/>
          </w:rPr>
          <w:fldChar w:fldCharType="end"/>
        </w:r>
      </w:hyperlink>
    </w:p>
    <w:p>
      <w:pPr>
        <w:pStyle w:val="TOC2"/>
      </w:pPr>
      <w:hyperlink w:anchor="_Toc300000053" w:history="1">
        <w:r>
          <w:rPr>
            <w:noProof/>
          </w:rPr>
          <w:t>19.2.</w:t>
        </w:r>
        <w:r>
          <w:rPr>
            <w:noProof/>
          </w:rPr>
          <w:tab/>
        </w:r>
        <w:r>
          <w:rPr>
            <w:noProof/>
          </w:rPr>
          <w:t xml:space="preserve">MVP scope</w:t>
        </w:r>
        <w:r>
          <w:rPr>
            <w:noProof/>
            <w:webHidden/>
          </w:rPr>
          <w:tab/>
        </w:r>
        <w:r>
          <w:rPr>
            <w:noProof/>
            <w:webHidden/>
          </w:rPr>
          <w:fldChar w:fldCharType="begin"/>
        </w:r>
        <w:r>
          <w:rPr>
            <w:noProof/>
            <w:webHidden/>
          </w:rPr>
          <w:instrText xml:space="preserve"> PAGEREF _Toc300000053 \h </w:instrText>
        </w:r>
        <w:r>
          <w:rPr>
            <w:noProof/>
            <w:webHidden/>
          </w:rPr>
          <w:fldChar w:fldCharType="separate"/>
        </w:r>
        <w:r>
          <w:rPr>
            <w:noProof/>
            <w:webHidden/>
          </w:rPr>
          <w:t>48</w:t>
        </w:r>
        <w:r>
          <w:rPr>
            <w:noProof/>
            <w:webHidden/>
          </w:rPr>
          <w:fldChar w:fldCharType="end"/>
        </w:r>
      </w:hyperlink>
    </w:p>
    <w:p>
      <w:pPr>
        <w:pStyle w:val="TOC1"/>
      </w:pPr>
      <w:hyperlink w:anchor="_Toc300000054" w:history="1">
        <w:r>
          <w:rPr>
            <w:noProof/>
          </w:rPr>
          <w:t>20.</w:t>
        </w:r>
        <w:r>
          <w:rPr>
            <w:noProof/>
          </w:rPr>
          <w:tab/>
        </w:r>
        <w:r>
          <w:rPr>
            <w:noProof/>
          </w:rPr>
          <w:t xml:space="preserve">Timeline</w:t>
        </w:r>
        <w:r>
          <w:rPr>
            <w:noProof/>
            <w:webHidden/>
          </w:rPr>
          <w:tab/>
        </w:r>
        <w:r>
          <w:rPr>
            <w:noProof/>
            <w:webHidden/>
          </w:rPr>
          <w:fldChar w:fldCharType="begin"/>
        </w:r>
        <w:r>
          <w:rPr>
            <w:noProof/>
            <w:webHidden/>
          </w:rPr>
          <w:instrText xml:space="preserve"> PAGEREF _Toc300000054 \h </w:instrText>
        </w:r>
        <w:r>
          <w:rPr>
            <w:noProof/>
            <w:webHidden/>
          </w:rPr>
          <w:fldChar w:fldCharType="separate"/>
        </w:r>
        <w:r>
          <w:rPr>
            <w:noProof/>
            <w:webHidden/>
          </w:rPr>
          <w:t>49</w:t>
        </w:r>
        <w:r>
          <w:rPr>
            <w:noProof/>
            <w:webHidden/>
          </w:rPr>
          <w:fldChar w:fldCharType="end"/>
        </w:r>
      </w:hyperlink>
    </w:p>
    <w:p>
      <w:pPr>
        <w:pStyle w:val="TOC1"/>
      </w:pPr>
      <w:hyperlink w:anchor="_Toc300000055" w:history="1">
        <w:r>
          <w:rPr>
            <w:noProof/>
          </w:rPr>
          <w:t>21.</w:t>
        </w:r>
        <w:r>
          <w:rPr>
            <w:noProof/>
          </w:rPr>
          <w:tab/>
        </w:r>
        <w:r>
          <w:rPr>
            <w:noProof/>
          </w:rPr>
          <w:t xml:space="preserve">Strategy for adoption and roll-out</w:t>
        </w:r>
        <w:r>
          <w:rPr>
            <w:noProof/>
            <w:webHidden/>
          </w:rPr>
          <w:tab/>
        </w:r>
        <w:r>
          <w:rPr>
            <w:noProof/>
            <w:webHidden/>
          </w:rPr>
          <w:fldChar w:fldCharType="begin"/>
        </w:r>
        <w:r>
          <w:rPr>
            <w:noProof/>
            <w:webHidden/>
          </w:rPr>
          <w:instrText xml:space="preserve"> PAGEREF _Toc300000055 \h </w:instrText>
        </w:r>
        <w:r>
          <w:rPr>
            <w:noProof/>
            <w:webHidden/>
          </w:rPr>
          <w:fldChar w:fldCharType="separate"/>
        </w:r>
        <w:r>
          <w:rPr>
            <w:noProof/>
            <w:webHidden/>
          </w:rPr>
          <w:t>51</w:t>
        </w:r>
        <w:r>
          <w:rPr>
            <w:noProof/>
            <w:webHidden/>
          </w:rPr>
          <w:fldChar w:fldCharType="end"/>
        </w:r>
      </w:hyperlink>
    </w:p>
    <w:p>
      <w:pPr>
        <w:pStyle w:val="TOC1"/>
      </w:pPr>
      <w:hyperlink w:anchor="_Toc300000056" w:history="1">
        <w:r>
          <w:rPr>
            <w:noProof/>
          </w:rPr>
          <w:t>22.</w:t>
        </w:r>
        <w:r>
          <w:rPr>
            <w:noProof/>
          </w:rPr>
          <w:tab/>
        </w:r>
        <w:r>
          <w:rPr>
            <w:noProof/>
          </w:rPr>
          <w:t xml:space="preserve">Training and change management</w:t>
        </w:r>
        <w:r>
          <w:rPr>
            <w:noProof/>
            <w:webHidden/>
          </w:rPr>
          <w:tab/>
        </w:r>
        <w:r>
          <w:rPr>
            <w:noProof/>
            <w:webHidden/>
          </w:rPr>
          <w:fldChar w:fldCharType="begin"/>
        </w:r>
        <w:r>
          <w:rPr>
            <w:noProof/>
            <w:webHidden/>
          </w:rPr>
          <w:instrText xml:space="preserve"> PAGEREF _Toc300000056 \h </w:instrText>
        </w:r>
        <w:r>
          <w:rPr>
            <w:noProof/>
            <w:webHidden/>
          </w:rPr>
          <w:fldChar w:fldCharType="separate"/>
        </w:r>
        <w:r>
          <w:rPr>
            <w:noProof/>
            <w:webHidden/>
          </w:rPr>
          <w:t>52</w:t>
        </w:r>
        <w:r>
          <w:rPr>
            <w:noProof/>
            <w:webHidden/>
          </w:rPr>
          <w:fldChar w:fldCharType="end"/>
        </w:r>
      </w:hyperlink>
    </w:p>
    <w:p>
      <w:pPr>
        <w:pStyle w:val="TOC1"/>
      </w:pPr>
      <w:hyperlink w:anchor="_Toc300000057" w:history="1">
        <w:r>
          <w:rPr>
            <w:noProof/>
          </w:rPr>
          <w:t>23.</w:t>
        </w:r>
        <w:r>
          <w:rPr>
            <w:noProof/>
          </w:rPr>
          <w:tab/>
        </w:r>
        <w:r>
          <w:rPr>
            <w:noProof/>
          </w:rPr>
          <w:t xml:space="preserve">Testing and quality assurance</w:t>
        </w:r>
        <w:r>
          <w:rPr>
            <w:noProof/>
            <w:webHidden/>
          </w:rPr>
          <w:tab/>
        </w:r>
        <w:r>
          <w:rPr>
            <w:noProof/>
            <w:webHidden/>
          </w:rPr>
          <w:fldChar w:fldCharType="begin"/>
        </w:r>
        <w:r>
          <w:rPr>
            <w:noProof/>
            <w:webHidden/>
          </w:rPr>
          <w:instrText xml:space="preserve"> PAGEREF _Toc300000057 \h </w:instrText>
        </w:r>
        <w:r>
          <w:rPr>
            <w:noProof/>
            <w:webHidden/>
          </w:rPr>
          <w:fldChar w:fldCharType="separate"/>
        </w:r>
        <w:r>
          <w:rPr>
            <w:noProof/>
            <w:webHidden/>
          </w:rPr>
          <w:t>52</w:t>
        </w:r>
        <w:r>
          <w:rPr>
            <w:noProof/>
            <w:webHidden/>
          </w:rPr>
          <w:fldChar w:fldCharType="end"/>
        </w:r>
      </w:hyperlink>
    </w:p>
    <w:p>
      <w:pPr>
        <w:pStyle w:val="TOC1"/>
      </w:pPr>
      <w:hyperlink w:anchor="_Toc300000058" w:history="1">
        <w:r>
          <w:rPr>
            <w:noProof/>
          </w:rPr>
          <w:t>24.</w:t>
        </w:r>
        <w:r>
          <w:rPr>
            <w:noProof/>
          </w:rPr>
          <w:tab/>
        </w:r>
        <w:r>
          <w:rPr>
            <w:noProof/>
          </w:rPr>
          <w:t xml:space="preserve">Production support</w:t>
        </w:r>
        <w:r>
          <w:rPr>
            <w:noProof/>
            <w:webHidden/>
          </w:rPr>
          <w:tab/>
        </w:r>
        <w:r>
          <w:rPr>
            <w:noProof/>
            <w:webHidden/>
          </w:rPr>
          <w:fldChar w:fldCharType="begin"/>
        </w:r>
        <w:r>
          <w:rPr>
            <w:noProof/>
            <w:webHidden/>
          </w:rPr>
          <w:instrText xml:space="preserve"> PAGEREF _Toc300000058 \h </w:instrText>
        </w:r>
        <w:r>
          <w:rPr>
            <w:noProof/>
            <w:webHidden/>
          </w:rPr>
          <w:fldChar w:fldCharType="separate"/>
        </w:r>
        <w:r>
          <w:rPr>
            <w:noProof/>
            <w:webHidden/>
          </w:rPr>
          <w:t>53</w:t>
        </w:r>
        <w:r>
          <w:rPr>
            <w:noProof/>
            <w:webHidden/>
          </w:rPr>
          <w:fldChar w:fldCharType="end"/>
        </w:r>
      </w:hyperlink>
    </w:p>
    <w:p>
      <w:pPr>
        <w:pStyle w:val="TOC1"/>
      </w:pPr>
      <w:hyperlink w:anchor="_Toc300000059" w:history="1">
        <w:r>
          <w:rPr>
            <w:noProof/>
          </w:rPr>
          <w:t>25.</w:t>
        </w:r>
        <w:r>
          <w:rPr>
            <w:noProof/>
          </w:rPr>
          <w:tab/>
        </w:r>
        <w:r>
          <w:rPr>
            <w:noProof/>
          </w:rPr>
          <w:t xml:space="preserve">Governance</w:t>
        </w:r>
        <w:r>
          <w:rPr>
            <w:noProof/>
            <w:webHidden/>
          </w:rPr>
          <w:tab/>
        </w:r>
        <w:r>
          <w:rPr>
            <w:noProof/>
            <w:webHidden/>
          </w:rPr>
          <w:fldChar w:fldCharType="begin"/>
        </w:r>
        <w:r>
          <w:rPr>
            <w:noProof/>
            <w:webHidden/>
          </w:rPr>
          <w:instrText xml:space="preserve"> PAGEREF _Toc300000059 \h </w:instrText>
        </w:r>
        <w:r>
          <w:rPr>
            <w:noProof/>
            <w:webHidden/>
          </w:rPr>
          <w:fldChar w:fldCharType="separate"/>
        </w:r>
        <w:r>
          <w:rPr>
            <w:noProof/>
            <w:webHidden/>
          </w:rPr>
          <w:t>53</w:t>
        </w:r>
        <w:r>
          <w:rPr>
            <w:noProof/>
            <w:webHidden/>
          </w:rPr>
          <w:fldChar w:fldCharType="end"/>
        </w:r>
      </w:hyperlink>
    </w:p>
    <w:p>
      <w:pPr>
        <w:pStyle w:val="TOC1"/>
      </w:pPr>
      <w:hyperlink w:anchor="_Toc300000060" w:history="1">
        <w:r>
          <w:rPr>
            <w:noProof/>
          </w:rPr>
          <w:t>26.</w:t>
        </w:r>
        <w:r>
          <w:rPr>
            <w:noProof/>
          </w:rPr>
          <w:tab/>
        </w:r>
        <w:r>
          <w:rPr>
            <w:noProof/>
          </w:rPr>
          <w:t xml:space="preserve">Team and engagement model</w:t>
        </w:r>
        <w:r>
          <w:rPr>
            <w:noProof/>
            <w:webHidden/>
          </w:rPr>
          <w:tab/>
        </w:r>
        <w:r>
          <w:rPr>
            <w:noProof/>
            <w:webHidden/>
          </w:rPr>
          <w:fldChar w:fldCharType="begin"/>
        </w:r>
        <w:r>
          <w:rPr>
            <w:noProof/>
            <w:webHidden/>
          </w:rPr>
          <w:instrText xml:space="preserve"> PAGEREF _Toc300000060 \h </w:instrText>
        </w:r>
        <w:r>
          <w:rPr>
            <w:noProof/>
            <w:webHidden/>
          </w:rPr>
          <w:fldChar w:fldCharType="separate"/>
        </w:r>
        <w:r>
          <w:rPr>
            <w:noProof/>
            <w:webHidden/>
          </w:rPr>
          <w:t>55</w:t>
        </w:r>
        <w:r>
          <w:rPr>
            <w:noProof/>
            <w:webHidden/>
          </w:rPr>
          <w:fldChar w:fldCharType="end"/>
        </w:r>
      </w:hyperlink>
    </w:p>
    <w:p>
      <w:pPr>
        <w:pStyle w:val="TOC2"/>
      </w:pPr>
      <w:hyperlink w:anchor="_Toc300000061" w:history="1">
        <w:r>
          <w:rPr>
            <w:noProof/>
          </w:rPr>
          <w:t>26.1.</w:t>
        </w:r>
        <w:r>
          <w:rPr>
            <w:noProof/>
          </w:rPr>
          <w:tab/>
        </w:r>
        <w:r>
          <w:rPr>
            <w:noProof/>
          </w:rPr>
          <w:t xml:space="preserve">Delivery team</w:t>
        </w:r>
        <w:r>
          <w:rPr>
            <w:noProof/>
            <w:webHidden/>
          </w:rPr>
          <w:tab/>
        </w:r>
        <w:r>
          <w:rPr>
            <w:noProof/>
            <w:webHidden/>
          </w:rPr>
          <w:fldChar w:fldCharType="begin"/>
        </w:r>
        <w:r>
          <w:rPr>
            <w:noProof/>
            <w:webHidden/>
          </w:rPr>
          <w:instrText xml:space="preserve"> PAGEREF _Toc300000061 \h </w:instrText>
        </w:r>
        <w:r>
          <w:rPr>
            <w:noProof/>
            <w:webHidden/>
          </w:rPr>
          <w:fldChar w:fldCharType="separate"/>
        </w:r>
        <w:r>
          <w:rPr>
            <w:noProof/>
            <w:webHidden/>
          </w:rPr>
          <w:t>55</w:t>
        </w:r>
        <w:r>
          <w:rPr>
            <w:noProof/>
            <w:webHidden/>
          </w:rPr>
          <w:fldChar w:fldCharType="end"/>
        </w:r>
      </w:hyperlink>
    </w:p>
    <w:p>
      <w:pPr>
        <w:pStyle w:val="TOC2"/>
      </w:pPr>
      <w:hyperlink w:anchor="_Toc300000062" w:history="1">
        <w:r>
          <w:rPr>
            <w:noProof/>
          </w:rPr>
          <w:t>26.2.</w:t>
        </w:r>
        <w:r>
          <w:rPr>
            <w:noProof/>
          </w:rPr>
          <w:tab/>
        </w:r>
        <w:r>
          <w:rPr>
            <w:noProof/>
          </w:rPr>
          <w:t xml:space="preserve">Engagement options</w:t>
        </w:r>
        <w:r>
          <w:rPr>
            <w:noProof/>
            <w:webHidden/>
          </w:rPr>
          <w:tab/>
        </w:r>
        <w:r>
          <w:rPr>
            <w:noProof/>
            <w:webHidden/>
          </w:rPr>
          <w:fldChar w:fldCharType="begin"/>
        </w:r>
        <w:r>
          <w:rPr>
            <w:noProof/>
            <w:webHidden/>
          </w:rPr>
          <w:instrText xml:space="preserve"> PAGEREF _Toc300000062 \h </w:instrText>
        </w:r>
        <w:r>
          <w:rPr>
            <w:noProof/>
            <w:webHidden/>
          </w:rPr>
          <w:fldChar w:fldCharType="separate"/>
        </w:r>
        <w:r>
          <w:rPr>
            <w:noProof/>
            <w:webHidden/>
          </w:rPr>
          <w:t>56</w:t>
        </w:r>
        <w:r>
          <w:rPr>
            <w:noProof/>
            <w:webHidden/>
          </w:rPr>
          <w:fldChar w:fldCharType="end"/>
        </w:r>
      </w:hyperlink>
    </w:p>
    <w:p>
      <w:pPr>
        <w:pStyle w:val="TOC1"/>
      </w:pPr>
      <w:hyperlink w:anchor="_Toc300000063" w:history="1">
        <w:r>
          <w:rPr>
            <w:noProof/>
          </w:rPr>
          <w:t>27.</w:t>
        </w:r>
        <w:r>
          <w:rPr>
            <w:noProof/>
          </w:rPr>
          <w:tab/>
        </w:r>
        <w:r>
          <w:rPr>
            <w:noProof/>
          </w:rPr>
          <w:t xml:space="preserve">Commercial proposal</w:t>
        </w:r>
        <w:r>
          <w:rPr>
            <w:noProof/>
            <w:webHidden/>
          </w:rPr>
          <w:tab/>
        </w:r>
        <w:r>
          <w:rPr>
            <w:noProof/>
            <w:webHidden/>
          </w:rPr>
          <w:fldChar w:fldCharType="begin"/>
        </w:r>
        <w:r>
          <w:rPr>
            <w:noProof/>
            <w:webHidden/>
          </w:rPr>
          <w:instrText xml:space="preserve"> PAGEREF _Toc300000063 \h </w:instrText>
        </w:r>
        <w:r>
          <w:rPr>
            <w:noProof/>
            <w:webHidden/>
          </w:rPr>
          <w:fldChar w:fldCharType="separate"/>
        </w:r>
        <w:r>
          <w:rPr>
            <w:noProof/>
            <w:webHidden/>
          </w:rPr>
          <w:t>56</w:t>
        </w:r>
        <w:r>
          <w:rPr>
            <w:noProof/>
            <w:webHidden/>
          </w:rPr>
          <w:fldChar w:fldCharType="end"/>
        </w:r>
      </w:hyperlink>
    </w:p>
    <w:p>
      <w:pPr>
        <w:pStyle w:val="TOC2"/>
      </w:pPr>
      <w:hyperlink w:anchor="_Toc300000064" w:history="1">
        <w:r>
          <w:rPr>
            <w:noProof/>
          </w:rPr>
          <w:t>27.1.</w:t>
        </w:r>
        <w:r>
          <w:rPr>
            <w:noProof/>
          </w:rPr>
          <w:tab/>
        </w:r>
        <w:r>
          <w:rPr>
            <w:noProof/>
          </w:rPr>
          <w:t xml:space="preserve">MVP price</w:t>
        </w:r>
        <w:r>
          <w:rPr>
            <w:noProof/>
            <w:webHidden/>
          </w:rPr>
          <w:tab/>
        </w:r>
        <w:r>
          <w:rPr>
            <w:noProof/>
            <w:webHidden/>
          </w:rPr>
          <w:fldChar w:fldCharType="begin"/>
        </w:r>
        <w:r>
          <w:rPr>
            <w:noProof/>
            <w:webHidden/>
          </w:rPr>
          <w:instrText xml:space="preserve"> PAGEREF _Toc300000064 \h </w:instrText>
        </w:r>
        <w:r>
          <w:rPr>
            <w:noProof/>
            <w:webHidden/>
          </w:rPr>
          <w:fldChar w:fldCharType="separate"/>
        </w:r>
        <w:r>
          <w:rPr>
            <w:noProof/>
            <w:webHidden/>
          </w:rPr>
          <w:t>56</w:t>
        </w:r>
        <w:r>
          <w:rPr>
            <w:noProof/>
            <w:webHidden/>
          </w:rPr>
          <w:fldChar w:fldCharType="end"/>
        </w:r>
      </w:hyperlink>
    </w:p>
    <w:p>
      <w:pPr>
        <w:pStyle w:val="TOC2"/>
      </w:pPr>
      <w:hyperlink w:anchor="_Toc300000065" w:history="1">
        <w:r>
          <w:rPr>
            <w:noProof/>
          </w:rPr>
          <w:t>27.2.</w:t>
        </w:r>
        <w:r>
          <w:rPr>
            <w:noProof/>
          </w:rPr>
          <w:tab/>
        </w:r>
        <w:r>
          <w:rPr>
            <w:noProof/>
          </w:rPr>
          <w:t xml:space="preserve">Payment milestones</w:t>
        </w:r>
        <w:r>
          <w:rPr>
            <w:noProof/>
            <w:webHidden/>
          </w:rPr>
          <w:tab/>
        </w:r>
        <w:r>
          <w:rPr>
            <w:noProof/>
            <w:webHidden/>
          </w:rPr>
          <w:fldChar w:fldCharType="begin"/>
        </w:r>
        <w:r>
          <w:rPr>
            <w:noProof/>
            <w:webHidden/>
          </w:rPr>
          <w:instrText xml:space="preserve"> PAGEREF _Toc300000065 \h </w:instrText>
        </w:r>
        <w:r>
          <w:rPr>
            <w:noProof/>
            <w:webHidden/>
          </w:rPr>
          <w:fldChar w:fldCharType="separate"/>
        </w:r>
        <w:r>
          <w:rPr>
            <w:noProof/>
            <w:webHidden/>
          </w:rPr>
          <w:t>56</w:t>
        </w:r>
        <w:r>
          <w:rPr>
            <w:noProof/>
            <w:webHidden/>
          </w:rPr>
          <w:fldChar w:fldCharType="end"/>
        </w:r>
      </w:hyperlink>
    </w:p>
    <w:p>
      <w:pPr>
        <w:pStyle w:val="TOC2"/>
      </w:pPr>
      <w:hyperlink w:anchor="_Toc300000066" w:history="1">
        <w:r>
          <w:rPr>
            <w:noProof/>
          </w:rPr>
          <w:t>27.3.</w:t>
        </w:r>
        <w:r>
          <w:rPr>
            <w:noProof/>
          </w:rPr>
          <w:tab/>
        </w:r>
        <w:r>
          <w:rPr>
            <w:noProof/>
          </w:rPr>
          <w:t xml:space="preserve">After the MVP (optional, priced now for transparency)</w:t>
        </w:r>
        <w:r>
          <w:rPr>
            <w:noProof/>
            <w:webHidden/>
          </w:rPr>
          <w:tab/>
        </w:r>
        <w:r>
          <w:rPr>
            <w:noProof/>
            <w:webHidden/>
          </w:rPr>
          <w:fldChar w:fldCharType="begin"/>
        </w:r>
        <w:r>
          <w:rPr>
            <w:noProof/>
            <w:webHidden/>
          </w:rPr>
          <w:instrText xml:space="preserve"> PAGEREF _Toc300000066 \h </w:instrText>
        </w:r>
        <w:r>
          <w:rPr>
            <w:noProof/>
            <w:webHidden/>
          </w:rPr>
          <w:fldChar w:fldCharType="separate"/>
        </w:r>
        <w:r>
          <w:rPr>
            <w:noProof/>
            <w:webHidden/>
          </w:rPr>
          <w:t>57</w:t>
        </w:r>
        <w:r>
          <w:rPr>
            <w:noProof/>
            <w:webHidden/>
          </w:rPr>
          <w:fldChar w:fldCharType="end"/>
        </w:r>
      </w:hyperlink>
    </w:p>
    <w:p>
      <w:pPr>
        <w:pStyle w:val="TOC2"/>
      </w:pPr>
      <w:hyperlink w:anchor="_Toc300000067" w:history="1">
        <w:r>
          <w:rPr>
            <w:noProof/>
          </w:rPr>
          <w:t>27.4.</w:t>
        </w:r>
        <w:r>
          <w:rPr>
            <w:noProof/>
          </w:rPr>
          <w:tab/>
        </w:r>
        <w:r>
          <w:rPr>
            <w:noProof/>
          </w:rPr>
          <w:t xml:space="preserve">Rate card (for changes and additional work)</w:t>
        </w:r>
        <w:r>
          <w:rPr>
            <w:noProof/>
            <w:webHidden/>
          </w:rPr>
          <w:tab/>
        </w:r>
        <w:r>
          <w:rPr>
            <w:noProof/>
            <w:webHidden/>
          </w:rPr>
          <w:fldChar w:fldCharType="begin"/>
        </w:r>
        <w:r>
          <w:rPr>
            <w:noProof/>
            <w:webHidden/>
          </w:rPr>
          <w:instrText xml:space="preserve"> PAGEREF _Toc300000067 \h </w:instrText>
        </w:r>
        <w:r>
          <w:rPr>
            <w:noProof/>
            <w:webHidden/>
          </w:rPr>
          <w:fldChar w:fldCharType="separate"/>
        </w:r>
        <w:r>
          <w:rPr>
            <w:noProof/>
            <w:webHidden/>
          </w:rPr>
          <w:t>58</w:t>
        </w:r>
        <w:r>
          <w:rPr>
            <w:noProof/>
            <w:webHidden/>
          </w:rPr>
          <w:fldChar w:fldCharType="end"/>
        </w:r>
      </w:hyperlink>
    </w:p>
    <w:p>
      <w:pPr>
        <w:pStyle w:val="TOC2"/>
      </w:pPr>
      <w:hyperlink w:anchor="_Toc300000068" w:history="1">
        <w:r>
          <w:rPr>
            <w:noProof/>
          </w:rPr>
          <w:t>27.5.</w:t>
        </w:r>
        <w:r>
          <w:rPr>
            <w:noProof/>
          </w:rPr>
          <w:tab/>
        </w:r>
        <w:r>
          <w:rPr>
            <w:noProof/>
          </w:rPr>
          <w:t xml:space="preserve">Commercial terms</w:t>
        </w:r>
        <w:r>
          <w:rPr>
            <w:noProof/>
            <w:webHidden/>
          </w:rPr>
          <w:tab/>
        </w:r>
        <w:r>
          <w:rPr>
            <w:noProof/>
            <w:webHidden/>
          </w:rPr>
          <w:fldChar w:fldCharType="begin"/>
        </w:r>
        <w:r>
          <w:rPr>
            <w:noProof/>
            <w:webHidden/>
          </w:rPr>
          <w:instrText xml:space="preserve"> PAGEREF _Toc300000068 \h </w:instrText>
        </w:r>
        <w:r>
          <w:rPr>
            <w:noProof/>
            <w:webHidden/>
          </w:rPr>
          <w:fldChar w:fldCharType="separate"/>
        </w:r>
        <w:r>
          <w:rPr>
            <w:noProof/>
            <w:webHidden/>
          </w:rPr>
          <w:t>58</w:t>
        </w:r>
        <w:r>
          <w:rPr>
            <w:noProof/>
            <w:webHidden/>
          </w:rPr>
          <w:fldChar w:fldCharType="end"/>
        </w:r>
      </w:hyperlink>
    </w:p>
    <w:p>
      <w:pPr>
        <w:pStyle w:val="TOC1"/>
      </w:pPr>
      <w:hyperlink w:anchor="_Toc300000069" w:history="1">
        <w:r>
          <w:rPr>
            <w:noProof/>
          </w:rPr>
          <w:t>28.</w:t>
        </w:r>
        <w:r>
          <w:rPr>
            <w:noProof/>
          </w:rPr>
          <w:tab/>
        </w:r>
        <w:r>
          <w:rPr>
            <w:noProof/>
          </w:rPr>
          <w:t xml:space="preserve">Total cost of ownership</w:t>
        </w:r>
        <w:r>
          <w:rPr>
            <w:noProof/>
            <w:webHidden/>
          </w:rPr>
          <w:tab/>
        </w:r>
        <w:r>
          <w:rPr>
            <w:noProof/>
            <w:webHidden/>
          </w:rPr>
          <w:fldChar w:fldCharType="begin"/>
        </w:r>
        <w:r>
          <w:rPr>
            <w:noProof/>
            <w:webHidden/>
          </w:rPr>
          <w:instrText xml:space="preserve"> PAGEREF _Toc300000069 \h </w:instrText>
        </w:r>
        <w:r>
          <w:rPr>
            <w:noProof/>
            <w:webHidden/>
          </w:rPr>
          <w:fldChar w:fldCharType="separate"/>
        </w:r>
        <w:r>
          <w:rPr>
            <w:noProof/>
            <w:webHidden/>
          </w:rPr>
          <w:t>58</w:t>
        </w:r>
        <w:r>
          <w:rPr>
            <w:noProof/>
            <w:webHidden/>
          </w:rPr>
          <w:fldChar w:fldCharType="end"/>
        </w:r>
      </w:hyperlink>
    </w:p>
    <w:p>
      <w:pPr>
        <w:pStyle w:val="TOC1"/>
      </w:pPr>
      <w:hyperlink w:anchor="_Toc300000070" w:history="1">
        <w:r>
          <w:rPr>
            <w:noProof/>
          </w:rPr>
          <w:t>29.</w:t>
        </w:r>
        <w:r>
          <w:rPr>
            <w:noProof/>
          </w:rPr>
          <w:tab/>
        </w:r>
        <w:r>
          <w:rPr>
            <w:noProof/>
          </w:rPr>
          <w:t xml:space="preserve">Benefits and business case</w:t>
        </w:r>
        <w:r>
          <w:rPr>
            <w:noProof/>
            <w:webHidden/>
          </w:rPr>
          <w:tab/>
        </w:r>
        <w:r>
          <w:rPr>
            <w:noProof/>
            <w:webHidden/>
          </w:rPr>
          <w:fldChar w:fldCharType="begin"/>
        </w:r>
        <w:r>
          <w:rPr>
            <w:noProof/>
            <w:webHidden/>
          </w:rPr>
          <w:instrText xml:space="preserve"> PAGEREF _Toc300000070 \h </w:instrText>
        </w:r>
        <w:r>
          <w:rPr>
            <w:noProof/>
            <w:webHidden/>
          </w:rPr>
          <w:fldChar w:fldCharType="separate"/>
        </w:r>
        <w:r>
          <w:rPr>
            <w:noProof/>
            <w:webHidden/>
          </w:rPr>
          <w:t>59</w:t>
        </w:r>
        <w:r>
          <w:rPr>
            <w:noProof/>
            <w:webHidden/>
          </w:rPr>
          <w:fldChar w:fldCharType="end"/>
        </w:r>
      </w:hyperlink>
    </w:p>
    <w:p>
      <w:pPr>
        <w:pStyle w:val="TOC2"/>
      </w:pPr>
      <w:hyperlink w:anchor="_Toc300000071" w:history="1">
        <w:r>
          <w:rPr>
            <w:noProof/>
          </w:rPr>
          <w:t>29.1.</w:t>
        </w:r>
        <w:r>
          <w:rPr>
            <w:noProof/>
          </w:rPr>
          <w:tab/>
        </w:r>
        <w:r>
          <w:rPr>
            <w:noProof/>
          </w:rPr>
          <w:t xml:space="preserve">Benefits</w:t>
        </w:r>
        <w:r>
          <w:rPr>
            <w:noProof/>
            <w:webHidden/>
          </w:rPr>
          <w:tab/>
        </w:r>
        <w:r>
          <w:rPr>
            <w:noProof/>
            <w:webHidden/>
          </w:rPr>
          <w:fldChar w:fldCharType="begin"/>
        </w:r>
        <w:r>
          <w:rPr>
            <w:noProof/>
            <w:webHidden/>
          </w:rPr>
          <w:instrText xml:space="preserve"> PAGEREF _Toc300000071 \h </w:instrText>
        </w:r>
        <w:r>
          <w:rPr>
            <w:noProof/>
            <w:webHidden/>
          </w:rPr>
          <w:fldChar w:fldCharType="separate"/>
        </w:r>
        <w:r>
          <w:rPr>
            <w:noProof/>
            <w:webHidden/>
          </w:rPr>
          <w:t>59</w:t>
        </w:r>
        <w:r>
          <w:rPr>
            <w:noProof/>
            <w:webHidden/>
          </w:rPr>
          <w:fldChar w:fldCharType="end"/>
        </w:r>
      </w:hyperlink>
    </w:p>
    <w:p>
      <w:pPr>
        <w:pStyle w:val="TOC2"/>
      </w:pPr>
      <w:hyperlink w:anchor="_Toc300000072" w:history="1">
        <w:r>
          <w:rPr>
            <w:noProof/>
          </w:rPr>
          <w:t>29.2.</w:t>
        </w:r>
        <w:r>
          <w:rPr>
            <w:noProof/>
          </w:rPr>
          <w:tab/>
        </w:r>
        <w:r>
          <w:rPr>
            <w:noProof/>
          </w:rPr>
          <w:t xml:space="preserve">The numbers</w:t>
        </w:r>
        <w:r>
          <w:rPr>
            <w:noProof/>
            <w:webHidden/>
          </w:rPr>
          <w:tab/>
        </w:r>
        <w:r>
          <w:rPr>
            <w:noProof/>
            <w:webHidden/>
          </w:rPr>
          <w:fldChar w:fldCharType="begin"/>
        </w:r>
        <w:r>
          <w:rPr>
            <w:noProof/>
            <w:webHidden/>
          </w:rPr>
          <w:instrText xml:space="preserve"> PAGEREF _Toc300000072 \h </w:instrText>
        </w:r>
        <w:r>
          <w:rPr>
            <w:noProof/>
            <w:webHidden/>
          </w:rPr>
          <w:fldChar w:fldCharType="separate"/>
        </w:r>
        <w:r>
          <w:rPr>
            <w:noProof/>
            <w:webHidden/>
          </w:rPr>
          <w:t>59</w:t>
        </w:r>
        <w:r>
          <w:rPr>
            <w:noProof/>
            <w:webHidden/>
          </w:rPr>
          <w:fldChar w:fldCharType="end"/>
        </w:r>
      </w:hyperlink>
    </w:p>
    <w:p>
      <w:pPr>
        <w:pStyle w:val="TOC1"/>
      </w:pPr>
      <w:hyperlink w:anchor="_Toc300000073" w:history="1">
        <w:r>
          <w:rPr>
            <w:noProof/>
          </w:rPr>
          <w:t>30.</w:t>
        </w:r>
        <w:r>
          <w:rPr>
            <w:noProof/>
          </w:rPr>
          <w:tab/>
        </w:r>
        <w:r>
          <w:rPr>
            <w:noProof/>
          </w:rPr>
          <w:t xml:space="preserve">Risks and mitigations</w:t>
        </w:r>
        <w:r>
          <w:rPr>
            <w:noProof/>
            <w:webHidden/>
          </w:rPr>
          <w:tab/>
        </w:r>
        <w:r>
          <w:rPr>
            <w:noProof/>
            <w:webHidden/>
          </w:rPr>
          <w:fldChar w:fldCharType="begin"/>
        </w:r>
        <w:r>
          <w:rPr>
            <w:noProof/>
            <w:webHidden/>
          </w:rPr>
          <w:instrText xml:space="preserve"> PAGEREF _Toc300000073 \h </w:instrText>
        </w:r>
        <w:r>
          <w:rPr>
            <w:noProof/>
            <w:webHidden/>
          </w:rPr>
          <w:fldChar w:fldCharType="separate"/>
        </w:r>
        <w:r>
          <w:rPr>
            <w:noProof/>
            <w:webHidden/>
          </w:rPr>
          <w:t>60</w:t>
        </w:r>
        <w:r>
          <w:rPr>
            <w:noProof/>
            <w:webHidden/>
          </w:rPr>
          <w:fldChar w:fldCharType="end"/>
        </w:r>
      </w:hyperlink>
    </w:p>
    <w:p>
      <w:pPr>
        <w:pStyle w:val="TOC1"/>
      </w:pPr>
      <w:hyperlink w:anchor="_Toc300000074" w:history="1">
        <w:r>
          <w:rPr>
            <w:noProof/>
          </w:rPr>
          <w:t>31.</w:t>
        </w:r>
        <w:r>
          <w:rPr>
            <w:noProof/>
          </w:rPr>
          <w:tab/>
        </w:r>
        <w:r>
          <w:rPr>
            <w:noProof/>
          </w:rPr>
          <w:t xml:space="preserve">Assumptions and dependencies</w:t>
        </w:r>
        <w:r>
          <w:rPr>
            <w:noProof/>
            <w:webHidden/>
          </w:rPr>
          <w:tab/>
        </w:r>
        <w:r>
          <w:rPr>
            <w:noProof/>
            <w:webHidden/>
          </w:rPr>
          <w:fldChar w:fldCharType="begin"/>
        </w:r>
        <w:r>
          <w:rPr>
            <w:noProof/>
            <w:webHidden/>
          </w:rPr>
          <w:instrText xml:space="preserve"> PAGEREF _Toc300000074 \h </w:instrText>
        </w:r>
        <w:r>
          <w:rPr>
            <w:noProof/>
            <w:webHidden/>
          </w:rPr>
          <w:fldChar w:fldCharType="separate"/>
        </w:r>
        <w:r>
          <w:rPr>
            <w:noProof/>
            <w:webHidden/>
          </w:rPr>
          <w:t>61</w:t>
        </w:r>
        <w:r>
          <w:rPr>
            <w:noProof/>
            <w:webHidden/>
          </w:rPr>
          <w:fldChar w:fldCharType="end"/>
        </w:r>
      </w:hyperlink>
    </w:p>
    <w:p>
      <w:pPr>
        <w:pStyle w:val="TOC1"/>
      </w:pPr>
      <w:hyperlink w:anchor="_Toc300000075" w:history="1">
        <w:r>
          <w:rPr>
            <w:noProof/>
          </w:rPr>
          <w:t>32.</w:t>
        </w:r>
        <w:r>
          <w:rPr>
            <w:noProof/>
          </w:rPr>
          <w:tab/>
        </w:r>
        <w:r>
          <w:rPr>
            <w:noProof/>
          </w:rPr>
          <w:t xml:space="preserve">What we need from TASCO and VETC</w:t>
        </w:r>
        <w:r>
          <w:rPr>
            <w:noProof/>
            <w:webHidden/>
          </w:rPr>
          <w:tab/>
        </w:r>
        <w:r>
          <w:rPr>
            <w:noProof/>
            <w:webHidden/>
          </w:rPr>
          <w:fldChar w:fldCharType="begin"/>
        </w:r>
        <w:r>
          <w:rPr>
            <w:noProof/>
            <w:webHidden/>
          </w:rPr>
          <w:instrText xml:space="preserve"> PAGEREF _Toc300000075 \h </w:instrText>
        </w:r>
        <w:r>
          <w:rPr>
            <w:noProof/>
            <w:webHidden/>
          </w:rPr>
          <w:fldChar w:fldCharType="separate"/>
        </w:r>
        <w:r>
          <w:rPr>
            <w:noProof/>
            <w:webHidden/>
          </w:rPr>
          <w:t>61</w:t>
        </w:r>
        <w:r>
          <w:rPr>
            <w:noProof/>
            <w:webHidden/>
          </w:rPr>
          <w:fldChar w:fldCharType="end"/>
        </w:r>
      </w:hyperlink>
    </w:p>
    <w:p>
      <w:pPr>
        <w:pStyle w:val="TOC1"/>
      </w:pPr>
      <w:hyperlink w:anchor="_Toc300000076" w:history="1">
        <w:r>
          <w:rPr>
            <w:noProof/>
          </w:rPr>
          <w:t>33.</w:t>
        </w:r>
        <w:r>
          <w:rPr>
            <w:noProof/>
          </w:rPr>
          <w:tab/>
        </w:r>
        <w:r>
          <w:rPr>
            <w:noProof/>
          </w:rPr>
          <w:t xml:space="preserve">Intellectual property, warranty and exit</w:t>
        </w:r>
        <w:r>
          <w:rPr>
            <w:noProof/>
            <w:webHidden/>
          </w:rPr>
          <w:tab/>
        </w:r>
        <w:r>
          <w:rPr>
            <w:noProof/>
            <w:webHidden/>
          </w:rPr>
          <w:fldChar w:fldCharType="begin"/>
        </w:r>
        <w:r>
          <w:rPr>
            <w:noProof/>
            <w:webHidden/>
          </w:rPr>
          <w:instrText xml:space="preserve"> PAGEREF _Toc300000076 \h </w:instrText>
        </w:r>
        <w:r>
          <w:rPr>
            <w:noProof/>
            <w:webHidden/>
          </w:rPr>
          <w:fldChar w:fldCharType="separate"/>
        </w:r>
        <w:r>
          <w:rPr>
            <w:noProof/>
            <w:webHidden/>
          </w:rPr>
          <w:t>62</w:t>
        </w:r>
        <w:r>
          <w:rPr>
            <w:noProof/>
            <w:webHidden/>
          </w:rPr>
          <w:fldChar w:fldCharType="end"/>
        </w:r>
      </w:hyperlink>
    </w:p>
    <w:p>
      <w:pPr>
        <w:pStyle w:val="TOC1"/>
      </w:pPr>
      <w:hyperlink w:anchor="_Toc300000077" w:history="1">
        <w:r>
          <w:rPr>
            <w:noProof/>
          </w:rPr>
          <w:t>34.</w:t>
        </w:r>
        <w:r>
          <w:rPr>
            <w:noProof/>
          </w:rPr>
          <w:tab/>
        </w:r>
        <w:r>
          <w:rPr>
            <w:noProof/>
          </w:rPr>
          <w:t xml:space="preserve">Next steps</w:t>
        </w:r>
        <w:r>
          <w:rPr>
            <w:noProof/>
            <w:webHidden/>
          </w:rPr>
          <w:tab/>
        </w:r>
        <w:r>
          <w:rPr>
            <w:noProof/>
            <w:webHidden/>
          </w:rPr>
          <w:fldChar w:fldCharType="begin"/>
        </w:r>
        <w:r>
          <w:rPr>
            <w:noProof/>
            <w:webHidden/>
          </w:rPr>
          <w:instrText xml:space="preserve"> PAGEREF _Toc300000077 \h </w:instrText>
        </w:r>
        <w:r>
          <w:rPr>
            <w:noProof/>
            <w:webHidden/>
          </w:rPr>
          <w:fldChar w:fldCharType="separate"/>
        </w:r>
        <w:r>
          <w:rPr>
            <w:noProof/>
            <w:webHidden/>
          </w:rPr>
          <w:t>62</w:t>
        </w:r>
        <w:r>
          <w:rPr>
            <w:noProof/>
            <w:webHidden/>
          </w:rPr>
          <w:fldChar w:fldCharType="end"/>
        </w:r>
      </w:hyperlink>
    </w:p>
    <w:p>
      <w:pPr>
        <w:pStyle w:val="TOC1"/>
      </w:pPr>
      <w:hyperlink w:anchor="_Toc300000078" w:history="1">
        <w:r>
          <w:rPr>
            <w:noProof/>
          </w:rPr>
          <w:t>35.</w:t>
        </w:r>
        <w:r>
          <w:rPr>
            <w:noProof/>
          </w:rPr>
          <w:tab/>
        </w:r>
        <w:r>
          <w:rPr>
            <w:noProof/>
          </w:rPr>
          <w:t xml:space="preserve">Glossary</w:t>
        </w:r>
        <w:r>
          <w:rPr>
            <w:noProof/>
            <w:webHidden/>
          </w:rPr>
          <w:tab/>
        </w:r>
        <w:r>
          <w:rPr>
            <w:noProof/>
            <w:webHidden/>
          </w:rPr>
          <w:fldChar w:fldCharType="begin"/>
        </w:r>
        <w:r>
          <w:rPr>
            <w:noProof/>
            <w:webHidden/>
          </w:rPr>
          <w:instrText xml:space="preserve"> PAGEREF _Toc300000078 \h </w:instrText>
        </w:r>
        <w:r>
          <w:rPr>
            <w:noProof/>
            <w:webHidden/>
          </w:rPr>
          <w:fldChar w:fldCharType="separate"/>
        </w:r>
        <w:r>
          <w:rPr>
            <w:noProof/>
            <w:webHidden/>
          </w:rPr>
          <w:t>62</w:t>
        </w:r>
        <w:r>
          <w:rPr>
            <w:noProof/>
            <w:webHidden/>
          </w:rPr>
          <w:fldChar w:fldCharType="end"/>
        </w:r>
      </w:hyperlink>
    </w:p>
    <w:p>
      <w:pPr>
        <w:pStyle w:val="TOC1"/>
      </w:pPr>
      <w:hyperlink w:anchor="_Toc300000079" w:history="1">
        <w:r>
          <w:rPr>
            <w:noProof/>
          </w:rPr>
          <w:t>36.</w:t>
        </w:r>
        <w:r>
          <w:rPr>
            <w:noProof/>
          </w:rPr>
          <w:tab/>
        </w:r>
        <w:r>
          <w:rPr>
            <w:noProof/>
          </w:rPr>
          <w:t xml:space="preserve">Supporting documents</w:t>
        </w:r>
        <w:r>
          <w:rPr>
            <w:noProof/>
            <w:webHidden/>
          </w:rPr>
          <w:tab/>
        </w:r>
        <w:r>
          <w:rPr>
            <w:noProof/>
            <w:webHidden/>
          </w:rPr>
          <w:fldChar w:fldCharType="begin"/>
        </w:r>
        <w:r>
          <w:rPr>
            <w:noProof/>
            <w:webHidden/>
          </w:rPr>
          <w:instrText xml:space="preserve"> PAGEREF _Toc300000079 \h </w:instrText>
        </w:r>
        <w:r>
          <w:rPr>
            <w:noProof/>
            <w:webHidden/>
          </w:rPr>
          <w:fldChar w:fldCharType="separate"/>
        </w:r>
        <w:r>
          <w:rPr>
            <w:noProof/>
            <w:webHidden/>
          </w:rPr>
          <w:t>63</w:t>
        </w:r>
        <w:r>
          <w:rPr>
            <w:noProof/>
            <w:webHidden/>
          </w:rPr>
          <w:fldChar w:fldCharType="end"/>
        </w:r>
      </w:hyperlink>
    </w:p>
    <w:p>
      <w:pPr>
        <w:pStyle w:val="TOC1"/>
      </w:pPr>
      <w:hyperlink w:anchor="_Toc300000080" w:history="1">
        <w:r>
          <w:rPr>
            <w:noProof/>
          </w:rPr>
          <w:t>37.</w:t>
        </w:r>
        <w:r>
          <w:rPr>
            <w:noProof/>
          </w:rPr>
          <w:tab/>
        </w:r>
        <w:r>
          <w:rPr>
            <w:noProof/>
          </w:rPr>
          <w:t xml:space="preserve">Sign-Off</w:t>
        </w:r>
        <w:r>
          <w:rPr>
            <w:noProof/>
            <w:webHidden/>
          </w:rPr>
          <w:tab/>
        </w:r>
        <w:r>
          <w:rPr>
            <w:noProof/>
            <w:webHidden/>
          </w:rPr>
          <w:fldChar w:fldCharType="begin"/>
        </w:r>
        <w:r>
          <w:rPr>
            <w:noProof/>
            <w:webHidden/>
          </w:rPr>
          <w:instrText xml:space="preserve"> PAGEREF _Toc300000080 \h </w:instrText>
        </w:r>
        <w:r>
          <w:rPr>
            <w:noProof/>
            <w:webHidden/>
          </w:rPr>
          <w:fldChar w:fldCharType="separate"/>
        </w:r>
        <w:r>
          <w:rPr>
            <w:noProof/>
            <w:webHidden/>
          </w:rPr>
          <w:t>64</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57"/>
        <w:gridCol w:w="968"/>
        <w:gridCol w:w="1988"/>
        <w:gridCol w:w="1779"/>
        <w:gridCol w:w="1779"/>
        <w:gridCol w:w="1256"/>
      </w:tblGrid>
      <w:tr w:rsidR="002B183A" w14:paraId="4E198CD6" w14:textId="77777777" w:rsidTr="002923F3">
        <w:trPr>
          <w:cantSplit/>
          <w:trHeight w:val="440"/>
          <w:tblHeader/>
        </w:trPr>
        <w:tc>
          <w:tcPr>
            <w:tcW w:w="1257"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68"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988"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779"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1779"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56"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57"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68"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988"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Engagement Lead</w:t>
            </w:r>
          </w:p>
        </w:tc>
        <w:tc>
          <w:tcPr>
            <w:tcW w:w="1779"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Delivery Director</w:t>
            </w:r>
          </w:p>
        </w:tc>
        <w:tc>
          <w:tcPr>
            <w:tcW w:w="1779"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Managing Director</w:t>
            </w:r>
          </w:p>
        </w:tc>
        <w:tc>
          <w:tcPr>
            <w:tcW w:w="1256"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Issued to TASCO Insurance for evaluation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70"/>
        <w:gridCol w:w="7457"/>
      </w:tblGrid>
      <w:tr w:rsidR="002B183A" w14:paraId="388F227F" w14:textId="77777777" w:rsidTr="002923F3">
        <w:trPr>
          <w:cantSplit/>
          <w:trHeight w:val="440"/>
          <w:tblHeader/>
        </w:trPr>
        <w:tc>
          <w:tcPr>
            <w:tcW w:w="1570"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57"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A/B</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Split testing of two variants</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AES</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Advanced Encryption Standard</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AI</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Artificial intelligence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ASVS</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 Application Security Verification Standard</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B2B</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to business</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BI</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intelligence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CI/CD</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 and continuous delivery</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CRM</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Customer relationship management</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DWH</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warehouse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FNOL</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First notice of loss</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GCM</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Galois/Counter Mode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HA</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High availability</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KMS</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Key management service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NBA</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Next best action</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OA</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Official Account</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Worldwide Application Security Project</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RACI</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Responsible, accountable, consulted, informed</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REST</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Representational state transfer</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RPO</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Recovery point objective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RTO</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Recovery time objective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SIP</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Session Initiation Protocol</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SME</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Subject matter expert</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SSO</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Single sign-on</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TCO</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Total cost of ownership</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TLS</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Transport Layer Security</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USD</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United States dollar</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UX</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experience</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Value-added tax</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VND</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Vietnamese đồng</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WAF</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application firewall</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WCAG</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Content Accessibility Guidelines</w:t>
            </w:r>
          </w:p>
        </w:tc>
      </w:tr>
      <w:tr w:rsidR="002B183A" w:rsidRPr="00BB346A" w14:paraId="73CFB63E" w14:textId="77777777" w:rsidTr="002923F3">
        <w:trPr>
          <w:cantSplit/>
          <w:trHeight w:val="449"/>
        </w:trPr>
        <w:tc>
          <w:tcPr>
            <w:tcW w:w="157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745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About this proposal</w:t>
      </w:r>
      <w:bookmarkEnd w:id="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258"/>
        <w:gridCol w:w="5769"/>
      </w:tblGrid>
      <w:tr>
        <w:trPr>
          <w:cantSplit/>
          <w:tblHeader/>
        </w:trPr>
        <w:tc>
          <w:tcPr>
            <w:tcW w:w="3258" w:type="dxa"/>
            <w:shd w:val="clear" w:color="auto" w:fill="0F4761"/>
            <w:vAlign w:val="center"/>
          </w:tcPr>
          <w:p>
            <w:pPr>
              <w:pStyle w:val="TableHeading"/>
              <w:jc w:val="left"/>
            </w:pPr>
            <w:r>
              <w:rPr>
                <w:color w:val="FFFFFF"/>
              </w:rPr>
              <w:t xml:space="preserve">Item</w:t>
            </w:r>
          </w:p>
        </w:tc>
        <w:tc>
          <w:tcPr>
            <w:tcW w:w="5769" w:type="dxa"/>
            <w:shd w:val="clear" w:color="auto" w:fill="0F4761"/>
            <w:vAlign w:val="center"/>
          </w:tcPr>
          <w:p>
            <w:pPr>
              <w:pStyle w:val="TableHeading"/>
              <w:jc w:val="left"/>
            </w:pPr>
            <w:r>
              <w:rPr>
                <w:color w:val="FFFFFF"/>
              </w:rPr>
              <w:t xml:space="preserve">Detail</w:t>
            </w:r>
          </w:p>
        </w:tc>
      </w:tr>
      <w:tr>
        <w:trPr>
          <w:cantSplit/>
        </w:trPr>
        <w:tc>
          <w:tcPr>
            <w:tcW w:w="3258" w:type="dxa"/>
            <w:vAlign w:val="top"/>
          </w:tcPr>
          <w:p>
            <w:pPr>
              <w:pStyle w:val="TableText"/>
              <w:jc w:val="left"/>
            </w:pPr>
            <w:r>
              <w:t xml:space="preserve">Prepared for</w:t>
            </w:r>
          </w:p>
        </w:tc>
        <w:tc>
          <w:tcPr>
            <w:tcW w:w="5769" w:type="dxa"/>
            <w:vAlign w:val="top"/>
          </w:tcPr>
          <w:p>
            <w:pPr>
              <w:pStyle w:val="TableText"/>
              <w:jc w:val="left"/>
            </w:pPr>
            <w:r>
              <w:t xml:space="preserve">TASCO Insurance, in partnership with VETC</w:t>
            </w:r>
          </w:p>
        </w:tc>
      </w:tr>
      <w:tr>
        <w:trPr>
          <w:cantSplit/>
        </w:trPr>
        <w:tc>
          <w:tcPr>
            <w:tcW w:w="3258" w:type="dxa"/>
            <w:shd w:val="clear" w:color="auto" w:fill="F4F7FB"/>
            <w:vAlign w:val="top"/>
          </w:tcPr>
          <w:p>
            <w:pPr>
              <w:pStyle w:val="TableText"/>
              <w:jc w:val="left"/>
            </w:pPr>
            <w:r>
              <w:t xml:space="preserve">Prepared by</w:t>
            </w:r>
          </w:p>
        </w:tc>
        <w:tc>
          <w:tcPr>
            <w:tcW w:w="5769" w:type="dxa"/>
            <w:shd w:val="clear" w:color="auto" w:fill="F4F7FB"/>
            <w:vAlign w:val="top"/>
          </w:tcPr>
          <w:p>
            <w:pPr>
              <w:pStyle w:val="TableText"/>
              <w:jc w:val="left"/>
            </w:pPr>
            <w:r>
              <w:t xml:space="preserve">iorta TechNXT</w:t>
            </w:r>
          </w:p>
        </w:tc>
      </w:tr>
      <w:tr>
        <w:trPr>
          <w:cantSplit/>
        </w:trPr>
        <w:tc>
          <w:tcPr>
            <w:tcW w:w="3258" w:type="dxa"/>
            <w:vAlign w:val="top"/>
          </w:tcPr>
          <w:p>
            <w:pPr>
              <w:pStyle w:val="TableText"/>
              <w:jc w:val="left"/>
            </w:pPr>
            <w:r>
              <w:t xml:space="preserve">Reference</w:t>
            </w:r>
          </w:p>
        </w:tc>
        <w:tc>
          <w:tcPr>
            <w:tcW w:w="5769" w:type="dxa"/>
            <w:noWrap/>
            <w:vAlign w:val="top"/>
          </w:tcPr>
          <w:p>
            <w:pPr>
              <w:pStyle w:val="TableText"/>
              <w:jc w:val="left"/>
            </w:pPr>
            <w:r>
              <w:t xml:space="preserve">ITN-TASCO-2026-001</w:t>
            </w:r>
          </w:p>
        </w:tc>
      </w:tr>
      <w:tr>
        <w:trPr>
          <w:cantSplit/>
        </w:trPr>
        <w:tc>
          <w:tcPr>
            <w:tcW w:w="3258" w:type="dxa"/>
            <w:shd w:val="clear" w:color="auto" w:fill="F4F7FB"/>
            <w:vAlign w:val="top"/>
          </w:tcPr>
          <w:p>
            <w:pPr>
              <w:pStyle w:val="TableText"/>
              <w:jc w:val="left"/>
            </w:pPr>
            <w:r>
              <w:t xml:space="preserve">Validity</w:t>
            </w:r>
          </w:p>
        </w:tc>
        <w:tc>
          <w:tcPr>
            <w:tcW w:w="5769" w:type="dxa"/>
            <w:shd w:val="clear" w:color="auto" w:fill="F4F7FB"/>
            <w:vAlign w:val="top"/>
          </w:tcPr>
          <w:p>
            <w:pPr>
              <w:pStyle w:val="TableText"/>
              <w:jc w:val="left"/>
            </w:pPr>
            <w:r>
              <w:t xml:space="preserve">90 days from the date of issue</w:t>
            </w:r>
          </w:p>
        </w:tc>
      </w:tr>
      <w:tr>
        <w:trPr>
          <w:cantSplit/>
        </w:trPr>
        <w:tc>
          <w:tcPr>
            <w:tcW w:w="3258" w:type="dxa"/>
            <w:vAlign w:val="top"/>
          </w:tcPr>
          <w:p>
            <w:pPr>
              <w:pStyle w:val="TableText"/>
              <w:jc w:val="left"/>
            </w:pPr>
            <w:r>
              <w:t xml:space="preserve">Classification</w:t>
            </w:r>
          </w:p>
        </w:tc>
        <w:tc>
          <w:tcPr>
            <w:tcW w:w="5769" w:type="dxa"/>
            <w:vAlign w:val="top"/>
          </w:tcPr>
          <w:p>
            <w:pPr>
              <w:pStyle w:val="TableText"/>
              <w:jc w:val="left"/>
            </w:pPr>
            <w:r>
              <w:t xml:space="preserve">Commercial in confidence</w:t>
            </w:r>
          </w:p>
        </w:tc>
      </w:tr>
      <w:tr>
        <w:trPr>
          <w:cantSplit/>
        </w:trPr>
        <w:tc>
          <w:tcPr>
            <w:tcW w:w="3258" w:type="dxa"/>
            <w:shd w:val="clear" w:color="auto" w:fill="F4F7FB"/>
            <w:vAlign w:val="top"/>
          </w:tcPr>
          <w:p>
            <w:pPr>
              <w:pStyle w:val="TableText"/>
              <w:jc w:val="left"/>
            </w:pPr>
            <w:r>
              <w:t xml:space="preserve">TASCO contacts used in the solution</w:t>
            </w:r>
          </w:p>
        </w:tc>
        <w:tc>
          <w:tcPr>
            <w:tcW w:w="5769" w:type="dxa"/>
            <w:shd w:val="clear" w:color="auto" w:fill="F4F7FB"/>
            <w:vAlign w:val="top"/>
          </w:tcPr>
          <w:p>
            <w:pPr>
              <w:pStyle w:val="TableText"/>
              <w:jc w:val="left"/>
            </w:pPr>
            <w:r>
              <w:t xml:space="preserve">Hotline 1900 1562 ·</w:t>
            </w:r>
            <w:r>
              <w:t xml:space="preserve"> </w:t>
            </w:r>
            <w:hyperlink r:id="rIdG1">
              <w:r>
                <w:rPr>
                  <w:rStyle w:val="Hyperlink"/>
                </w:rPr>
                <w:t xml:space="preserve">info@baohiemtasco.vn</w:t>
              </w:r>
            </w:hyperlink>
            <w:r>
              <w:t xml:space="preserve"> </w:t>
            </w:r>
            <w:r>
              <w:t xml:space="preserve">· baohiemtasco.vn</w:t>
            </w:r>
          </w:p>
        </w:tc>
      </w:tr>
    </w:tbl>
    <w:p>
      <w:pPr>
        <w:pStyle w:val="BodyText"/>
        <w:spacing w:before="160"/>
      </w:pPr>
      <w:r>
        <w:t xml:space="preserve">This proposal answers TASCO’s request for a platform that lifts motor insurance sales through its own channels and the VETC ecosystem, connected to TASCO’s core system for products and rating. It is written for TASCO’s executive sponsors, the product, distribution, IT and compliance teams, and VETC. The supporting documents listed at the end of this proposal give the detail behind each section.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Executive summary</w:t>
      </w:r>
      <w:bookmarkEnd w:id="8"/>
    </w:p>
    <w:p>
      <w:pPr>
        <w:pStyle w:val="FirstParagraph"/>
      </w:pPr>
      <w:r>
        <w:t xml:space="preserve">Every month, around six million drivers pass through VETC toll gantries, and most of them open the VETC app to do it. Every one of those drivers is required by law to carry compulsory motor third-party liability insurance. Very few other companies in Vietnam have a relationship with drivers that is this direct or this frequent. Yet this year TASCO Insurance has closed almost no motor renewals through its own channels. The policies are still being sold, but by agents, banks and showrooms, and often only when the driver is standing in an inspection queue.</w:t>
      </w:r>
    </w:p>
    <w:p>
      <w:pPr>
        <w:pStyle w:val="BodyText"/>
      </w:pPr>
      <w:r>
        <w:t xml:space="preserve">We spent time with the brief and with the data behind it, and we do not believe the problem is demand. TNDS cover is compulsory, so the need is guaranteed. The problem is that TASCO does not know</w:t>
      </w:r>
      <w:r>
        <w:t xml:space="preserve"> </w:t>
      </w:r>
      <w:r>
        <w:rPr>
          <w:i/>
          <w:iCs/>
        </w:rPr>
        <w:t xml:space="preserve">when</w:t>
      </w:r>
      <w:r>
        <w:t xml:space="preserve"> </w:t>
      </w:r>
      <w:r>
        <w:t xml:space="preserve">most drivers need to renew, because only about one record in ten carries a reliable expiry date. Drivers do not trust insurance sales calls. The one lever customers ask for, a discount, is one TASCO is not allowed to pull. And the VETC app, for all its reach, cannot yet complete a purchase.</w:t>
      </w:r>
    </w:p>
    <w:p>
      <w:pPr>
        <w:pStyle w:val="BodyText"/>
      </w:pPr>
      <w:r>
        <w:t xml:space="preserve">Our proposal is a growth platform that fixes these four things together. It builds a clean record for every vehicle and improves it with every interaction. It decides who to contact, when, through which channel, and with what offer. It does not ask drivers to install anything new. The same journeys run inside the VETC app, TASCO’s own app and website, and Zalo, and the platform reuses TASCO’s core system, the VETC wallet and TASCO’s contact centre rather than duplicating them. It reaches drivers in ways they trust: in the VETC app they already use, by Zalo, and by an AI voice assistant that identifies itself and asks the driver to confirm their licence plate before anything else. When a driver is ready, they confirm and pay in the VETC app in a single step. TASCO’s core system prices the policy and issues the e-certificate within seconds. Because price cannot be the reason to choose TASCO, the platform makes service the reason: roadside assistance, an e-certificate that police and inspectors can verify by QR code, reminders before inspection, and a faster claims start.</w:t>
      </w:r>
    </w:p>
    <w:p>
      <w:pPr>
        <w:pStyle w:val="BodyText"/>
      </w:pPr>
      <w:r>
        <w:t xml:space="preserve">The platform is designed for growth, not only for retention. Alongside renewals, it runs journeys for drivers insured elsewhere, for new vehicles at the moment their VETC tag is activated, for lapsed and uninsured drivers, and for cross-sell of personal accident and physical damage cover. It also gives TASCO’s partners an API to sell through, so that the platform works with the channels that perform today instead of against them.</w:t>
      </w:r>
    </w:p>
    <w:p>
      <w:pPr>
        <w:pStyle w:val="BodyText"/>
      </w:pPr>
      <w:r>
        <w:t xml:space="preserve">The platform already exists. It is running in a UAT environment that TASCO can use today. It has a staff console for thirteen roles in Vietnamese and English, a customer app in Vietnamese, 97 API endpoints and more than 250 automated tests. That changes the economics of the MVP. TASCO’s budget does not need to pay for building commodity software. It pays for what matters: connecting the platform to TASCO’s core system and VETC’s channels, loading and repairing real data, hardening the platform for production, and running a measured pilot.</w:t>
      </w:r>
    </w:p>
    <w:p>
      <w:pPr>
        <w:pStyle w:val="BodyText"/>
      </w:pPr>
      <w:r>
        <w:t xml:space="preserve">We propose a fixed-price MVP of</w:t>
      </w:r>
      <w:r>
        <w:t xml:space="preserve"> </w:t>
      </w:r>
      <w:r>
        <w:rPr>
          <w:b/>
          <w:bCs/>
        </w:rPr>
        <w:t xml:space="preserve">USD 94,800</w:t>
      </w:r>
      <w:r>
        <w:t xml:space="preserve">, within TASCO’s MVP budget of USD 100,000, leaving USD 5,200 as a change reserve under TASCO’s control. The pilot can be live</w:t>
      </w:r>
      <w:r>
        <w:t xml:space="preserve"> </w:t>
      </w:r>
      <w:r>
        <w:rPr>
          <w:b/>
          <w:bCs/>
        </w:rPr>
        <w:t xml:space="preserve">13 weeks</w:t>
      </w:r>
      <w:r>
        <w:t xml:space="preserve"> </w:t>
      </w:r>
      <w:r>
        <w:t xml:space="preserve">after contract signature, followed by four weeks of hypercare. We recommend a pilot of 50,000 to 100,000 vehicles in one or two provinces, measured against a control group, so that the decision to scale is based on evidence rather than projections.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 w:name="_Toc300000005"/>
      <w:r>
        <w:rPr>
          <w:rStyle w:val="BookTitle"/>
          <w:bCs w:val="0"/>
          <w:i w:val="0"/>
          <w:iCs w:val="0"/>
          <w:spacing w:val="0"/>
        </w:rPr>
        <w:t xml:space="preserve">Our understanding of the situation</w:t>
      </w:r>
      <w:bookmarkEnd w:id="9"/>
    </w:p>
    <w:p>
      <w:pPr>
        <w:pStyle w:val="Heading2"/>
      </w:pPr>
      <w:bookmarkStart w:id="10" w:name="_Toc300000006"/>
      <w:r>
        <w:t xml:space="preserve">The parties and what each brings</w:t>
      </w:r>
      <w:bookmarkEnd w:id="10"/>
    </w:p>
    <w:p>
      <w:pPr>
        <w:pStyle w:val="FirstParagraph"/>
      </w:pPr>
      <w:r>
        <w:t xml:space="preserve">TASCO Insurance owns the insurance products, their pricing and the policy record. Its core system is, and will remain, the system of record for the product catalogue, tariffs and rating, and for every policy issued. VETC owns the relationship with the driver: the app, the wallet, the toll tag and the stream of events that tell us a vehicle is active, new, or on the road. TASCO’s partners (agents, banks, showrooms and corporate partners) sell most motor policies today and are paid regulated commission for doing so.</w:t>
      </w:r>
    </w:p>
    <w:p>
      <w:pPr>
        <w:pStyle w:val="BodyText"/>
      </w:pPr>
      <w:r>
        <w:t xml:space="preserve">Each party holds part of what is needed. TASCO has the product and the licence to sell it. VETC has the customer’s attention and a payment method that needs no card. The partners have the closing skills. What is missing is the layer in between, which turns these assets into the right conversation with the right driver at the right moment. That layer is what we propose to build with TASCO.</w:t>
      </w:r>
    </w:p>
    <w:p>
      <w:pPr>
        <w:pStyle w:val="Heading2"/>
      </w:pPr>
      <w:bookmarkStart w:id="11" w:name="_Toc300000007"/>
      <w:r>
        <w:t xml:space="preserve">TASCO’s digital channels today</w:t>
      </w:r>
      <w:bookmarkEnd w:id="11"/>
    </w:p>
    <w:p>
      <w:pPr>
        <w:pStyle w:val="FirstParagraph"/>
      </w:pPr>
      <w:r>
        <w:t xml:space="preserve">TASCO already has a presence online, and the platform is designed to work with it. Three channels matter here.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899"/>
        <w:gridCol w:w="2662"/>
        <w:gridCol w:w="3466"/>
      </w:tblGrid>
      <w:tr>
        <w:trPr>
          <w:cantSplit/>
          <w:tblHeader/>
        </w:trPr>
        <w:tc>
          <w:tcPr>
            <w:tcW w:w="2899" w:type="dxa"/>
            <w:shd w:val="clear" w:color="auto" w:fill="0F4761"/>
            <w:vAlign w:val="center"/>
          </w:tcPr>
          <w:p>
            <w:pPr>
              <w:pStyle w:val="TableHeading"/>
              <w:jc w:val="left"/>
            </w:pPr>
            <w:r>
              <w:rPr>
                <w:color w:val="FFFFFF"/>
              </w:rPr>
              <w:t xml:space="preserve">Channel</w:t>
            </w:r>
          </w:p>
        </w:tc>
        <w:tc>
          <w:tcPr>
            <w:tcW w:w="2662" w:type="dxa"/>
            <w:shd w:val="clear" w:color="auto" w:fill="0F4761"/>
            <w:vAlign w:val="center"/>
          </w:tcPr>
          <w:p>
            <w:pPr>
              <w:pStyle w:val="TableHeading"/>
              <w:jc w:val="left"/>
            </w:pPr>
            <w:r>
              <w:rPr>
                <w:color w:val="FFFFFF"/>
              </w:rPr>
              <w:t xml:space="preserve">What it does today</w:t>
            </w:r>
          </w:p>
        </w:tc>
        <w:tc>
          <w:tcPr>
            <w:tcW w:w="3466" w:type="dxa"/>
            <w:shd w:val="clear" w:color="auto" w:fill="0F4761"/>
            <w:vAlign w:val="center"/>
          </w:tcPr>
          <w:p>
            <w:pPr>
              <w:pStyle w:val="TableHeading"/>
              <w:jc w:val="left"/>
            </w:pPr>
            <w:r>
              <w:rPr>
                <w:color w:val="FFFFFF"/>
              </w:rPr>
              <w:t xml:space="preserve">How the platform works with it</w:t>
            </w:r>
          </w:p>
        </w:tc>
      </w:tr>
      <w:tr>
        <w:trPr>
          <w:cantSplit/>
        </w:trPr>
        <w:tc>
          <w:tcPr>
            <w:tcW w:w="2899" w:type="dxa"/>
            <w:vAlign w:val="top"/>
          </w:tcPr>
          <w:p>
            <w:pPr>
              <w:pStyle w:val="TableText"/>
              <w:jc w:val="left"/>
            </w:pPr>
            <w:r>
              <w:t xml:space="preserve">e.baohiemtasco.vn</w:t>
            </w:r>
          </w:p>
        </w:tc>
        <w:tc>
          <w:tcPr>
            <w:tcW w:w="2662" w:type="dxa"/>
            <w:vAlign w:val="top"/>
          </w:tcPr>
          <w:p>
            <w:pPr>
              <w:pStyle w:val="TableText"/>
              <w:jc w:val="left"/>
            </w:pPr>
            <w:r>
              <w:t xml:space="preserve">Online purchase of compulsory TNDS for cars. The customer says whether the vehicle is used for business, then gives the vehicle type, number of seats and a phone number. Physical damage cover is marked</w:t>
            </w:r>
            <w:r>
              <w:t xml:space="preserve"> </w:t>
            </w:r>
            <w:r>
              <w:t xml:space="preserve">“</w:t>
            </w:r>
            <w:r>
              <w:t xml:space="preserve">coming soon</w:t>
            </w:r>
            <w:r>
              <w:t xml:space="preserve">”</w:t>
            </w:r>
            <w:r>
              <w:t xml:space="preserve">.</w:t>
            </w:r>
          </w:p>
        </w:tc>
        <w:tc>
          <w:tcPr>
            <w:tcW w:w="3466" w:type="dxa"/>
            <w:vAlign w:val="top"/>
          </w:tcPr>
          <w:p>
            <w:pPr>
              <w:pStyle w:val="TableText"/>
              <w:jc w:val="left"/>
            </w:pPr>
            <w:r>
              <w:t xml:space="preserve">Both channels price from the same TASCO core, so a driver sees the same premium wherever they buy. The VETC app asks the same vehicle questions before it quotes. Physical damage with inspection, which is in the MVP, can later be offered on the site through the same services. Where consent allows, phone numbers left on the site without a purchase could become warm leads; we will agree this in discovery.</w:t>
            </w:r>
          </w:p>
        </w:tc>
      </w:tr>
      <w:tr>
        <w:trPr>
          <w:cantSplit/>
        </w:trPr>
        <w:tc>
          <w:tcPr>
            <w:tcW w:w="2899" w:type="dxa"/>
            <w:shd w:val="clear" w:color="auto" w:fill="F4F7FB"/>
            <w:vAlign w:val="top"/>
          </w:tcPr>
          <w:p>
            <w:pPr>
              <w:pStyle w:val="TableText"/>
              <w:jc w:val="left"/>
            </w:pPr>
            <w:r>
              <w:t xml:space="preserve">Tasco360 app</w:t>
            </w:r>
          </w:p>
        </w:tc>
        <w:tc>
          <w:tcPr>
            <w:tcW w:w="2662" w:type="dxa"/>
            <w:shd w:val="clear" w:color="auto" w:fill="F4F7FB"/>
            <w:vAlign w:val="top"/>
          </w:tcPr>
          <w:p>
            <w:pPr>
              <w:pStyle w:val="TableText"/>
              <w:jc w:val="left"/>
            </w:pPr>
            <w:r>
              <w:t xml:space="preserve">TASCO’s mobile app for partners and other stakeholders, covering consultation, sales and after-sales</w:t>
            </w:r>
          </w:p>
        </w:tc>
        <w:tc>
          <w:tcPr>
            <w:tcW w:w="3466" w:type="dxa"/>
            <w:shd w:val="clear" w:color="auto" w:fill="F4F7FB"/>
            <w:vAlign w:val="top"/>
          </w:tcPr>
          <w:p>
            <w:pPr>
              <w:pStyle w:val="TableText"/>
              <w:jc w:val="left"/>
            </w:pPr>
            <w:r>
              <w:t xml:space="preserve">Tasco360 can call the partner API for quotes by plate, instant issuance and commission statements, with VETC vehicle data behind each quote. Partners keep the tool they already use. We will confirm in discovery whether Tasco360 is the first partner integration in the MVP.</w:t>
            </w:r>
          </w:p>
        </w:tc>
      </w:tr>
      <w:tr>
        <w:trPr>
          <w:cantSplit/>
        </w:trPr>
        <w:tc>
          <w:tcPr>
            <w:tcW w:w="2899" w:type="dxa"/>
            <w:vAlign w:val="top"/>
          </w:tcPr>
          <w:p>
            <w:pPr>
              <w:pStyle w:val="TableText"/>
              <w:jc w:val="left"/>
            </w:pPr>
            <w:r>
              <w:t xml:space="preserve">Hotline 1900 1562,</w:t>
            </w:r>
            <w:r>
              <w:t xml:space="preserve"> </w:t>
            </w:r>
            <w:hyperlink r:id="rIdG1">
              <w:r>
                <w:rPr>
                  <w:rStyle w:val="Hyperlink"/>
                </w:rPr>
                <w:t xml:space="preserve">info@baohiemtasco.vn</w:t>
              </w:r>
            </w:hyperlink>
            <w:r>
              <w:t xml:space="preserve">, Zalo, Messenger and website chat</w:t>
            </w:r>
          </w:p>
        </w:tc>
        <w:tc>
          <w:tcPr>
            <w:tcW w:w="2662" w:type="dxa"/>
            <w:vAlign w:val="top"/>
          </w:tcPr>
          <w:p>
            <w:pPr>
              <w:pStyle w:val="TableText"/>
              <w:jc w:val="left"/>
            </w:pPr>
            <w:r>
              <w:t xml:space="preserve">Claims, general support and insurance questions</w:t>
            </w:r>
          </w:p>
        </w:tc>
        <w:tc>
          <w:tcPr>
            <w:tcW w:w="3466" w:type="dxa"/>
            <w:vAlign w:val="top"/>
          </w:tcPr>
          <w:p>
            <w:pPr>
              <w:pStyle w:val="TableText"/>
              <w:jc w:val="left"/>
            </w:pPr>
            <w:r>
              <w:t xml:space="preserve">The customer app shows the same official contacts, so the driver hears one TASCO voice. Outbound calls should present a registered TASCO number that customers already recognise. Claims guidance points to TASCO’s published compensation guidelines.</w:t>
            </w:r>
          </w:p>
        </w:tc>
      </w:tr>
    </w:tbl>
    <w:p>
      <w:pPr>
        <w:pStyle w:val="BodyText"/>
        <w:spacing w:before="160"/>
      </w:pPr>
      <w:r>
        <w:t xml:space="preserve">None of these channels can reach the 6 million drivers who already use VETC at the moment they need cover, or tell when that moment is. The platform fills that gap and leaves the existing channels in place.</w:t>
      </w:r>
    </w:p>
    <w:p>
      <w:pPr>
        <w:pStyle w:val="Heading2"/>
      </w:pPr>
      <w:bookmarkStart w:id="12" w:name="_Toc300000008"/>
      <w:r>
        <w:t xml:space="preserve">Why own-channel sales are close to zero</w:t>
      </w:r>
      <w:bookmarkEnd w:id="12"/>
    </w:p>
    <w:p>
      <w:pPr>
        <w:pStyle w:val="FirstParagraph"/>
      </w:pPr>
      <w:r>
        <w:t xml:space="preserve">We see four causes, and they reinforce each other.</w:t>
      </w:r>
    </w:p>
    <w:p>
      <w:pPr>
        <w:pStyle w:val="BodyText"/>
      </w:pPr>
      <w:r>
        <w:t xml:space="preserve">The first is</w:t>
      </w:r>
      <w:r>
        <w:t xml:space="preserve"> </w:t>
      </w:r>
      <w:r>
        <w:rPr>
          <w:b/>
          <w:bCs/>
        </w:rPr>
        <w:t xml:space="preserve">data</w:t>
      </w:r>
      <w:r>
        <w:t xml:space="preserve">. Without a reliable expiry date, every message is a guess. A reminder sent six months early is ignored, and one sent two weeks late arrives after a partner has already sold the renewal. With only one record in ten carrying a usable policy date, most drivers cannot be reached at the right time.</w:t>
      </w:r>
    </w:p>
    <w:p>
      <w:pPr>
        <w:pStyle w:val="BodyText"/>
      </w:pPr>
      <w:r>
        <w:t xml:space="preserve">The second is</w:t>
      </w:r>
      <w:r>
        <w:t xml:space="preserve"> </w:t>
      </w:r>
      <w:r>
        <w:rPr>
          <w:b/>
          <w:bCs/>
        </w:rPr>
        <w:t xml:space="preserve">trust</w:t>
      </w:r>
      <w:r>
        <w:t xml:space="preserve">. Vietnamese consumers have learned to screen out unknown callers offering insurance, and for good reason. A sales call that opens by reading out the customer’s personal details feels like a scam even when it is not.</w:t>
      </w:r>
    </w:p>
    <w:p>
      <w:pPr>
        <w:pStyle w:val="BodyText"/>
      </w:pPr>
      <w:r>
        <w:t xml:space="preserve">The third is</w:t>
      </w:r>
      <w:r>
        <w:t xml:space="preserve"> </w:t>
      </w:r>
      <w:r>
        <w:rPr>
          <w:b/>
          <w:bCs/>
        </w:rPr>
        <w:t xml:space="preserve">price</w:t>
      </w:r>
      <w:r>
        <w:t xml:space="preserve">. TNDS premiums are set by Decree 67/2023/ND-CP, and premium discounts and inducements are not permitted. Many customers hold back, expecting a discount that will never come. A renewal strategy built on price fails before it starts.</w:t>
      </w:r>
    </w:p>
    <w:p>
      <w:pPr>
        <w:pStyle w:val="BodyText"/>
      </w:pPr>
      <w:r>
        <w:t xml:space="preserve">The fourth is</w:t>
      </w:r>
      <w:r>
        <w:t xml:space="preserve"> </w:t>
      </w:r>
      <w:r>
        <w:rPr>
          <w:b/>
          <w:bCs/>
        </w:rPr>
        <w:t xml:space="preserve">channel friction</w:t>
      </w:r>
      <w:r>
        <w:t xml:space="preserve">. When a driver does want to renew, the VETC app cannot complete the sale. A partner can, so the partner closes it.</w:t>
      </w:r>
    </w:p>
    <w:p>
      <w:pPr>
        <w:pStyle w:val="BodyText"/>
      </w:pPr>
      <w:r>
        <w:t xml:space="preserve">None of these can be fixed on its own. Better data without a trusted channel only produces better-targeted calls that still go unanswered. A trusted channel without one-tap purchase loses the customer at the last step. This is why we propose a single platform rather than four separate tools.</w:t>
      </w:r>
    </w:p>
    <w:p>
      <w:pPr>
        <w:pStyle w:val="Heading2"/>
      </w:pPr>
      <w:bookmarkStart w:id="13" w:name="_Toc300000009"/>
      <w:r>
        <w:t xml:space="preserve">The regulatory frame</w:t>
      </w:r>
      <w:bookmarkEnd w:id="13"/>
    </w:p>
    <w:p>
      <w:pPr>
        <w:pStyle w:val="FirstParagraph"/>
      </w:pPr>
      <w:r>
        <w:t xml:space="preserve">The solution has been designed around the rules that apply to motor insurance distribution in Vietnam. Each item below needs to be confirmed by TASCO’s legal team during discovery; the platform encodes TASCO’s decisions as configurable rules, so the answers can be applied without changing code.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974"/>
        <w:gridCol w:w="5053"/>
      </w:tblGrid>
      <w:tr>
        <w:trPr>
          <w:cantSplit/>
          <w:tblHeader/>
        </w:trPr>
        <w:tc>
          <w:tcPr>
            <w:tcW w:w="3974" w:type="dxa"/>
            <w:shd w:val="clear" w:color="auto" w:fill="0F4761"/>
            <w:vAlign w:val="center"/>
          </w:tcPr>
          <w:p>
            <w:pPr>
              <w:pStyle w:val="TableHeading"/>
              <w:jc w:val="left"/>
            </w:pPr>
            <w:r>
              <w:rPr>
                <w:color w:val="FFFFFF"/>
              </w:rPr>
              <w:t xml:space="preserve">Area</w:t>
            </w:r>
          </w:p>
        </w:tc>
        <w:tc>
          <w:tcPr>
            <w:tcW w:w="5053" w:type="dxa"/>
            <w:shd w:val="clear" w:color="auto" w:fill="0F4761"/>
            <w:vAlign w:val="center"/>
          </w:tcPr>
          <w:p>
            <w:pPr>
              <w:pStyle w:val="TableHeading"/>
              <w:jc w:val="left"/>
            </w:pPr>
            <w:r>
              <w:rPr>
                <w:color w:val="FFFFFF"/>
              </w:rPr>
              <w:t xml:space="preserve">What the platform does about it</w:t>
            </w:r>
          </w:p>
        </w:tc>
      </w:tr>
      <w:tr>
        <w:trPr>
          <w:cantSplit/>
        </w:trPr>
        <w:tc>
          <w:tcPr>
            <w:tcW w:w="3974" w:type="dxa"/>
            <w:vAlign w:val="top"/>
          </w:tcPr>
          <w:p>
            <w:pPr>
              <w:pStyle w:val="TableText"/>
              <w:jc w:val="left"/>
            </w:pPr>
            <w:r>
              <w:t xml:space="preserve">Compulsory TNDS (Decree 67/2023/ND-CP)</w:t>
            </w:r>
          </w:p>
        </w:tc>
        <w:tc>
          <w:tcPr>
            <w:tcW w:w="5053" w:type="dxa"/>
            <w:vAlign w:val="top"/>
          </w:tcPr>
          <w:p>
            <w:pPr>
              <w:pStyle w:val="TableText"/>
              <w:jc w:val="left"/>
            </w:pPr>
            <w:r>
              <w:t xml:space="preserve">Shows the regulated price as returned by TASCO’s core system, and never offers a premium discount</w:t>
            </w:r>
          </w:p>
        </w:tc>
      </w:tr>
      <w:tr>
        <w:trPr>
          <w:cantSplit/>
        </w:trPr>
        <w:tc>
          <w:tcPr>
            <w:tcW w:w="3974" w:type="dxa"/>
            <w:shd w:val="clear" w:color="auto" w:fill="F4F7FB"/>
            <w:vAlign w:val="top"/>
          </w:tcPr>
          <w:p>
            <w:pPr>
              <w:pStyle w:val="TableText"/>
              <w:jc w:val="left"/>
            </w:pPr>
            <w:r>
              <w:t xml:space="preserve">Law on Insurance Business 08/2022/QH15</w:t>
            </w:r>
          </w:p>
        </w:tc>
        <w:tc>
          <w:tcPr>
            <w:tcW w:w="5053" w:type="dxa"/>
            <w:shd w:val="clear" w:color="auto" w:fill="F4F7FB"/>
            <w:vAlign w:val="top"/>
          </w:tcPr>
          <w:p>
            <w:pPr>
              <w:pStyle w:val="TableText"/>
              <w:jc w:val="left"/>
            </w:pPr>
            <w:r>
              <w:t xml:space="preserve">Pays commission only to licensed partners and within configured caps; keeps disclosure text under compliance control</w:t>
            </w:r>
          </w:p>
        </w:tc>
      </w:tr>
      <w:tr>
        <w:trPr>
          <w:cantSplit/>
        </w:trPr>
        <w:tc>
          <w:tcPr>
            <w:tcW w:w="3974" w:type="dxa"/>
            <w:vAlign w:val="top"/>
          </w:tcPr>
          <w:p>
            <w:pPr>
              <w:pStyle w:val="TableText"/>
              <w:jc w:val="left"/>
            </w:pPr>
            <w:r>
              <w:t xml:space="preserve">Personal data protection (Decree 13/2023/ND-CP and the Personal Data Protection Law, effective 1 January 2026)</w:t>
            </w:r>
          </w:p>
        </w:tc>
        <w:tc>
          <w:tcPr>
            <w:tcW w:w="5053" w:type="dxa"/>
            <w:vAlign w:val="top"/>
          </w:tcPr>
          <w:p>
            <w:pPr>
              <w:pStyle w:val="TableText"/>
              <w:jc w:val="left"/>
            </w:pPr>
            <w:r>
              <w:t xml:space="preserve">Purpose-based consent, a consent centre for customers, data-subject requests, retention rules and breach-ready audit evidence</w:t>
            </w:r>
          </w:p>
        </w:tc>
      </w:tr>
      <w:tr>
        <w:trPr>
          <w:cantSplit/>
        </w:trPr>
        <w:tc>
          <w:tcPr>
            <w:tcW w:w="3974" w:type="dxa"/>
            <w:shd w:val="clear" w:color="auto" w:fill="F4F7FB"/>
            <w:vAlign w:val="top"/>
          </w:tcPr>
          <w:p>
            <w:pPr>
              <w:pStyle w:val="TableText"/>
              <w:jc w:val="left"/>
            </w:pPr>
            <w:r>
              <w:t xml:space="preserve">Cybersecurity Law 2018 and Decree 53/2022/ND-CP</w:t>
            </w:r>
          </w:p>
        </w:tc>
        <w:tc>
          <w:tcPr>
            <w:tcW w:w="5053" w:type="dxa"/>
            <w:shd w:val="clear" w:color="auto" w:fill="F4F7FB"/>
            <w:vAlign w:val="top"/>
          </w:tcPr>
          <w:p>
            <w:pPr>
              <w:pStyle w:val="TableText"/>
              <w:jc w:val="left"/>
            </w:pPr>
            <w:r>
              <w:t xml:space="preserve">Production hosting in Vietnam; no personal data leaves the country</w:t>
            </w:r>
          </w:p>
        </w:tc>
      </w:tr>
      <w:tr>
        <w:trPr>
          <w:cantSplit/>
        </w:trPr>
        <w:tc>
          <w:tcPr>
            <w:tcW w:w="3974" w:type="dxa"/>
            <w:vAlign w:val="top"/>
          </w:tcPr>
          <w:p>
            <w:pPr>
              <w:pStyle w:val="TableText"/>
              <w:jc w:val="left"/>
            </w:pPr>
            <w:r>
              <w:t xml:space="preserve">Electronic Transactions Law 20/2023/QH15</w:t>
            </w:r>
          </w:p>
        </w:tc>
        <w:tc>
          <w:tcPr>
            <w:tcW w:w="5053" w:type="dxa"/>
            <w:vAlign w:val="top"/>
          </w:tcPr>
          <w:p>
            <w:pPr>
              <w:pStyle w:val="TableText"/>
              <w:jc w:val="left"/>
            </w:pPr>
            <w:r>
              <w:t xml:space="preserve">E-certificates issued by TASCO’s core system and verifiable by QR code</w:t>
            </w:r>
          </w:p>
        </w:tc>
      </w:tr>
      <w:tr>
        <w:trPr>
          <w:cantSplit/>
        </w:trPr>
        <w:tc>
          <w:tcPr>
            <w:tcW w:w="3974" w:type="dxa"/>
            <w:shd w:val="clear" w:color="auto" w:fill="F4F7FB"/>
            <w:vAlign w:val="top"/>
          </w:tcPr>
          <w:p>
            <w:pPr>
              <w:pStyle w:val="TableText"/>
              <w:jc w:val="left"/>
            </w:pPr>
            <w:r>
              <w:t xml:space="preserve">Advertising and spam rules (Decree 91/2020/ND-CP)</w:t>
            </w:r>
          </w:p>
        </w:tc>
        <w:tc>
          <w:tcPr>
            <w:tcW w:w="5053" w:type="dxa"/>
            <w:shd w:val="clear" w:color="auto" w:fill="F4F7FB"/>
            <w:vAlign w:val="top"/>
          </w:tcPr>
          <w:p>
            <w:pPr>
              <w:pStyle w:val="TableText"/>
              <w:jc w:val="left"/>
            </w:pPr>
            <w:r>
              <w:t xml:space="preserve">Contact window of 08:00 to 20:00, frequency caps, do-not-contact handling and a copy guard on every message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4" w:name="_Toc300000010"/>
      <w:r>
        <w:rPr>
          <w:rStyle w:val="BookTitle"/>
          <w:bCs w:val="0"/>
          <w:i w:val="0"/>
          <w:iCs w:val="0"/>
          <w:spacing w:val="0"/>
        </w:rPr>
        <w:t xml:space="preserve">Our approach in one picture</w:t>
      </w:r>
      <w:bookmarkEnd w:id="14"/>
    </w:p>
    <w:p>
      <w:pPr>
        <w:pStyle w:val="FirstParagraph"/>
      </w:pPr>
      <w:r>
        <w:t xml:space="preserve">The idea behind the platform is simple: every interaction with a driver should leave TASCO knowing more than it did before, and every decision about whom to contact should be made on that knowledge.</w:t>
      </w:r>
    </w:p>
    <w:p xmlns:a="http://schemas.openxmlformats.org/drawingml/2006/main" xmlns:pic="http://schemas.openxmlformats.org/drawingml/2006/picture">
      <w:pPr>
        <w:pStyle w:val="Figure"/>
      </w:pPr>
      <w:r>
        <w:drawing>
          <wp:inline>
            <wp:extent cx="2120399" cy="6479999"/>
            <wp:effectExtent b="0" l="0" r="0" t="0"/>
            <wp:docPr descr="The growth loop: every interaction improves the vehicle record" title="" id="5002" name="Picture"/>
            <a:graphic>
              <a:graphicData uri="http://schemas.openxmlformats.org/drawingml/2006/picture">
                <pic:pic>
                  <pic:nvPicPr>
                    <pic:cNvPr descr="/tmp/claude-0/-home-user-TASCO/19e5534d-12b5-5956-9b60-3e77efde0f49/scratchpad/gen/.cache/mermaid/aaa0e7f29e4548b6.png" id="30" name="Picture"/>
                    <pic:cNvPicPr>
                      <a:picLocks noChangeArrowheads="1" noChangeAspect="1"/>
                    </pic:cNvPicPr>
                  </pic:nvPicPr>
                  <pic:blipFill>
                    <a:blip r:embed="rIdG2"/>
                    <a:stretch>
                      <a:fillRect/>
                    </a:stretch>
                  </pic:blipFill>
                  <pic:spPr bwMode="auto">
                    <a:xfrm>
                      <a:off x="0" y="0"/>
                      <a:ext cx="2120399" cy="6479999"/>
                    </a:xfrm>
                    <a:prstGeom prst="rect">
                      <a:avLst/>
                    </a:prstGeom>
                    <a:noFill/>
                    <a:ln w="9525">
                      <a:noFill/>
                      <a:headEnd/>
                      <a:tailEnd/>
                    </a:ln>
                  </pic:spPr>
                </pic:pic>
              </a:graphicData>
            </a:graphic>
          </wp:inline>
        </w:drawing>
      </w:r>
    </w:p>
    <w:p>
      <w:pPr>
        <w:pStyle w:val="Caption"/>
      </w:pPr>
      <w:r>
        <w:t xml:space="preserve">Figure 1 – The growth loop: every interaction improves the vehicle record</w:t>
      </w:r>
    </w:p>
    <w:p>
      <w:pPr>
        <w:pStyle w:val="BodyText"/>
      </w:pPr>
      <w:r>
        <w:t xml:space="preserve">The loop matters more than any single step. When a driver confirms their expiry date in the app, answers a question from the voice assistant, buys a policy or reports a claim, that information flows back into their record. Next year’s renewal starts from verified data, with less effort and at lower cost. Over two or three cycles, the data problem that blocks TASCO today becomes one of its advantages.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Why iorta TechNXT</w:t>
      </w:r>
      <w:bookmarkEnd w:id="15"/>
    </w:p>
    <w:p>
      <w:pPr>
        <w:pStyle w:val="FirstParagraph"/>
      </w:pPr>
      <w:r>
        <w:t xml:space="preserve">TASCO will receive proposals that describe what a platform could do. Ours describes what a platform already does, and TASCO can verify that before making a decision. The UAT environment is available to TASCO’s evaluation team now, with credentials for every role. A telesales agent can work a lead, a compliance officer can approve a rule change, and a customer can renew and receive an e-certificate, all from end to end.</w:t>
      </w:r>
    </w:p>
    <w:p>
      <w:pPr>
        <w:pStyle w:val="BodyText"/>
      </w:pPr>
      <w:r>
        <w:t xml:space="preserve">We built the platform specifically for this brief. Every one of the four challenge tracks (the voice assistant, lead scoring and enrichment, the renewal engine, and value beyond discount) is implemented, and each requirement is traced through to the code that delivers it and the test that proves it.</w:t>
      </w:r>
    </w:p>
    <w:p>
      <w:pPr>
        <w:pStyle w:val="BodyText"/>
      </w:pPr>
      <w:r>
        <w:t xml:space="preserve">We have engineered it to the standard an insurer should expect. Business rules are configuration, not code: products, scoring, journeys, contact policy, message copy, benefits and commission are versioned rule sets that TASCO’s business teams change through a rules studio, with simulation before release and a second person’s approval before anything goes live. Every decision is written to an audit trail that cannot be altered without detection. Personal data is encrypted at field level. Privileged users sign in with two-factor authentication, and incompatible roles cannot be held by the same person.</w:t>
      </w:r>
    </w:p>
    <w:p>
      <w:pPr>
        <w:pStyle w:val="BodyText"/>
      </w:pPr>
      <w:r>
        <w:t xml:space="preserve">Because so much already exists, the MVP budget goes almost entirely to TASCO-specific work. That is what allows us to commit to a fixed price inside TASCO’s budget and a pilot in 13 weeks.</w:t>
      </w:r>
    </w:p>
    <w:p>
      <w:pPr>
        <w:pStyle w:val="BodyText"/>
      </w:pPr>
      <w:r>
        <w:t xml:space="preserve">Finally, TASCO is not locked in. The platform uses mainstream technology (Node.js, PostgreSQL, Docker and Kubernetes), documented APIs and a complete set of 38 delivery documents. TASCO receives a perpetual licence and the source code, and can run the platform with its own team or any qualified partner in future.</w:t>
      </w:r>
    </w:p>
    <w:p>
      <w:pPr>
        <w:pStyle w:val="BodyText"/>
      </w:pPr>
      <w:r>
        <w:t xml:space="preserve">iorta TechNXT focuses on insurance technology, with the strapline</w:t>
      </w:r>
      <w:r>
        <w:t xml:space="preserve"> </w:t>
      </w:r>
      <w:r>
        <w:t xml:space="preserve">“</w:t>
      </w:r>
      <w:r>
        <w:t xml:space="preserve">Transforming Insurance with AI Innovation</w:t>
      </w:r>
      <w:r>
        <w:t xml:space="preserve">”</w:t>
      </w:r>
      <w:r>
        <w:t xml:space="preserve">. We operate in more than ten countries from eight offices and serve more than eleven insurance markets, including Vietnam, Malaysia, India, the Philippines, Thailand, Cambodia, Singapore, Hong Kong, Ethiopia and the USA. Our presence in Vietnam means that discovery, user acceptance testing, go-live and hypercare can be run on site with TASCO’s teams, in Vietnamese and English.</w:t>
      </w:r>
    </w:p>
    <w:p>
      <w:pPr>
        <w:pStyle w:val="BodyText"/>
      </w:pPr>
      <w:r>
        <w:rPr>
          <w:i/>
          <w:iCs/>
        </w:rPr>
        <w:t xml:space="preserve">[For iorta TechNXT to confirm before submission: named insurance references that may be cited, and certifications held (for example ISO/IEC 27001).]</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6" w:name="_Toc300000012"/>
      <w:r>
        <w:rPr>
          <w:rStyle w:val="BookTitle"/>
          <w:bCs w:val="0"/>
          <w:i w:val="0"/>
          <w:iCs w:val="0"/>
          <w:spacing w:val="0"/>
        </w:rPr>
        <w:t xml:space="preserve">How the solution answers each challenge</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22"/>
        <w:gridCol w:w="4387"/>
        <w:gridCol w:w="2718"/>
      </w:tblGrid>
      <w:tr>
        <w:trPr>
          <w:cantSplit/>
          <w:tblHeader/>
        </w:trPr>
        <w:tc>
          <w:tcPr>
            <w:tcW w:w="1922" w:type="dxa"/>
            <w:shd w:val="clear" w:color="auto" w:fill="0F4761"/>
            <w:vAlign w:val="center"/>
          </w:tcPr>
          <w:p>
            <w:pPr>
              <w:pStyle w:val="TableHeading"/>
              <w:jc w:val="left"/>
            </w:pPr>
            <w:r>
              <w:rPr>
                <w:color w:val="FFFFFF"/>
              </w:rPr>
              <w:t xml:space="preserve">Challenge</w:t>
            </w:r>
          </w:p>
        </w:tc>
        <w:tc>
          <w:tcPr>
            <w:tcW w:w="4387" w:type="dxa"/>
            <w:shd w:val="clear" w:color="auto" w:fill="0F4761"/>
            <w:vAlign w:val="center"/>
          </w:tcPr>
          <w:p>
            <w:pPr>
              <w:pStyle w:val="TableHeading"/>
              <w:jc w:val="left"/>
            </w:pPr>
            <w:r>
              <w:rPr>
                <w:color w:val="FFFFFF"/>
              </w:rPr>
              <w:t xml:space="preserve">What the platform does</w:t>
            </w:r>
          </w:p>
        </w:tc>
        <w:tc>
          <w:tcPr>
            <w:tcW w:w="2718" w:type="dxa"/>
            <w:shd w:val="clear" w:color="auto" w:fill="0F4761"/>
            <w:vAlign w:val="center"/>
          </w:tcPr>
          <w:p>
            <w:pPr>
              <w:pStyle w:val="TableHeading"/>
              <w:jc w:val="left"/>
            </w:pPr>
            <w:r>
              <w:rPr>
                <w:color w:val="FFFFFF"/>
              </w:rPr>
              <w:t xml:space="preserve">How we will know it works</w:t>
            </w:r>
          </w:p>
        </w:tc>
      </w:tr>
      <w:tr>
        <w:trPr>
          <w:cantSplit/>
        </w:trPr>
        <w:tc>
          <w:tcPr>
            <w:tcW w:w="1922" w:type="dxa"/>
            <w:vAlign w:val="top"/>
          </w:tcPr>
          <w:p>
            <w:pPr>
              <w:pStyle w:val="TableText"/>
              <w:jc w:val="left"/>
            </w:pPr>
            <w:r>
              <w:t xml:space="preserve">Renewals through own channels are close to zero</w:t>
            </w:r>
          </w:p>
        </w:tc>
        <w:tc>
          <w:tcPr>
            <w:tcW w:w="4387" w:type="dxa"/>
            <w:vAlign w:val="top"/>
          </w:tcPr>
          <w:p>
            <w:pPr>
              <w:pStyle w:val="TableText"/>
              <w:jc w:val="left"/>
            </w:pPr>
            <w:r>
              <w:t xml:space="preserve">Renewal journey from 45 days before expiry, ending in one-tap purchase in the VETC app</w:t>
            </w:r>
          </w:p>
        </w:tc>
        <w:tc>
          <w:tcPr>
            <w:tcW w:w="2718" w:type="dxa"/>
            <w:vAlign w:val="top"/>
          </w:tcPr>
          <w:p>
            <w:pPr>
              <w:pStyle w:val="TableText"/>
              <w:jc w:val="left"/>
            </w:pPr>
            <w:r>
              <w:t xml:space="preserve">Own-channel renewal rate in the pilot cohort against the control group</w:t>
            </w:r>
          </w:p>
        </w:tc>
      </w:tr>
      <w:tr>
        <w:trPr>
          <w:cantSplit/>
        </w:trPr>
        <w:tc>
          <w:tcPr>
            <w:tcW w:w="1922" w:type="dxa"/>
            <w:shd w:val="clear" w:color="auto" w:fill="F4F7FB"/>
            <w:vAlign w:val="top"/>
          </w:tcPr>
          <w:p>
            <w:pPr>
              <w:pStyle w:val="TableText"/>
              <w:jc w:val="left"/>
            </w:pPr>
            <w:r>
              <w:t xml:space="preserve">Data is weak and fragmented</w:t>
            </w:r>
          </w:p>
        </w:tc>
        <w:tc>
          <w:tcPr>
            <w:tcW w:w="4387" w:type="dxa"/>
            <w:shd w:val="clear" w:color="auto" w:fill="F4F7FB"/>
            <w:vAlign w:val="top"/>
          </w:tcPr>
          <w:p>
            <w:pPr>
              <w:pStyle w:val="TableText"/>
              <w:jc w:val="left"/>
            </w:pPr>
            <w:r>
              <w:t xml:space="preserve">One record per plate from all sources; expiry estimated with a stated confidence; customers confirm their own expiry; every contact writes back</w:t>
            </w:r>
          </w:p>
        </w:tc>
        <w:tc>
          <w:tcPr>
            <w:tcW w:w="2718" w:type="dxa"/>
            <w:shd w:val="clear" w:color="auto" w:fill="F4F7FB"/>
            <w:vAlign w:val="top"/>
          </w:tcPr>
          <w:p>
            <w:pPr>
              <w:pStyle w:val="TableText"/>
              <w:jc w:val="left"/>
            </w:pPr>
            <w:r>
              <w:t xml:space="preserve">Share of vehicles with a usable expiry date, measured monthly</w:t>
            </w:r>
          </w:p>
        </w:tc>
      </w:tr>
      <w:tr>
        <w:trPr>
          <w:cantSplit/>
        </w:trPr>
        <w:tc>
          <w:tcPr>
            <w:tcW w:w="1922" w:type="dxa"/>
            <w:vAlign w:val="top"/>
          </w:tcPr>
          <w:p>
            <w:pPr>
              <w:pStyle w:val="TableText"/>
              <w:jc w:val="left"/>
            </w:pPr>
            <w:r>
              <w:t xml:space="preserve">Customers do not trust sales calls</w:t>
            </w:r>
          </w:p>
        </w:tc>
        <w:tc>
          <w:tcPr>
            <w:tcW w:w="4387" w:type="dxa"/>
            <w:vAlign w:val="top"/>
          </w:tcPr>
          <w:p>
            <w:pPr>
              <w:pStyle w:val="TableText"/>
              <w:jc w:val="left"/>
            </w:pPr>
            <w:r>
              <w:t xml:space="preserve">The assistant says it is automated, asks the driver to state their plate before anything else, never asks for codes or payment, and payment happens only in the VETC app</w:t>
            </w:r>
          </w:p>
        </w:tc>
        <w:tc>
          <w:tcPr>
            <w:tcW w:w="2718" w:type="dxa"/>
            <w:vAlign w:val="top"/>
          </w:tcPr>
          <w:p>
            <w:pPr>
              <w:pStyle w:val="TableText"/>
              <w:jc w:val="left"/>
            </w:pPr>
            <w:r>
              <w:t xml:space="preserve">Call completion, opt-out and complaint rates</w:t>
            </w:r>
          </w:p>
        </w:tc>
      </w:tr>
      <w:tr>
        <w:trPr>
          <w:cantSplit/>
        </w:trPr>
        <w:tc>
          <w:tcPr>
            <w:tcW w:w="1922" w:type="dxa"/>
            <w:shd w:val="clear" w:color="auto" w:fill="F4F7FB"/>
            <w:vAlign w:val="top"/>
          </w:tcPr>
          <w:p>
            <w:pPr>
              <w:pStyle w:val="TableText"/>
              <w:jc w:val="left"/>
            </w:pPr>
            <w:r>
              <w:t xml:space="preserve">Discounts are not allowed</w:t>
            </w:r>
          </w:p>
        </w:tc>
        <w:tc>
          <w:tcPr>
            <w:tcW w:w="4387" w:type="dxa"/>
            <w:shd w:val="clear" w:color="auto" w:fill="F4F7FB"/>
            <w:vAlign w:val="top"/>
          </w:tcPr>
          <w:p>
            <w:pPr>
              <w:pStyle w:val="TableText"/>
              <w:jc w:val="left"/>
            </w:pPr>
            <w:r>
              <w:t xml:space="preserve">A copy guard blocks discount language; the offer is built on service: roadside assistance, verifiable e-certificate, reminders, faster claims, multi-year cover</w:t>
            </w:r>
          </w:p>
        </w:tc>
        <w:tc>
          <w:tcPr>
            <w:tcW w:w="2718" w:type="dxa"/>
            <w:shd w:val="clear" w:color="auto" w:fill="F4F7FB"/>
            <w:vAlign w:val="top"/>
          </w:tcPr>
          <w:p>
            <w:pPr>
              <w:pStyle w:val="TableText"/>
              <w:jc w:val="left"/>
            </w:pPr>
            <w:r>
              <w:t xml:space="preserve">Zero copy-guard breaches; uptake of benefits</w:t>
            </w:r>
          </w:p>
        </w:tc>
      </w:tr>
      <w:tr>
        <w:trPr>
          <w:cantSplit/>
        </w:trPr>
        <w:tc>
          <w:tcPr>
            <w:tcW w:w="1922" w:type="dxa"/>
            <w:vAlign w:val="top"/>
          </w:tcPr>
          <w:p>
            <w:pPr>
              <w:pStyle w:val="TableText"/>
              <w:jc w:val="left"/>
            </w:pPr>
            <w:r>
              <w:t xml:space="preserve">Partners close faster</w:t>
            </w:r>
          </w:p>
        </w:tc>
        <w:tc>
          <w:tcPr>
            <w:tcW w:w="4387" w:type="dxa"/>
            <w:vAlign w:val="top"/>
          </w:tcPr>
          <w:p>
            <w:pPr>
              <w:pStyle w:val="TableText"/>
              <w:jc w:val="left"/>
            </w:pPr>
            <w:r>
              <w:t xml:space="preserve">Partners get an API to quote by plate and issue in under a minute, with commission capped by rule; leads are routed to the channel most likely to close</w:t>
            </w:r>
          </w:p>
        </w:tc>
        <w:tc>
          <w:tcPr>
            <w:tcW w:w="2718" w:type="dxa"/>
            <w:vAlign w:val="top"/>
          </w:tcPr>
          <w:p>
            <w:pPr>
              <w:pStyle w:val="TableText"/>
              <w:jc w:val="left"/>
            </w:pPr>
            <w:r>
              <w:t xml:space="preserve">Policies through the partner API; time to certificate</w:t>
            </w:r>
          </w:p>
        </w:tc>
      </w:tr>
      <w:tr>
        <w:trPr>
          <w:cantSplit/>
        </w:trPr>
        <w:tc>
          <w:tcPr>
            <w:tcW w:w="1922" w:type="dxa"/>
            <w:shd w:val="clear" w:color="auto" w:fill="F4F7FB"/>
            <w:vAlign w:val="top"/>
          </w:tcPr>
          <w:p>
            <w:pPr>
              <w:pStyle w:val="TableText"/>
              <w:jc w:val="left"/>
            </w:pPr>
            <w:r>
              <w:t xml:space="preserve">Growth beyond renewals</w:t>
            </w:r>
          </w:p>
        </w:tc>
        <w:tc>
          <w:tcPr>
            <w:tcW w:w="4387" w:type="dxa"/>
            <w:shd w:val="clear" w:color="auto" w:fill="F4F7FB"/>
            <w:vAlign w:val="top"/>
          </w:tcPr>
          <w:p>
            <w:pPr>
              <w:pStyle w:val="TableText"/>
              <w:jc w:val="left"/>
            </w:pPr>
            <w:r>
              <w:t xml:space="preserve">Journeys for drivers insured elsewhere, new vehicles, lapsed and uninsured drivers, and cross-sell</w:t>
            </w:r>
          </w:p>
        </w:tc>
        <w:tc>
          <w:tcPr>
            <w:tcW w:w="2718" w:type="dxa"/>
            <w:shd w:val="clear" w:color="auto" w:fill="F4F7FB"/>
            <w:vAlign w:val="top"/>
          </w:tcPr>
          <w:p>
            <w:pPr>
              <w:pStyle w:val="TableText"/>
              <w:jc w:val="left"/>
            </w:pPr>
            <w:r>
              <w:t xml:space="preserve">Share of new-business policies</w:t>
            </w:r>
          </w:p>
        </w:tc>
      </w:tr>
      <w:tr>
        <w:trPr>
          <w:cantSplit/>
        </w:trPr>
        <w:tc>
          <w:tcPr>
            <w:tcW w:w="1922" w:type="dxa"/>
            <w:vAlign w:val="top"/>
          </w:tcPr>
          <w:p>
            <w:pPr>
              <w:pStyle w:val="TableText"/>
              <w:jc w:val="left"/>
            </w:pPr>
            <w:r>
              <w:t xml:space="preserve">Pricing must stay correct</w:t>
            </w:r>
          </w:p>
        </w:tc>
        <w:tc>
          <w:tcPr>
            <w:tcW w:w="4387" w:type="dxa"/>
            <w:vAlign w:val="top"/>
          </w:tcPr>
          <w:p>
            <w:pPr>
              <w:pStyle w:val="TableText"/>
              <w:jc w:val="left"/>
            </w:pPr>
            <w:r>
              <w:t xml:space="preserve">Every quote is priced live by TASCO’s core system; the product catalogue is synchronised from core and approved before release</w:t>
            </w:r>
          </w:p>
        </w:tc>
        <w:tc>
          <w:tcPr>
            <w:tcW w:w="2718" w:type="dxa"/>
            <w:vAlign w:val="top"/>
          </w:tcPr>
          <w:p>
            <w:pPr>
              <w:pStyle w:val="TableText"/>
              <w:jc w:val="left"/>
            </w:pPr>
            <w:r>
              <w:t xml:space="preserve">Zero differences between quoted and issued premium</w:t>
            </w:r>
          </w:p>
        </w:tc>
      </w:tr>
      <w:tr>
        <w:trPr>
          <w:cantSplit/>
        </w:trPr>
        <w:tc>
          <w:tcPr>
            <w:tcW w:w="1922" w:type="dxa"/>
            <w:shd w:val="clear" w:color="auto" w:fill="F4F7FB"/>
            <w:vAlign w:val="top"/>
          </w:tcPr>
          <w:p>
            <w:pPr>
              <w:pStyle w:val="TableText"/>
              <w:jc w:val="left"/>
            </w:pPr>
            <w:r>
              <w:t xml:space="preserve">Privacy and messaging rules</w:t>
            </w:r>
          </w:p>
        </w:tc>
        <w:tc>
          <w:tcPr>
            <w:tcW w:w="4387" w:type="dxa"/>
            <w:shd w:val="clear" w:color="auto" w:fill="F4F7FB"/>
            <w:vAlign w:val="top"/>
          </w:tcPr>
          <w:p>
            <w:pPr>
              <w:pStyle w:val="TableText"/>
              <w:jc w:val="left"/>
            </w:pPr>
            <w:r>
              <w:t xml:space="preserve">Consent centre, contact window, frequency caps, data-subject requests and a full audit trail</w:t>
            </w:r>
          </w:p>
        </w:tc>
        <w:tc>
          <w:tcPr>
            <w:tcW w:w="2718" w:type="dxa"/>
            <w:shd w:val="clear" w:color="auto" w:fill="F4F7FB"/>
            <w:vAlign w:val="top"/>
          </w:tcPr>
          <w:p>
            <w:pPr>
              <w:pStyle w:val="TableText"/>
              <w:jc w:val="left"/>
            </w:pPr>
            <w:r>
              <w:t xml:space="preserve">Zero contact-policy breaches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The solution</w:t>
      </w:r>
      <w:bookmarkEnd w:id="17"/>
    </w:p>
    <w:p>
      <w:pPr>
        <w:pStyle w:val="Heading2"/>
      </w:pPr>
      <w:bookmarkStart w:id="18" w:name="_Toc300000014"/>
      <w:r>
        <w:t xml:space="preserve">Capabilities</w:t>
      </w:r>
      <w:bookmarkEnd w:id="18"/>
    </w:p>
    <w:p>
      <w:pPr>
        <w:pStyle w:val="FirstParagraph"/>
      </w:pPr>
      <w:r>
        <w:t xml:space="preserve">The platform has eight capability areas. They share one data model, one rules engine and one audit trail, which is why they behave consistently.</w:t>
      </w:r>
    </w:p>
    <w:p xmlns:a="http://schemas.openxmlformats.org/drawingml/2006/main" xmlns:pic="http://schemas.openxmlformats.org/drawingml/2006/picture">
      <w:pPr>
        <w:pStyle w:val="Figure"/>
      </w:pPr>
      <w:r>
        <w:drawing>
          <wp:inline>
            <wp:extent cx="5727700" cy="4106587"/>
            <wp:effectExtent b="0" l="0" r="0" t="0"/>
            <wp:docPr descr="Eight capability areas between the customer channels and the systems of record" title="" id="5003" name="Picture"/>
            <a:graphic>
              <a:graphicData uri="http://schemas.openxmlformats.org/drawingml/2006/picture">
                <pic:pic>
                  <pic:nvPicPr>
                    <pic:cNvPr descr="/tmp/claude-0/-home-user-TASCO/19e5534d-12b5-5956-9b60-3e77efde0f49/scratchpad/gen/.cache/mermaid/0dbb110f21668d66.png" id="36" name="Picture"/>
                    <pic:cNvPicPr>
                      <a:picLocks noChangeArrowheads="1" noChangeAspect="1"/>
                    </pic:cNvPicPr>
                  </pic:nvPicPr>
                  <pic:blipFill>
                    <a:blip r:embed="rIdG3"/>
                    <a:stretch>
                      <a:fillRect/>
                    </a:stretch>
                  </pic:blipFill>
                  <pic:spPr bwMode="auto">
                    <a:xfrm>
                      <a:off x="0" y="0"/>
                      <a:ext cx="5727700" cy="4106587"/>
                    </a:xfrm>
                    <a:prstGeom prst="rect">
                      <a:avLst/>
                    </a:prstGeom>
                    <a:noFill/>
                    <a:ln w="9525">
                      <a:noFill/>
                      <a:headEnd/>
                      <a:tailEnd/>
                    </a:ln>
                  </pic:spPr>
                </pic:pic>
              </a:graphicData>
            </a:graphic>
          </wp:inline>
        </w:drawing>
      </w:r>
    </w:p>
    <w:p>
      <w:pPr>
        <w:pStyle w:val="Caption"/>
      </w:pPr>
      <w:r>
        <w:t xml:space="preserve">Figure 2 – Eight capability areas between the customer channels and the systems of record</w:t>
      </w:r>
    </w:p>
    <w:p>
      <w:pPr>
        <w:pStyle w:val="BodyText"/>
      </w:pPr>
      <w:r>
        <w:rPr>
          <w:b/>
          <w:bCs/>
        </w:rPr>
        <w:t xml:space="preserve">Data foundation.</w:t>
      </w:r>
      <w:r>
        <w:t xml:space="preserve"> </w:t>
      </w:r>
      <w:r>
        <w:t xml:space="preserve">Records from VETC, TASCO’s policy book and partner files are matched by licence plate into one profile per vehicle. Where sources disagree, the platform chooses the most trusted value and keeps the alternatives. It estimates the policy expiry date from all the evidence available and states how confident it is. Data stewards work a queue of records that need attention, and every field shows where it came from.</w:t>
      </w:r>
    </w:p>
    <w:p>
      <w:pPr>
        <w:pStyle w:val="BodyText"/>
      </w:pPr>
      <w:r>
        <w:rPr>
          <w:b/>
          <w:bCs/>
        </w:rPr>
        <w:t xml:space="preserve">Lead intelligence.</w:t>
      </w:r>
      <w:r>
        <w:t xml:space="preserve"> </w:t>
      </w:r>
      <w:r>
        <w:t xml:space="preserve">Each vehicle receives a score from 0 to 100, with reasons written in plain language, and a next best action. That action might be</w:t>
      </w:r>
      <w:r>
        <w:t xml:space="preserve"> </w:t>
      </w:r>
      <w:r>
        <w:t xml:space="preserve">“</w:t>
      </w:r>
      <w:r>
        <w:t xml:space="preserve">verify the expiry first</w:t>
      </w:r>
      <w:r>
        <w:t xml:space="preserve">”</w:t>
      </w:r>
      <w:r>
        <w:t xml:space="preserve">,</w:t>
      </w:r>
      <w:r>
        <w:t xml:space="preserve"> </w:t>
      </w:r>
      <w:r>
        <w:t xml:space="preserve">“</w:t>
      </w:r>
      <w:r>
        <w:t xml:space="preserve">send the renewal</w:t>
      </w:r>
      <w:r>
        <w:t xml:space="preserve">”</w:t>
      </w:r>
      <w:r>
        <w:t xml:space="preserve">,</w:t>
      </w:r>
      <w:r>
        <w:t xml:space="preserve"> </w:t>
      </w:r>
      <w:r>
        <w:t xml:space="preserve">“</w:t>
      </w:r>
      <w:r>
        <w:t xml:space="preserve">call</w:t>
      </w:r>
      <w:r>
        <w:t xml:space="preserve">”</w:t>
      </w:r>
      <w:r>
        <w:t xml:space="preserve">, or</w:t>
      </w:r>
      <w:r>
        <w:t xml:space="preserve"> </w:t>
      </w:r>
      <w:r>
        <w:t xml:space="preserve">“</w:t>
      </w:r>
      <w:r>
        <w:t xml:space="preserve">route to the B2B team because this is a company vehicle</w:t>
      </w:r>
      <w:r>
        <w:t xml:space="preserve">”</w:t>
      </w:r>
      <w:r>
        <w:t xml:space="preserve">.</w:t>
      </w:r>
    </w:p>
    <w:p>
      <w:pPr>
        <w:pStyle w:val="BodyText"/>
      </w:pPr>
      <w:r>
        <w:rPr>
          <w:b/>
          <w:bCs/>
        </w:rPr>
        <w:t xml:space="preserve">Journey engine.</w:t>
      </w:r>
      <w:r>
        <w:t xml:space="preserve"> </w:t>
      </w:r>
      <w:r>
        <w:t xml:space="preserve">Five journeys run on timed schedules across app push, Zalo, SMS, the voice assistant and telesales. Before any message is sent, the platform checks consent, the contact window, frequency limits and the wording. Important moments in the VETC ecosystem, such as a new tag activation, a booked inspection or a wallet top-up, can start a journey at once.</w:t>
      </w:r>
    </w:p>
    <w:p>
      <w:pPr>
        <w:pStyle w:val="BodyText"/>
      </w:pPr>
      <w:r>
        <w:rPr>
          <w:b/>
          <w:bCs/>
        </w:rPr>
        <w:t xml:space="preserve">Voice assistant and telesales.</w:t>
      </w:r>
      <w:r>
        <w:t xml:space="preserve"> </w:t>
      </w:r>
      <w:r>
        <w:t xml:space="preserve">The assistant identifies itself, verifies the plate, asks about current cover and interest, writes the answers back to the record and passes warm leads to a telesales agent with a summary and suggested talking points. Agents never take payment. They send the quote to the customer’s VETC app, where the customer pays.</w:t>
      </w:r>
    </w:p>
    <w:p>
      <w:pPr>
        <w:pStyle w:val="BodyText"/>
      </w:pPr>
      <w:r>
        <w:rPr>
          <w:b/>
          <w:bCs/>
        </w:rPr>
        <w:t xml:space="preserve">Quote, pay and issue.</w:t>
      </w:r>
      <w:r>
        <w:t xml:space="preserve"> </w:t>
      </w:r>
      <w:r>
        <w:t xml:space="preserve">Quotes are priced by TASCO’s core system. The customer pays from the VETC wallet. TASCO’s core system binds the quote it priced and issues the policy and e-certificate. If issuance fails after payment, the platform refunds automatically.</w:t>
      </w:r>
    </w:p>
    <w:p>
      <w:pPr>
        <w:pStyle w:val="BodyText"/>
      </w:pPr>
      <w:r>
        <w:rPr>
          <w:b/>
          <w:bCs/>
        </w:rPr>
        <w:t xml:space="preserve">Benefits and claims start.</w:t>
      </w:r>
      <w:r>
        <w:t xml:space="preserve"> </w:t>
      </w:r>
      <w:r>
        <w:t xml:space="preserve">The offer is built on service rather than price. Customers can report an accident in the app with photos and location, and the claims team receives it in a queue.</w:t>
      </w:r>
    </w:p>
    <w:p>
      <w:pPr>
        <w:pStyle w:val="BodyText"/>
      </w:pPr>
      <w:r>
        <w:rPr>
          <w:b/>
          <w:bCs/>
        </w:rPr>
        <w:t xml:space="preserve">Partner channel.</w:t>
      </w:r>
      <w:r>
        <w:t xml:space="preserve"> </w:t>
      </w:r>
      <w:r>
        <w:t xml:space="preserve">Partners quote and bind through a secure API, with commission calculated and capped by rule and a monthly statement for each partner.</w:t>
      </w:r>
    </w:p>
    <w:p>
      <w:pPr>
        <w:pStyle w:val="BodyText"/>
      </w:pPr>
      <w:r>
        <w:rPr>
          <w:b/>
          <w:bCs/>
        </w:rPr>
        <w:t xml:space="preserve">Governance and audit.</w:t>
      </w:r>
      <w:r>
        <w:t xml:space="preserve"> </w:t>
      </w:r>
      <w:r>
        <w:t xml:space="preserve">A rules studio with simulation and four-eyes approval, a consent centre, data-subject requests, role-based dashboards, and an audit trail that can be verified for tampering.</w:t>
      </w:r>
    </w:p>
    <w:p>
      <w:pPr>
        <w:pStyle w:val="Heading2"/>
      </w:pPr>
      <w:bookmarkStart w:id="19" w:name="_Toc300000015"/>
      <w:r>
        <w:t xml:space="preserve">New business, not only renewals</w:t>
      </w:r>
      <w:bookmarkEnd w:id="19"/>
    </w:p>
    <w:p>
      <w:pPr>
        <w:pStyle w:val="FirstParagraph"/>
      </w:pPr>
      <w:r>
        <w:t xml:space="preserve">The brief asked about renewals. We think the larger opportunity lies in the drivers TASCO does not yet insure. The platform therefore treats the whole VETC base as a set of segments, each with its own play.</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53"/>
        <w:gridCol w:w="2401"/>
        <w:gridCol w:w="2652"/>
        <w:gridCol w:w="2221"/>
      </w:tblGrid>
      <w:tr>
        <w:trPr>
          <w:cantSplit/>
          <w:tblHeader/>
        </w:trPr>
        <w:tc>
          <w:tcPr>
            <w:tcW w:w="1753" w:type="dxa"/>
            <w:shd w:val="clear" w:color="auto" w:fill="0F4761"/>
            <w:vAlign w:val="center"/>
          </w:tcPr>
          <w:p>
            <w:pPr>
              <w:pStyle w:val="TableHeading"/>
              <w:jc w:val="left"/>
            </w:pPr>
            <w:r>
              <w:rPr>
                <w:color w:val="FFFFFF"/>
              </w:rPr>
              <w:t xml:space="preserve">Segment</w:t>
            </w:r>
          </w:p>
        </w:tc>
        <w:tc>
          <w:tcPr>
            <w:tcW w:w="2401" w:type="dxa"/>
            <w:shd w:val="clear" w:color="auto" w:fill="0F4761"/>
            <w:vAlign w:val="center"/>
          </w:tcPr>
          <w:p>
            <w:pPr>
              <w:pStyle w:val="TableHeading"/>
              <w:jc w:val="left"/>
            </w:pPr>
            <w:r>
              <w:rPr>
                <w:color w:val="FFFFFF"/>
              </w:rPr>
              <w:t xml:space="preserve">Who they are</w:t>
            </w:r>
          </w:p>
        </w:tc>
        <w:tc>
          <w:tcPr>
            <w:tcW w:w="2652" w:type="dxa"/>
            <w:shd w:val="clear" w:color="auto" w:fill="0F4761"/>
            <w:vAlign w:val="center"/>
          </w:tcPr>
          <w:p>
            <w:pPr>
              <w:pStyle w:val="TableHeading"/>
              <w:jc w:val="left"/>
            </w:pPr>
            <w:r>
              <w:rPr>
                <w:color w:val="FFFFFF"/>
              </w:rPr>
              <w:t xml:space="preserve">What the platform does</w:t>
            </w:r>
          </w:p>
        </w:tc>
        <w:tc>
          <w:tcPr>
            <w:tcW w:w="2221" w:type="dxa"/>
            <w:shd w:val="clear" w:color="auto" w:fill="0F4761"/>
            <w:vAlign w:val="center"/>
          </w:tcPr>
          <w:p>
            <w:pPr>
              <w:pStyle w:val="TableHeading"/>
              <w:jc w:val="left"/>
            </w:pPr>
            <w:r>
              <w:rPr>
                <w:color w:val="FFFFFF"/>
              </w:rPr>
              <w:t xml:space="preserve">Products</w:t>
            </w:r>
          </w:p>
        </w:tc>
      </w:tr>
      <w:tr>
        <w:trPr>
          <w:cantSplit/>
        </w:trPr>
        <w:tc>
          <w:tcPr>
            <w:tcW w:w="1753" w:type="dxa"/>
            <w:vAlign w:val="top"/>
          </w:tcPr>
          <w:p>
            <w:pPr>
              <w:pStyle w:val="TableText"/>
              <w:jc w:val="left"/>
            </w:pPr>
            <w:r>
              <w:t xml:space="preserve">Lapsed or uninsured</w:t>
            </w:r>
          </w:p>
        </w:tc>
        <w:tc>
          <w:tcPr>
            <w:tcW w:w="2401" w:type="dxa"/>
            <w:vAlign w:val="top"/>
          </w:tcPr>
          <w:p>
            <w:pPr>
              <w:pStyle w:val="TableText"/>
              <w:jc w:val="left"/>
            </w:pPr>
            <w:r>
              <w:t xml:space="preserve">No valid cover can be found</w:t>
            </w:r>
          </w:p>
        </w:tc>
        <w:tc>
          <w:tcPr>
            <w:tcW w:w="2652" w:type="dxa"/>
            <w:vAlign w:val="top"/>
          </w:tcPr>
          <w:p>
            <w:pPr>
              <w:pStyle w:val="TableText"/>
              <w:jc w:val="left"/>
            </w:pPr>
            <w:r>
              <w:t xml:space="preserve">Recovery journey through the app first, then a voice call with consent</w:t>
            </w:r>
          </w:p>
        </w:tc>
        <w:tc>
          <w:tcPr>
            <w:tcW w:w="2221" w:type="dxa"/>
            <w:vAlign w:val="top"/>
          </w:tcPr>
          <w:p>
            <w:pPr>
              <w:pStyle w:val="TableText"/>
              <w:jc w:val="left"/>
            </w:pPr>
            <w:r>
              <w:t xml:space="preserve">TNDS</w:t>
            </w:r>
          </w:p>
        </w:tc>
      </w:tr>
      <w:tr>
        <w:trPr>
          <w:cantSplit/>
        </w:trPr>
        <w:tc>
          <w:tcPr>
            <w:tcW w:w="1753" w:type="dxa"/>
            <w:shd w:val="clear" w:color="auto" w:fill="F4F7FB"/>
            <w:vAlign w:val="top"/>
          </w:tcPr>
          <w:p>
            <w:pPr>
              <w:pStyle w:val="TableText"/>
              <w:jc w:val="left"/>
            </w:pPr>
            <w:r>
              <w:t xml:space="preserve">New vehicle</w:t>
            </w:r>
          </w:p>
        </w:tc>
        <w:tc>
          <w:tcPr>
            <w:tcW w:w="2401" w:type="dxa"/>
            <w:shd w:val="clear" w:color="auto" w:fill="F4F7FB"/>
            <w:vAlign w:val="top"/>
          </w:tcPr>
          <w:p>
            <w:pPr>
              <w:pStyle w:val="TableText"/>
              <w:jc w:val="left"/>
            </w:pPr>
            <w:r>
              <w:t xml:space="preserve">A new VETC tag has just been activated</w:t>
            </w:r>
          </w:p>
        </w:tc>
        <w:tc>
          <w:tcPr>
            <w:tcW w:w="2652" w:type="dxa"/>
            <w:shd w:val="clear" w:color="auto" w:fill="F4F7FB"/>
            <w:vAlign w:val="top"/>
          </w:tcPr>
          <w:p>
            <w:pPr>
              <w:pStyle w:val="TableText"/>
              <w:jc w:val="left"/>
            </w:pPr>
            <w:r>
              <w:t xml:space="preserve">Welcome message and a quote at activation</w:t>
            </w:r>
          </w:p>
        </w:tc>
        <w:tc>
          <w:tcPr>
            <w:tcW w:w="2221" w:type="dxa"/>
            <w:shd w:val="clear" w:color="auto" w:fill="F4F7FB"/>
            <w:vAlign w:val="top"/>
          </w:tcPr>
          <w:p>
            <w:pPr>
              <w:pStyle w:val="TableText"/>
              <w:jc w:val="left"/>
            </w:pPr>
            <w:r>
              <w:t xml:space="preserve">TNDS, personal accident, physical damage</w:t>
            </w:r>
          </w:p>
        </w:tc>
      </w:tr>
      <w:tr>
        <w:trPr>
          <w:cantSplit/>
        </w:trPr>
        <w:tc>
          <w:tcPr>
            <w:tcW w:w="1753" w:type="dxa"/>
            <w:vAlign w:val="top"/>
          </w:tcPr>
          <w:p>
            <w:pPr>
              <w:pStyle w:val="TableText"/>
              <w:jc w:val="left"/>
            </w:pPr>
            <w:r>
              <w:t xml:space="preserve">TASCO renewal</w:t>
            </w:r>
          </w:p>
        </w:tc>
        <w:tc>
          <w:tcPr>
            <w:tcW w:w="2401" w:type="dxa"/>
            <w:vAlign w:val="top"/>
          </w:tcPr>
          <w:p>
            <w:pPr>
              <w:pStyle w:val="TableText"/>
              <w:jc w:val="left"/>
            </w:pPr>
            <w:r>
              <w:t xml:space="preserve">A TASCO policy is due to expire</w:t>
            </w:r>
          </w:p>
        </w:tc>
        <w:tc>
          <w:tcPr>
            <w:tcW w:w="2652" w:type="dxa"/>
            <w:vAlign w:val="top"/>
          </w:tcPr>
          <w:p>
            <w:pPr>
              <w:pStyle w:val="TableText"/>
              <w:jc w:val="left"/>
            </w:pPr>
            <w:r>
              <w:t xml:space="preserve">Renewal journey from 45 days before expiry</w:t>
            </w:r>
          </w:p>
        </w:tc>
        <w:tc>
          <w:tcPr>
            <w:tcW w:w="2221" w:type="dxa"/>
            <w:vAlign w:val="top"/>
          </w:tcPr>
          <w:p>
            <w:pPr>
              <w:pStyle w:val="TableText"/>
              <w:jc w:val="left"/>
            </w:pPr>
            <w:r>
              <w:t xml:space="preserve">TNDS (including multi-year), add-ons</w:t>
            </w:r>
          </w:p>
        </w:tc>
      </w:tr>
      <w:tr>
        <w:trPr>
          <w:cantSplit/>
        </w:trPr>
        <w:tc>
          <w:tcPr>
            <w:tcW w:w="1753" w:type="dxa"/>
            <w:shd w:val="clear" w:color="auto" w:fill="F4F7FB"/>
            <w:vAlign w:val="top"/>
          </w:tcPr>
          <w:p>
            <w:pPr>
              <w:pStyle w:val="TableText"/>
              <w:jc w:val="left"/>
            </w:pPr>
            <w:r>
              <w:t xml:space="preserve">Insured elsewhere</w:t>
            </w:r>
          </w:p>
        </w:tc>
        <w:tc>
          <w:tcPr>
            <w:tcW w:w="2401" w:type="dxa"/>
            <w:shd w:val="clear" w:color="auto" w:fill="F4F7FB"/>
            <w:vAlign w:val="top"/>
          </w:tcPr>
          <w:p>
            <w:pPr>
              <w:pStyle w:val="TableText"/>
              <w:jc w:val="left"/>
            </w:pPr>
            <w:r>
              <w:t xml:space="preserve">Cover is held with another insurer</w:t>
            </w:r>
          </w:p>
        </w:tc>
        <w:tc>
          <w:tcPr>
            <w:tcW w:w="2652" w:type="dxa"/>
            <w:shd w:val="clear" w:color="auto" w:fill="F4F7FB"/>
            <w:vAlign w:val="top"/>
          </w:tcPr>
          <w:p>
            <w:pPr>
              <w:pStyle w:val="TableText"/>
              <w:jc w:val="left"/>
            </w:pPr>
            <w:r>
              <w:t xml:space="preserve">Conquest journey timed to that insurer’s expiry</w:t>
            </w:r>
          </w:p>
        </w:tc>
        <w:tc>
          <w:tcPr>
            <w:tcW w:w="2221" w:type="dxa"/>
            <w:shd w:val="clear" w:color="auto" w:fill="F4F7FB"/>
            <w:vAlign w:val="top"/>
          </w:tcPr>
          <w:p>
            <w:pPr>
              <w:pStyle w:val="TableText"/>
              <w:jc w:val="left"/>
            </w:pPr>
            <w:r>
              <w:t xml:space="preserve">TNDS with the service bundle</w:t>
            </w:r>
          </w:p>
        </w:tc>
      </w:tr>
      <w:tr>
        <w:trPr>
          <w:cantSplit/>
        </w:trPr>
        <w:tc>
          <w:tcPr>
            <w:tcW w:w="1753" w:type="dxa"/>
            <w:vAlign w:val="top"/>
          </w:tcPr>
          <w:p>
            <w:pPr>
              <w:pStyle w:val="TableText"/>
              <w:jc w:val="left"/>
            </w:pPr>
            <w:r>
              <w:t xml:space="preserve">Existing TASCO customer</w:t>
            </w:r>
          </w:p>
        </w:tc>
        <w:tc>
          <w:tcPr>
            <w:tcW w:w="2401" w:type="dxa"/>
            <w:vAlign w:val="top"/>
          </w:tcPr>
          <w:p>
            <w:pPr>
              <w:pStyle w:val="TableText"/>
              <w:jc w:val="left"/>
            </w:pPr>
            <w:r>
              <w:t xml:space="preserve">Holds TASCO cover today</w:t>
            </w:r>
          </w:p>
        </w:tc>
        <w:tc>
          <w:tcPr>
            <w:tcW w:w="2652" w:type="dxa"/>
            <w:vAlign w:val="top"/>
          </w:tcPr>
          <w:p>
            <w:pPr>
              <w:pStyle w:val="TableText"/>
              <w:jc w:val="left"/>
            </w:pPr>
            <w:r>
              <w:t xml:space="preserve">Cross-sell journey</w:t>
            </w:r>
          </w:p>
        </w:tc>
        <w:tc>
          <w:tcPr>
            <w:tcW w:w="2221" w:type="dxa"/>
            <w:vAlign w:val="top"/>
          </w:tcPr>
          <w:p>
            <w:pPr>
              <w:pStyle w:val="TableText"/>
              <w:jc w:val="left"/>
            </w:pPr>
            <w:r>
              <w:t xml:space="preserve">Personal accident, physical damage</w:t>
            </w:r>
          </w:p>
        </w:tc>
      </w:tr>
      <w:tr>
        <w:trPr>
          <w:cantSplit/>
        </w:trPr>
        <w:tc>
          <w:tcPr>
            <w:tcW w:w="1753" w:type="dxa"/>
            <w:shd w:val="clear" w:color="auto" w:fill="F4F7FB"/>
            <w:vAlign w:val="top"/>
          </w:tcPr>
          <w:p>
            <w:pPr>
              <w:pStyle w:val="TableText"/>
              <w:jc w:val="left"/>
            </w:pPr>
            <w:r>
              <w:t xml:space="preserve">Fleet</w:t>
            </w:r>
          </w:p>
        </w:tc>
        <w:tc>
          <w:tcPr>
            <w:tcW w:w="2401" w:type="dxa"/>
            <w:shd w:val="clear" w:color="auto" w:fill="F4F7FB"/>
            <w:vAlign w:val="top"/>
          </w:tcPr>
          <w:p>
            <w:pPr>
              <w:pStyle w:val="TableText"/>
              <w:jc w:val="left"/>
            </w:pPr>
            <w:r>
              <w:t xml:space="preserve">Company-owned vehicles</w:t>
            </w:r>
          </w:p>
        </w:tc>
        <w:tc>
          <w:tcPr>
            <w:tcW w:w="2652" w:type="dxa"/>
            <w:shd w:val="clear" w:color="auto" w:fill="F4F7FB"/>
            <w:vAlign w:val="top"/>
          </w:tcPr>
          <w:p>
            <w:pPr>
              <w:pStyle w:val="TableText"/>
              <w:jc w:val="left"/>
            </w:pPr>
            <w:r>
              <w:t xml:space="preserve">Routed to TASCO’s B2B team</w:t>
            </w:r>
          </w:p>
        </w:tc>
        <w:tc>
          <w:tcPr>
            <w:tcW w:w="2221" w:type="dxa"/>
            <w:shd w:val="clear" w:color="auto" w:fill="F4F7FB"/>
            <w:vAlign w:val="top"/>
          </w:tcPr>
          <w:p>
            <w:pPr>
              <w:pStyle w:val="TableText"/>
              <w:jc w:val="left"/>
            </w:pPr>
            <w:r>
              <w:t xml:space="preserve">Fleet cover</w:t>
            </w:r>
          </w:p>
        </w:tc>
      </w:tr>
      <w:tr>
        <w:trPr>
          <w:cantSplit/>
        </w:trPr>
        <w:tc>
          <w:tcPr>
            <w:tcW w:w="1753" w:type="dxa"/>
            <w:noWrap/>
            <w:vAlign w:val="top"/>
          </w:tcPr>
          <w:p>
            <w:pPr>
              <w:pStyle w:val="TableText"/>
              <w:jc w:val="left"/>
            </w:pPr>
            <w:r>
              <w:t xml:space="preserve">Partner-led</w:t>
            </w:r>
          </w:p>
        </w:tc>
        <w:tc>
          <w:tcPr>
            <w:tcW w:w="2401" w:type="dxa"/>
            <w:vAlign w:val="top"/>
          </w:tcPr>
          <w:p>
            <w:pPr>
              <w:pStyle w:val="TableText"/>
              <w:jc w:val="left"/>
            </w:pPr>
            <w:r>
              <w:t xml:space="preserve">Customer of a bank, showroom or agent</w:t>
            </w:r>
          </w:p>
        </w:tc>
        <w:tc>
          <w:tcPr>
            <w:tcW w:w="2652" w:type="dxa"/>
            <w:vAlign w:val="top"/>
          </w:tcPr>
          <w:p>
            <w:pPr>
              <w:pStyle w:val="TableText"/>
              <w:jc w:val="left"/>
            </w:pPr>
            <w:r>
              <w:t xml:space="preserve">Partner sells through the API</w:t>
            </w:r>
          </w:p>
        </w:tc>
        <w:tc>
          <w:tcPr>
            <w:tcW w:w="2221" w:type="dxa"/>
            <w:vAlign w:val="top"/>
          </w:tcPr>
          <w:p>
            <w:pPr>
              <w:pStyle w:val="TableText"/>
              <w:jc w:val="left"/>
            </w:pPr>
            <w:r>
              <w:t xml:space="preserve">TNDS and add-ons</w:t>
            </w:r>
          </w:p>
        </w:tc>
      </w:tr>
    </w:tbl>
    <w:p>
      <w:pPr>
        <w:pStyle w:val="Heading2"/>
      </w:pPr>
      <w:bookmarkStart w:id="20" w:name="_Toc300000016"/>
      <w:r>
        <w:t xml:space="preserve">Value beyond discount</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699"/>
        <w:gridCol w:w="4011"/>
        <w:gridCol w:w="2317"/>
      </w:tblGrid>
      <w:tr>
        <w:trPr>
          <w:cantSplit/>
          <w:tblHeader/>
        </w:trPr>
        <w:tc>
          <w:tcPr>
            <w:tcW w:w="2699" w:type="dxa"/>
            <w:shd w:val="clear" w:color="auto" w:fill="0F4761"/>
            <w:vAlign w:val="center"/>
          </w:tcPr>
          <w:p>
            <w:pPr>
              <w:pStyle w:val="TableHeading"/>
              <w:jc w:val="left"/>
            </w:pPr>
            <w:r>
              <w:rPr>
                <w:color w:val="FFFFFF"/>
              </w:rPr>
              <w:t xml:space="preserve">Benefit</w:t>
            </w:r>
          </w:p>
        </w:tc>
        <w:tc>
          <w:tcPr>
            <w:tcW w:w="4011" w:type="dxa"/>
            <w:shd w:val="clear" w:color="auto" w:fill="0F4761"/>
            <w:vAlign w:val="center"/>
          </w:tcPr>
          <w:p>
            <w:pPr>
              <w:pStyle w:val="TableHeading"/>
              <w:jc w:val="left"/>
            </w:pPr>
            <w:r>
              <w:rPr>
                <w:color w:val="FFFFFF"/>
              </w:rPr>
              <w:t xml:space="preserve">Why it matters to the driver</w:t>
            </w:r>
          </w:p>
        </w:tc>
        <w:tc>
          <w:tcPr>
            <w:tcW w:w="2317" w:type="dxa"/>
            <w:shd w:val="clear" w:color="auto" w:fill="0F4761"/>
            <w:vAlign w:val="center"/>
          </w:tcPr>
          <w:p>
            <w:pPr>
              <w:pStyle w:val="TableHeading"/>
              <w:jc w:val="left"/>
            </w:pPr>
            <w:r>
              <w:rPr>
                <w:color w:val="FFFFFF"/>
              </w:rPr>
              <w:t xml:space="preserve">In the MVP</w:t>
            </w:r>
          </w:p>
        </w:tc>
      </w:tr>
      <w:tr>
        <w:trPr>
          <w:cantSplit/>
        </w:trPr>
        <w:tc>
          <w:tcPr>
            <w:tcW w:w="2699" w:type="dxa"/>
            <w:vAlign w:val="top"/>
          </w:tcPr>
          <w:p>
            <w:pPr>
              <w:pStyle w:val="TableText"/>
              <w:jc w:val="left"/>
            </w:pPr>
            <w:r>
              <w:t xml:space="preserve">Instant e-certificate with QR verification</w:t>
            </w:r>
          </w:p>
        </w:tc>
        <w:tc>
          <w:tcPr>
            <w:tcW w:w="4011" w:type="dxa"/>
            <w:vAlign w:val="top"/>
          </w:tcPr>
          <w:p>
            <w:pPr>
              <w:pStyle w:val="TableText"/>
              <w:jc w:val="left"/>
            </w:pPr>
            <w:r>
              <w:t xml:space="preserve">Proof of cover at inspection or a roadside check in seconds, and protection against fake certificates</w:t>
            </w:r>
          </w:p>
        </w:tc>
        <w:tc>
          <w:tcPr>
            <w:tcW w:w="2317" w:type="dxa"/>
            <w:vAlign w:val="top"/>
          </w:tcPr>
          <w:p>
            <w:pPr>
              <w:pStyle w:val="TableText"/>
              <w:jc w:val="left"/>
            </w:pPr>
            <w:r>
              <w:t xml:space="preserve">Yes</w:t>
            </w:r>
          </w:p>
        </w:tc>
      </w:tr>
      <w:tr>
        <w:trPr>
          <w:cantSplit/>
        </w:trPr>
        <w:tc>
          <w:tcPr>
            <w:tcW w:w="2699" w:type="dxa"/>
            <w:shd w:val="clear" w:color="auto" w:fill="F4F7FB"/>
            <w:vAlign w:val="top"/>
          </w:tcPr>
          <w:p>
            <w:pPr>
              <w:pStyle w:val="TableText"/>
              <w:jc w:val="left"/>
            </w:pPr>
            <w:r>
              <w:t xml:space="preserve">Inspection and expiry reminders</w:t>
            </w:r>
          </w:p>
        </w:tc>
        <w:tc>
          <w:tcPr>
            <w:tcW w:w="4011" w:type="dxa"/>
            <w:shd w:val="clear" w:color="auto" w:fill="F4F7FB"/>
            <w:vAlign w:val="top"/>
          </w:tcPr>
          <w:p>
            <w:pPr>
              <w:pStyle w:val="TableText"/>
              <w:jc w:val="left"/>
            </w:pPr>
            <w:r>
              <w:t xml:space="preserve">Avoids driving uninsured by accident</w:t>
            </w:r>
          </w:p>
        </w:tc>
        <w:tc>
          <w:tcPr>
            <w:tcW w:w="2317" w:type="dxa"/>
            <w:shd w:val="clear" w:color="auto" w:fill="F4F7FB"/>
            <w:vAlign w:val="top"/>
          </w:tcPr>
          <w:p>
            <w:pPr>
              <w:pStyle w:val="TableText"/>
              <w:jc w:val="left"/>
            </w:pPr>
            <w:r>
              <w:t xml:space="preserve">Yes</w:t>
            </w:r>
          </w:p>
        </w:tc>
      </w:tr>
      <w:tr>
        <w:trPr>
          <w:cantSplit/>
        </w:trPr>
        <w:tc>
          <w:tcPr>
            <w:tcW w:w="2699" w:type="dxa"/>
            <w:vAlign w:val="top"/>
          </w:tcPr>
          <w:p>
            <w:pPr>
              <w:pStyle w:val="TableText"/>
              <w:jc w:val="left"/>
            </w:pPr>
            <w:r>
              <w:t xml:space="preserve">24/7 roadside assistance</w:t>
            </w:r>
          </w:p>
        </w:tc>
        <w:tc>
          <w:tcPr>
            <w:tcW w:w="4011" w:type="dxa"/>
            <w:vAlign w:val="top"/>
          </w:tcPr>
          <w:p>
            <w:pPr>
              <w:pStyle w:val="TableText"/>
              <w:jc w:val="left"/>
            </w:pPr>
            <w:r>
              <w:t xml:space="preserve">Help on the road, especially for long-distance drivers</w:t>
            </w:r>
          </w:p>
        </w:tc>
        <w:tc>
          <w:tcPr>
            <w:tcW w:w="2317" w:type="dxa"/>
            <w:vAlign w:val="top"/>
          </w:tcPr>
          <w:p>
            <w:pPr>
              <w:pStyle w:val="TableText"/>
              <w:jc w:val="left"/>
            </w:pPr>
            <w:r>
              <w:t xml:space="preserve">Yes, through TASCO’s assistance provider</w:t>
            </w:r>
          </w:p>
        </w:tc>
      </w:tr>
      <w:tr>
        <w:trPr>
          <w:cantSplit/>
        </w:trPr>
        <w:tc>
          <w:tcPr>
            <w:tcW w:w="2699" w:type="dxa"/>
            <w:shd w:val="clear" w:color="auto" w:fill="F4F7FB"/>
            <w:vAlign w:val="top"/>
          </w:tcPr>
          <w:p>
            <w:pPr>
              <w:pStyle w:val="TableText"/>
              <w:jc w:val="left"/>
            </w:pPr>
            <w:r>
              <w:t xml:space="preserve">Accident reporting in the app</w:t>
            </w:r>
          </w:p>
        </w:tc>
        <w:tc>
          <w:tcPr>
            <w:tcW w:w="4011" w:type="dxa"/>
            <w:shd w:val="clear" w:color="auto" w:fill="F4F7FB"/>
            <w:vAlign w:val="top"/>
          </w:tcPr>
          <w:p>
            <w:pPr>
              <w:pStyle w:val="TableText"/>
              <w:jc w:val="left"/>
            </w:pPr>
            <w:r>
              <w:t xml:space="preserve">A faster, clearer start to a claim</w:t>
            </w:r>
          </w:p>
        </w:tc>
        <w:tc>
          <w:tcPr>
            <w:tcW w:w="2317" w:type="dxa"/>
            <w:shd w:val="clear" w:color="auto" w:fill="F4F7FB"/>
            <w:vAlign w:val="top"/>
          </w:tcPr>
          <w:p>
            <w:pPr>
              <w:pStyle w:val="TableText"/>
              <w:jc w:val="left"/>
            </w:pPr>
            <w:r>
              <w:t xml:space="preserve">Yes</w:t>
            </w:r>
          </w:p>
        </w:tc>
      </w:tr>
      <w:tr>
        <w:trPr>
          <w:cantSplit/>
        </w:trPr>
        <w:tc>
          <w:tcPr>
            <w:tcW w:w="2699" w:type="dxa"/>
            <w:vAlign w:val="top"/>
          </w:tcPr>
          <w:p>
            <w:pPr>
              <w:pStyle w:val="TableText"/>
              <w:jc w:val="left"/>
            </w:pPr>
            <w:r>
              <w:t xml:space="preserve">Multi-year TNDS cover</w:t>
            </w:r>
          </w:p>
        </w:tc>
        <w:tc>
          <w:tcPr>
            <w:tcW w:w="4011" w:type="dxa"/>
            <w:vAlign w:val="top"/>
          </w:tcPr>
          <w:p>
            <w:pPr>
              <w:pStyle w:val="TableText"/>
              <w:jc w:val="left"/>
            </w:pPr>
            <w:r>
              <w:t xml:space="preserve">One purchase for up to three years</w:t>
            </w:r>
          </w:p>
        </w:tc>
        <w:tc>
          <w:tcPr>
            <w:tcW w:w="2317" w:type="dxa"/>
            <w:vAlign w:val="top"/>
          </w:tcPr>
          <w:p>
            <w:pPr>
              <w:pStyle w:val="TableText"/>
              <w:jc w:val="left"/>
            </w:pPr>
            <w:r>
              <w:t xml:space="preserve">Yes</w:t>
            </w:r>
          </w:p>
        </w:tc>
      </w:tr>
      <w:tr>
        <w:trPr>
          <w:cantSplit/>
        </w:trPr>
        <w:tc>
          <w:tcPr>
            <w:tcW w:w="2699" w:type="dxa"/>
            <w:shd w:val="clear" w:color="auto" w:fill="F4F7FB"/>
            <w:vAlign w:val="top"/>
          </w:tcPr>
          <w:p>
            <w:pPr>
              <w:pStyle w:val="TableText"/>
              <w:jc w:val="left"/>
            </w:pPr>
            <w:r>
              <w:t xml:space="preserve">Personal accident and physical damage add-ons</w:t>
            </w:r>
          </w:p>
        </w:tc>
        <w:tc>
          <w:tcPr>
            <w:tcW w:w="4011" w:type="dxa"/>
            <w:shd w:val="clear" w:color="auto" w:fill="F4F7FB"/>
            <w:vAlign w:val="top"/>
          </w:tcPr>
          <w:p>
            <w:pPr>
              <w:pStyle w:val="TableText"/>
              <w:jc w:val="left"/>
            </w:pPr>
            <w:r>
              <w:t xml:space="preserve">Wider protection, priced by TASCO’s core system</w:t>
            </w:r>
          </w:p>
        </w:tc>
        <w:tc>
          <w:tcPr>
            <w:tcW w:w="2317" w:type="dxa"/>
            <w:shd w:val="clear" w:color="auto" w:fill="F4F7FB"/>
            <w:vAlign w:val="top"/>
          </w:tcPr>
          <w:p>
            <w:pPr>
              <w:pStyle w:val="TableText"/>
              <w:jc w:val="left"/>
            </w:pPr>
            <w:r>
              <w:t xml:space="preserve">Yes; physical damage requires an inspection</w:t>
            </w:r>
          </w:p>
        </w:tc>
      </w:tr>
      <w:tr>
        <w:trPr>
          <w:cantSplit/>
        </w:trPr>
        <w:tc>
          <w:tcPr>
            <w:tcW w:w="2699" w:type="dxa"/>
            <w:vAlign w:val="top"/>
          </w:tcPr>
          <w:p>
            <w:pPr>
              <w:pStyle w:val="TableText"/>
              <w:jc w:val="left"/>
            </w:pPr>
            <w:r>
              <w:t xml:space="preserve">Loyalty points</w:t>
            </w:r>
          </w:p>
        </w:tc>
        <w:tc>
          <w:tcPr>
            <w:tcW w:w="4011" w:type="dxa"/>
            <w:vAlign w:val="top"/>
          </w:tcPr>
          <w:p>
            <w:pPr>
              <w:pStyle w:val="TableText"/>
              <w:jc w:val="left"/>
            </w:pPr>
            <w:r>
              <w:t xml:space="preserve">Rewards for loyal, safe drivers</w:t>
            </w:r>
          </w:p>
        </w:tc>
        <w:tc>
          <w:tcPr>
            <w:tcW w:w="2317" w:type="dxa"/>
            <w:vAlign w:val="top"/>
          </w:tcPr>
          <w:p>
            <w:pPr>
              <w:pStyle w:val="TableText"/>
              <w:jc w:val="left"/>
            </w:pPr>
            <w:r>
              <w:t xml:space="preserve">Built, but switched off until TASCO legal approves</w:t>
            </w:r>
          </w:p>
        </w:tc>
      </w:tr>
    </w:tbl>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Business and process flows</w:t>
      </w:r>
      <w:bookmarkEnd w:id="21"/>
    </w:p>
    <w:p>
      <w:pPr>
        <w:pStyle w:val="Heading2"/>
      </w:pPr>
      <w:bookmarkStart w:id="22" w:name="_Toc300000018"/>
      <w:r>
        <w:t xml:space="preserve">Who does what</w:t>
      </w:r>
      <w:bookmarkEnd w:id="22"/>
    </w:p>
    <w:p>
      <w:pPr>
        <w:pStyle w:val="FirstParagraph"/>
      </w:pPr>
      <w:r>
        <w:t xml:space="preserve">The responsibilities of each party stay where they belong. TASCO’s core system prices and issues, VETC collects payment and hosts the customer experience, and the platform orchestrates.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25"/>
        <w:gridCol w:w="2308"/>
        <w:gridCol w:w="2367"/>
        <w:gridCol w:w="2207"/>
        <w:gridCol w:w="3472"/>
        <w:gridCol w:w="2180"/>
      </w:tblGrid>
      <w:tr>
        <w:trPr>
          <w:cantSplit/>
          <w:tblHeader/>
        </w:trPr>
        <w:tc>
          <w:tcPr>
            <w:tcW w:w="1425" w:type="dxa"/>
            <w:shd w:val="clear" w:color="auto" w:fill="0F4761"/>
            <w:vAlign w:val="center"/>
          </w:tcPr>
          <w:p>
            <w:pPr>
              <w:pStyle w:val="TableHeading"/>
              <w:jc w:val="left"/>
            </w:pPr>
            <w:r>
              <w:rPr>
                <w:color w:val="FFFFFF"/>
              </w:rPr>
              <w:t xml:space="preserve">Step</w:t>
            </w:r>
          </w:p>
        </w:tc>
        <w:tc>
          <w:tcPr>
            <w:tcW w:w="2308" w:type="dxa"/>
            <w:shd w:val="clear" w:color="auto" w:fill="0F4761"/>
            <w:vAlign w:val="center"/>
          </w:tcPr>
          <w:p>
            <w:pPr>
              <w:pStyle w:val="TableHeading"/>
              <w:jc w:val="left"/>
            </w:pPr>
            <w:r>
              <w:rPr>
                <w:color w:val="FFFFFF"/>
              </w:rPr>
              <w:t xml:space="preserve">Customer</w:t>
            </w:r>
          </w:p>
        </w:tc>
        <w:tc>
          <w:tcPr>
            <w:tcW w:w="2367" w:type="dxa"/>
            <w:shd w:val="clear" w:color="auto" w:fill="0F4761"/>
            <w:vAlign w:val="center"/>
          </w:tcPr>
          <w:p>
            <w:pPr>
              <w:pStyle w:val="TableHeading"/>
              <w:jc w:val="left"/>
            </w:pPr>
            <w:r>
              <w:rPr>
                <w:color w:val="FFFFFF"/>
              </w:rPr>
              <w:t xml:space="preserve">VETC</w:t>
            </w:r>
          </w:p>
        </w:tc>
        <w:tc>
          <w:tcPr>
            <w:tcW w:w="2207" w:type="dxa"/>
            <w:shd w:val="clear" w:color="auto" w:fill="0F4761"/>
            <w:vAlign w:val="center"/>
          </w:tcPr>
          <w:p>
            <w:pPr>
              <w:pStyle w:val="TableHeading"/>
              <w:jc w:val="left"/>
            </w:pPr>
            <w:r>
              <w:rPr>
                <w:color w:val="FFFFFF"/>
              </w:rPr>
              <w:t xml:space="preserve">TASCO core</w:t>
            </w:r>
          </w:p>
        </w:tc>
        <w:tc>
          <w:tcPr>
            <w:tcW w:w="3472" w:type="dxa"/>
            <w:shd w:val="clear" w:color="auto" w:fill="0F4761"/>
            <w:vAlign w:val="center"/>
          </w:tcPr>
          <w:p>
            <w:pPr>
              <w:pStyle w:val="TableHeading"/>
              <w:jc w:val="left"/>
            </w:pPr>
            <w:r>
              <w:rPr>
                <w:color w:val="FFFFFF"/>
              </w:rPr>
              <w:t xml:space="preserve">Growth platform</w:t>
            </w:r>
          </w:p>
        </w:tc>
        <w:tc>
          <w:tcPr>
            <w:tcW w:w="2180" w:type="dxa"/>
            <w:shd w:val="clear" w:color="auto" w:fill="0F4761"/>
            <w:vAlign w:val="center"/>
          </w:tcPr>
          <w:p>
            <w:pPr>
              <w:pStyle w:val="TableHeading"/>
              <w:jc w:val="left"/>
            </w:pPr>
            <w:r>
              <w:rPr>
                <w:color w:val="FFFFFF"/>
              </w:rPr>
              <w:t xml:space="preserve">Telesales or partner</w:t>
            </w:r>
          </w:p>
        </w:tc>
      </w:tr>
      <w:tr>
        <w:trPr>
          <w:cantSplit/>
        </w:trPr>
        <w:tc>
          <w:tcPr>
            <w:tcW w:w="1425" w:type="dxa"/>
            <w:vAlign w:val="top"/>
          </w:tcPr>
          <w:p>
            <w:pPr>
              <w:pStyle w:val="TableText"/>
              <w:jc w:val="left"/>
            </w:pPr>
            <w:r>
              <w:t xml:space="preserve">Bring data together</w:t>
            </w:r>
          </w:p>
        </w:tc>
        <w:tc>
          <w:tcPr>
            <w:tcW w:w="2308" w:type="dxa"/>
            <w:vAlign w:val="top"/>
          </w:tcPr>
          <w:p>
            <w:pPr>
              <w:pStyle w:val="TableText"/>
            </w:pPr>
          </w:p>
        </w:tc>
        <w:tc>
          <w:tcPr>
            <w:tcW w:w="2367" w:type="dxa"/>
            <w:vAlign w:val="top"/>
          </w:tcPr>
          <w:p>
            <w:pPr>
              <w:pStyle w:val="TableText"/>
              <w:jc w:val="left"/>
            </w:pPr>
            <w:r>
              <w:t xml:space="preserve">Accounts, vehicles, tag events</w:t>
            </w:r>
          </w:p>
        </w:tc>
        <w:tc>
          <w:tcPr>
            <w:tcW w:w="2207" w:type="dxa"/>
            <w:vAlign w:val="top"/>
          </w:tcPr>
          <w:p>
            <w:pPr>
              <w:pStyle w:val="TableText"/>
              <w:jc w:val="left"/>
            </w:pPr>
            <w:r>
              <w:t xml:space="preserve">Policies and expiry dates</w:t>
            </w:r>
          </w:p>
        </w:tc>
        <w:tc>
          <w:tcPr>
            <w:tcW w:w="3472" w:type="dxa"/>
            <w:vAlign w:val="top"/>
          </w:tcPr>
          <w:p>
            <w:pPr>
              <w:pStyle w:val="TableText"/>
              <w:jc w:val="left"/>
            </w:pPr>
            <w:r>
              <w:t xml:space="preserve">Matches, cleans, records lineage</w:t>
            </w:r>
          </w:p>
        </w:tc>
        <w:tc>
          <w:tcPr>
            <w:tcW w:w="2180" w:type="dxa"/>
            <w:vAlign w:val="top"/>
          </w:tcPr>
          <w:p>
            <w:pPr>
              <w:pStyle w:val="TableText"/>
              <w:jc w:val="left"/>
            </w:pPr>
            <w:r>
              <w:t xml:space="preserve">Partners supply leads</w:t>
            </w:r>
          </w:p>
        </w:tc>
      </w:tr>
      <w:tr>
        <w:trPr>
          <w:cantSplit/>
        </w:trPr>
        <w:tc>
          <w:tcPr>
            <w:tcW w:w="1425" w:type="dxa"/>
            <w:shd w:val="clear" w:color="auto" w:fill="F4F7FB"/>
            <w:vAlign w:val="top"/>
          </w:tcPr>
          <w:p>
            <w:pPr>
              <w:pStyle w:val="TableText"/>
              <w:jc w:val="left"/>
            </w:pPr>
            <w:r>
              <w:t xml:space="preserve">Decide</w:t>
            </w:r>
          </w:p>
        </w:tc>
        <w:tc>
          <w:tcPr>
            <w:tcW w:w="2308" w:type="dxa"/>
            <w:shd w:val="clear" w:color="auto" w:fill="F4F7FB"/>
            <w:vAlign w:val="top"/>
          </w:tcPr>
          <w:p>
            <w:pPr>
              <w:pStyle w:val="TableText"/>
            </w:pPr>
          </w:p>
        </w:tc>
        <w:tc>
          <w:tcPr>
            <w:tcW w:w="2367" w:type="dxa"/>
            <w:shd w:val="clear" w:color="auto" w:fill="F4F7FB"/>
            <w:vAlign w:val="top"/>
          </w:tcPr>
          <w:p>
            <w:pPr>
              <w:pStyle w:val="TableText"/>
            </w:pPr>
          </w:p>
        </w:tc>
        <w:tc>
          <w:tcPr>
            <w:tcW w:w="2207" w:type="dxa"/>
            <w:shd w:val="clear" w:color="auto" w:fill="F4F7FB"/>
            <w:vAlign w:val="top"/>
          </w:tcPr>
          <w:p>
            <w:pPr>
              <w:pStyle w:val="TableText"/>
            </w:pPr>
          </w:p>
        </w:tc>
        <w:tc>
          <w:tcPr>
            <w:tcW w:w="3472" w:type="dxa"/>
            <w:shd w:val="clear" w:color="auto" w:fill="F4F7FB"/>
            <w:vAlign w:val="top"/>
          </w:tcPr>
          <w:p>
            <w:pPr>
              <w:pStyle w:val="TableText"/>
              <w:jc w:val="left"/>
            </w:pPr>
            <w:r>
              <w:t xml:space="preserve">Scores, segments, chooses journey and channel</w:t>
            </w:r>
          </w:p>
        </w:tc>
        <w:tc>
          <w:tcPr>
            <w:tcW w:w="2180" w:type="dxa"/>
            <w:shd w:val="clear" w:color="auto" w:fill="F4F7FB"/>
            <w:vAlign w:val="top"/>
          </w:tcPr>
          <w:p>
            <w:pPr>
              <w:pStyle w:val="TableText"/>
            </w:pPr>
          </w:p>
        </w:tc>
      </w:tr>
      <w:tr>
        <w:trPr>
          <w:cantSplit/>
        </w:trPr>
        <w:tc>
          <w:tcPr>
            <w:tcW w:w="1425" w:type="dxa"/>
            <w:vAlign w:val="top"/>
          </w:tcPr>
          <w:p>
            <w:pPr>
              <w:pStyle w:val="TableText"/>
              <w:jc w:val="left"/>
            </w:pPr>
            <w:r>
              <w:t xml:space="preserve">Contact</w:t>
            </w:r>
          </w:p>
        </w:tc>
        <w:tc>
          <w:tcPr>
            <w:tcW w:w="2308" w:type="dxa"/>
            <w:vAlign w:val="top"/>
          </w:tcPr>
          <w:p>
            <w:pPr>
              <w:pStyle w:val="TableText"/>
              <w:jc w:val="left"/>
            </w:pPr>
            <w:r>
              <w:t xml:space="preserve">Receives a message or call</w:t>
            </w:r>
          </w:p>
        </w:tc>
        <w:tc>
          <w:tcPr>
            <w:tcW w:w="2367" w:type="dxa"/>
            <w:vAlign w:val="top"/>
          </w:tcPr>
          <w:p>
            <w:pPr>
              <w:pStyle w:val="TableText"/>
              <w:jc w:val="left"/>
            </w:pPr>
            <w:r>
              <w:t xml:space="preserve">Delivers app notifications</w:t>
            </w:r>
          </w:p>
        </w:tc>
        <w:tc>
          <w:tcPr>
            <w:tcW w:w="2207" w:type="dxa"/>
            <w:vAlign w:val="top"/>
          </w:tcPr>
          <w:p>
            <w:pPr>
              <w:pStyle w:val="TableText"/>
            </w:pPr>
          </w:p>
        </w:tc>
        <w:tc>
          <w:tcPr>
            <w:tcW w:w="3472" w:type="dxa"/>
            <w:vAlign w:val="top"/>
          </w:tcPr>
          <w:p>
            <w:pPr>
              <w:pStyle w:val="TableText"/>
              <w:jc w:val="left"/>
            </w:pPr>
            <w:r>
              <w:t xml:space="preserve">Checks consent, timing, limits and wording</w:t>
            </w:r>
          </w:p>
        </w:tc>
        <w:tc>
          <w:tcPr>
            <w:tcW w:w="2180" w:type="dxa"/>
            <w:vAlign w:val="top"/>
          </w:tcPr>
          <w:p>
            <w:pPr>
              <w:pStyle w:val="TableText"/>
              <w:jc w:val="left"/>
            </w:pPr>
            <w:r>
              <w:t xml:space="preserve">Calls warm leads</w:t>
            </w:r>
          </w:p>
        </w:tc>
      </w:tr>
      <w:tr>
        <w:trPr>
          <w:cantSplit/>
        </w:trPr>
        <w:tc>
          <w:tcPr>
            <w:tcW w:w="1425" w:type="dxa"/>
            <w:shd w:val="clear" w:color="auto" w:fill="F4F7FB"/>
            <w:vAlign w:val="top"/>
          </w:tcPr>
          <w:p>
            <w:pPr>
              <w:pStyle w:val="TableText"/>
              <w:jc w:val="left"/>
            </w:pPr>
            <w:r>
              <w:t xml:space="preserve">Quote</w:t>
            </w:r>
          </w:p>
        </w:tc>
        <w:tc>
          <w:tcPr>
            <w:tcW w:w="2308" w:type="dxa"/>
            <w:shd w:val="clear" w:color="auto" w:fill="F4F7FB"/>
            <w:vAlign w:val="top"/>
          </w:tcPr>
          <w:p>
            <w:pPr>
              <w:pStyle w:val="TableText"/>
              <w:jc w:val="left"/>
            </w:pPr>
            <w:r>
              <w:t xml:space="preserve">Reviews the quote</w:t>
            </w:r>
          </w:p>
        </w:tc>
        <w:tc>
          <w:tcPr>
            <w:tcW w:w="2367" w:type="dxa"/>
            <w:shd w:val="clear" w:color="auto" w:fill="F4F7FB"/>
            <w:vAlign w:val="top"/>
          </w:tcPr>
          <w:p>
            <w:pPr>
              <w:pStyle w:val="TableText"/>
              <w:jc w:val="left"/>
            </w:pPr>
            <w:r>
              <w:t xml:space="preserve">Hosts the purchase screen</w:t>
            </w:r>
          </w:p>
        </w:tc>
        <w:tc>
          <w:tcPr>
            <w:tcW w:w="2207" w:type="dxa"/>
            <w:shd w:val="clear" w:color="auto" w:fill="F4F7FB"/>
            <w:vAlign w:val="top"/>
          </w:tcPr>
          <w:p>
            <w:pPr>
              <w:pStyle w:val="TableText"/>
              <w:jc w:val="left"/>
            </w:pPr>
            <w:r>
              <w:t xml:space="preserve">Rates and returns a quote reference</w:t>
            </w:r>
          </w:p>
        </w:tc>
        <w:tc>
          <w:tcPr>
            <w:tcW w:w="3472" w:type="dxa"/>
            <w:shd w:val="clear" w:color="auto" w:fill="F4F7FB"/>
            <w:vAlign w:val="top"/>
          </w:tcPr>
          <w:p>
            <w:pPr>
              <w:pStyle w:val="TableText"/>
              <w:jc w:val="left"/>
            </w:pPr>
            <w:r>
              <w:t xml:space="preserve">Requests the quote, adds benefits</w:t>
            </w:r>
          </w:p>
        </w:tc>
        <w:tc>
          <w:tcPr>
            <w:tcW w:w="2180" w:type="dxa"/>
            <w:shd w:val="clear" w:color="auto" w:fill="F4F7FB"/>
            <w:vAlign w:val="top"/>
          </w:tcPr>
          <w:p>
            <w:pPr>
              <w:pStyle w:val="TableText"/>
              <w:jc w:val="left"/>
            </w:pPr>
            <w:r>
              <w:t xml:space="preserve">Sends the quote to the customer’s app</w:t>
            </w:r>
          </w:p>
        </w:tc>
      </w:tr>
      <w:tr>
        <w:trPr>
          <w:cantSplit/>
        </w:trPr>
        <w:tc>
          <w:tcPr>
            <w:tcW w:w="1425" w:type="dxa"/>
            <w:vAlign w:val="top"/>
          </w:tcPr>
          <w:p>
            <w:pPr>
              <w:pStyle w:val="TableText"/>
              <w:jc w:val="left"/>
            </w:pPr>
            <w:r>
              <w:t xml:space="preserve">Pay</w:t>
            </w:r>
          </w:p>
        </w:tc>
        <w:tc>
          <w:tcPr>
            <w:tcW w:w="2308" w:type="dxa"/>
            <w:vAlign w:val="top"/>
          </w:tcPr>
          <w:p>
            <w:pPr>
              <w:pStyle w:val="TableText"/>
              <w:jc w:val="left"/>
            </w:pPr>
            <w:r>
              <w:t xml:space="preserve">Confirms and pays</w:t>
            </w:r>
          </w:p>
        </w:tc>
        <w:tc>
          <w:tcPr>
            <w:tcW w:w="2367" w:type="dxa"/>
            <w:vAlign w:val="top"/>
          </w:tcPr>
          <w:p>
            <w:pPr>
              <w:pStyle w:val="TableText"/>
              <w:jc w:val="left"/>
            </w:pPr>
            <w:r>
              <w:t xml:space="preserve">Debits the VETC wallet</w:t>
            </w:r>
          </w:p>
        </w:tc>
        <w:tc>
          <w:tcPr>
            <w:tcW w:w="2207" w:type="dxa"/>
            <w:vAlign w:val="top"/>
          </w:tcPr>
          <w:p>
            <w:pPr>
              <w:pStyle w:val="TableText"/>
            </w:pPr>
          </w:p>
        </w:tc>
        <w:tc>
          <w:tcPr>
            <w:tcW w:w="3472" w:type="dxa"/>
            <w:vAlign w:val="top"/>
          </w:tcPr>
          <w:p>
            <w:pPr>
              <w:pStyle w:val="TableText"/>
              <w:jc w:val="left"/>
            </w:pPr>
            <w:r>
              <w:t xml:space="preserve">Orchestrates, refunds if issuance fails</w:t>
            </w:r>
          </w:p>
        </w:tc>
        <w:tc>
          <w:tcPr>
            <w:tcW w:w="2180" w:type="dxa"/>
            <w:vAlign w:val="top"/>
          </w:tcPr>
          <w:p>
            <w:pPr>
              <w:pStyle w:val="TableText"/>
              <w:jc w:val="left"/>
            </w:pPr>
            <w:r>
              <w:t xml:space="preserve">Never takes payment</w:t>
            </w:r>
          </w:p>
        </w:tc>
      </w:tr>
      <w:tr>
        <w:trPr>
          <w:cantSplit/>
        </w:trPr>
        <w:tc>
          <w:tcPr>
            <w:tcW w:w="1425" w:type="dxa"/>
            <w:shd w:val="clear" w:color="auto" w:fill="F4F7FB"/>
            <w:vAlign w:val="top"/>
          </w:tcPr>
          <w:p>
            <w:pPr>
              <w:pStyle w:val="TableText"/>
              <w:jc w:val="left"/>
            </w:pPr>
            <w:r>
              <w:t xml:space="preserve">Issue</w:t>
            </w:r>
          </w:p>
        </w:tc>
        <w:tc>
          <w:tcPr>
            <w:tcW w:w="2308" w:type="dxa"/>
            <w:shd w:val="clear" w:color="auto" w:fill="F4F7FB"/>
            <w:vAlign w:val="top"/>
          </w:tcPr>
          <w:p>
            <w:pPr>
              <w:pStyle w:val="TableText"/>
              <w:jc w:val="left"/>
            </w:pPr>
            <w:r>
              <w:t xml:space="preserve">Receives the e-certificate</w:t>
            </w:r>
          </w:p>
        </w:tc>
        <w:tc>
          <w:tcPr>
            <w:tcW w:w="2367" w:type="dxa"/>
            <w:shd w:val="clear" w:color="auto" w:fill="F4F7FB"/>
            <w:vAlign w:val="top"/>
          </w:tcPr>
          <w:p>
            <w:pPr>
              <w:pStyle w:val="TableText"/>
              <w:jc w:val="left"/>
            </w:pPr>
            <w:r>
              <w:t xml:space="preserve">Shows it in the app</w:t>
            </w:r>
          </w:p>
        </w:tc>
        <w:tc>
          <w:tcPr>
            <w:tcW w:w="2207" w:type="dxa"/>
            <w:shd w:val="clear" w:color="auto" w:fill="F4F7FB"/>
            <w:vAlign w:val="top"/>
          </w:tcPr>
          <w:p>
            <w:pPr>
              <w:pStyle w:val="TableText"/>
              <w:jc w:val="left"/>
            </w:pPr>
            <w:r>
              <w:t xml:space="preserve">Binds the quote and issues the policy</w:t>
            </w:r>
          </w:p>
        </w:tc>
        <w:tc>
          <w:tcPr>
            <w:tcW w:w="3472" w:type="dxa"/>
            <w:shd w:val="clear" w:color="auto" w:fill="F4F7FB"/>
            <w:vAlign w:val="top"/>
          </w:tcPr>
          <w:p>
            <w:pPr>
              <w:pStyle w:val="TableText"/>
              <w:jc w:val="left"/>
            </w:pPr>
            <w:r>
              <w:t xml:space="preserve">Stores the certificate, updates the record</w:t>
            </w:r>
          </w:p>
        </w:tc>
        <w:tc>
          <w:tcPr>
            <w:tcW w:w="2180" w:type="dxa"/>
            <w:shd w:val="clear" w:color="auto" w:fill="F4F7FB"/>
            <w:vAlign w:val="top"/>
          </w:tcPr>
          <w:p>
            <w:pPr>
              <w:pStyle w:val="TableText"/>
            </w:pPr>
          </w:p>
        </w:tc>
      </w:tr>
      <w:tr>
        <w:trPr>
          <w:cantSplit/>
        </w:trPr>
        <w:tc>
          <w:tcPr>
            <w:tcW w:w="1425" w:type="dxa"/>
            <w:vAlign w:val="top"/>
          </w:tcPr>
          <w:p>
            <w:pPr>
              <w:pStyle w:val="TableText"/>
              <w:jc w:val="left"/>
            </w:pPr>
            <w:r>
              <w:t xml:space="preserve">Serve</w:t>
            </w:r>
          </w:p>
        </w:tc>
        <w:tc>
          <w:tcPr>
            <w:tcW w:w="2308" w:type="dxa"/>
            <w:vAlign w:val="top"/>
          </w:tcPr>
          <w:p>
            <w:pPr>
              <w:pStyle w:val="TableText"/>
              <w:jc w:val="left"/>
            </w:pPr>
            <w:r>
              <w:t xml:space="preserve">Uses benefits, reports claims</w:t>
            </w:r>
          </w:p>
        </w:tc>
        <w:tc>
          <w:tcPr>
            <w:tcW w:w="2367" w:type="dxa"/>
            <w:vAlign w:val="top"/>
          </w:tcPr>
          <w:p>
            <w:pPr>
              <w:pStyle w:val="TableText"/>
            </w:pPr>
          </w:p>
        </w:tc>
        <w:tc>
          <w:tcPr>
            <w:tcW w:w="2207" w:type="dxa"/>
            <w:vAlign w:val="top"/>
          </w:tcPr>
          <w:p>
            <w:pPr>
              <w:pStyle w:val="TableText"/>
              <w:jc w:val="left"/>
            </w:pPr>
            <w:r>
              <w:t xml:space="preserve">Handles claims</w:t>
            </w:r>
          </w:p>
        </w:tc>
        <w:tc>
          <w:tcPr>
            <w:tcW w:w="3472" w:type="dxa"/>
            <w:vAlign w:val="top"/>
          </w:tcPr>
          <w:p>
            <w:pPr>
              <w:pStyle w:val="TableText"/>
              <w:jc w:val="left"/>
            </w:pPr>
            <w:r>
              <w:t xml:space="preserve">Takes the first notice, sends reminders</w:t>
            </w:r>
          </w:p>
        </w:tc>
        <w:tc>
          <w:tcPr>
            <w:tcW w:w="2180" w:type="dxa"/>
            <w:vAlign w:val="top"/>
          </w:tcPr>
          <w:p>
            <w:pPr>
              <w:pStyle w:val="TableText"/>
            </w:pP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Heading2"/>
      </w:pPr>
      <w:bookmarkStart w:id="23" w:name="_Toc300000019"/>
      <w:r>
        <w:t xml:space="preserve">Renewal with one-tap purchase</w:t>
      </w:r>
      <w:bookmarkEnd w:id="23"/>
    </w:p>
    <w:p>
      <w:pPr>
        <w:pStyle w:val="FirstParagraph"/>
      </w:pPr>
      <w:r>
        <w:t xml:space="preserve">This is the flow that turns a reminder into a policy without a phone call.</w:t>
      </w:r>
    </w:p>
    <w:p xmlns:a="http://schemas.openxmlformats.org/drawingml/2006/main" xmlns:pic="http://schemas.openxmlformats.org/drawingml/2006/picture">
      <w:pPr>
        <w:pStyle w:val="Figure"/>
      </w:pPr>
      <w:r>
        <w:drawing>
          <wp:inline>
            <wp:extent cx="5727700" cy="4415535"/>
            <wp:effectExtent b="0" l="0" r="0" t="0"/>
            <wp:docPr descr="Renewal, part 1: the reminder and a quote priced by TASCO core" title="" id="5004" name="Picture"/>
            <a:graphic>
              <a:graphicData uri="http://schemas.openxmlformats.org/drawingml/2006/picture">
                <pic:pic>
                  <pic:nvPicPr>
                    <pic:cNvPr descr="/tmp/claude-0/-home-user-TASCO/19e5534d-12b5-5956-9b60-3e77efde0f49/scratchpad/gen/.cache/mermaid/c630693a19520c32.png" id="44" name="Picture"/>
                    <pic:cNvPicPr>
                      <a:picLocks noChangeArrowheads="1" noChangeAspect="1"/>
                    </pic:cNvPicPr>
                  </pic:nvPicPr>
                  <pic:blipFill>
                    <a:blip r:embed="rIdG4"/>
                    <a:stretch>
                      <a:fillRect/>
                    </a:stretch>
                  </pic:blipFill>
                  <pic:spPr bwMode="auto">
                    <a:xfrm>
                      <a:off x="0" y="0"/>
                      <a:ext cx="5727700" cy="4415535"/>
                    </a:xfrm>
                    <a:prstGeom prst="rect">
                      <a:avLst/>
                    </a:prstGeom>
                    <a:noFill/>
                    <a:ln w="9525">
                      <a:noFill/>
                      <a:headEnd/>
                      <a:tailEnd/>
                    </a:ln>
                  </pic:spPr>
                </pic:pic>
              </a:graphicData>
            </a:graphic>
          </wp:inline>
        </w:drawing>
      </w:r>
    </w:p>
    <w:p>
      <w:pPr>
        <w:pStyle w:val="Caption"/>
      </w:pPr>
      <w:r>
        <w:t xml:space="preserve">Figure 3 – Renewal, part 1: the reminder and a quote priced by TASCO core</w:t>
      </w:r>
    </w:p>
    <w:p>
      <w:pPr>
        <w:pStyle w:val="BodyText"/>
      </w:pPr>
      <w:r>
        <w:t xml:space="preserve">The customer then pays in the app, and TASCO core issues the policy.</w:t>
      </w:r>
    </w:p>
    <w:p xmlns:a="http://schemas.openxmlformats.org/drawingml/2006/main" xmlns:pic="http://schemas.openxmlformats.org/drawingml/2006/picture">
      <w:pPr>
        <w:pStyle w:val="Figure"/>
      </w:pPr>
      <w:r>
        <w:drawing>
          <wp:inline>
            <wp:extent cx="5727700" cy="4339166"/>
            <wp:effectExtent b="0" l="0" r="0" t="0"/>
            <wp:docPr descr="Renewal, part 2: payment from the VETC wallet and issuance" title="" id="5005" name="Picture"/>
            <a:graphic>
              <a:graphicData uri="http://schemas.openxmlformats.org/drawingml/2006/picture">
                <pic:pic>
                  <pic:nvPicPr>
                    <pic:cNvPr descr="/tmp/claude-0/-home-user-TASCO/19e5534d-12b5-5956-9b60-3e77efde0f49/scratchpad/gen/.cache/mermaid/e631a996bb0571ed.png" id="47" name="Picture"/>
                    <pic:cNvPicPr>
                      <a:picLocks noChangeArrowheads="1" noChangeAspect="1"/>
                    </pic:cNvPicPr>
                  </pic:nvPicPr>
                  <pic:blipFill>
                    <a:blip r:embed="rIdG5"/>
                    <a:stretch>
                      <a:fillRect/>
                    </a:stretch>
                  </pic:blipFill>
                  <pic:spPr bwMode="auto">
                    <a:xfrm>
                      <a:off x="0" y="0"/>
                      <a:ext cx="5727700" cy="4339166"/>
                    </a:xfrm>
                    <a:prstGeom prst="rect">
                      <a:avLst/>
                    </a:prstGeom>
                    <a:noFill/>
                    <a:ln w="9525">
                      <a:noFill/>
                      <a:headEnd/>
                      <a:tailEnd/>
                    </a:ln>
                  </pic:spPr>
                </pic:pic>
              </a:graphicData>
            </a:graphic>
          </wp:inline>
        </w:drawing>
      </w:r>
    </w:p>
    <w:p>
      <w:pPr>
        <w:pStyle w:val="Caption"/>
      </w:pPr>
      <w:r>
        <w:t xml:space="preserve">Figure 4 – Renewal, part 2: payment from the VETC wallet and issuance</w:t>
      </w:r>
    </w:p>
    <w:p>
      <w:pPr>
        <w:pStyle w:val="BodyText"/>
      </w:pPr>
      <w:r>
        <w:t xml:space="preserve">Two safeguards sit behind this flow. Each purchase carries an idempotency key, so a customer who taps twice or loses signal is never charged twice. If TASCO’s core system cannot issue after the wallet has been debited, the platform refunds the customer automatically and alerts the operations team.</w:t>
      </w:r>
    </w:p>
    <w:p>
      <w:pPr>
        <w:pStyle w:val="Heading2"/>
      </w:pPr>
      <w:bookmarkStart w:id="24" w:name="_Toc300000020"/>
      <w:r>
        <w:t xml:space="preserve">Voice assistant: plate first, then handoff</w:t>
      </w:r>
      <w:bookmarkEnd w:id="24"/>
    </w:p>
    <w:p xmlns:a="http://schemas.openxmlformats.org/drawingml/2006/main" xmlns:pic="http://schemas.openxmlformats.org/drawingml/2006/picture">
      <w:pPr>
        <w:pStyle w:val="Figure"/>
      </w:pPr>
      <w:r>
        <w:drawing>
          <wp:inline>
            <wp:extent cx="5104799" cy="5896799"/>
            <wp:effectExtent b="0" l="0" r="0" t="0"/>
            <wp:docPr descr="Voice assistant, part 1: disclosure and plate check" title="" id="5006" name="Picture"/>
            <a:graphic>
              <a:graphicData uri="http://schemas.openxmlformats.org/drawingml/2006/picture">
                <pic:pic>
                  <pic:nvPicPr>
                    <pic:cNvPr descr="/tmp/claude-0/-home-user-TASCO/19e5534d-12b5-5956-9b60-3e77efde0f49/scratchpad/gen/.cache/mermaid/bc25f2cfe90cc513.png" id="51" name="Picture"/>
                    <pic:cNvPicPr>
                      <a:picLocks noChangeArrowheads="1" noChangeAspect="1"/>
                    </pic:cNvPicPr>
                  </pic:nvPicPr>
                  <pic:blipFill>
                    <a:blip r:embed="rIdG6"/>
                    <a:stretch>
                      <a:fillRect/>
                    </a:stretch>
                  </pic:blipFill>
                  <pic:spPr bwMode="auto">
                    <a:xfrm>
                      <a:off x="0" y="0"/>
                      <a:ext cx="5104799" cy="5896799"/>
                    </a:xfrm>
                    <a:prstGeom prst="rect">
                      <a:avLst/>
                    </a:prstGeom>
                    <a:noFill/>
                    <a:ln w="9525">
                      <a:noFill/>
                      <a:headEnd/>
                      <a:tailEnd/>
                    </a:ln>
                  </pic:spPr>
                </pic:pic>
              </a:graphicData>
            </a:graphic>
          </wp:inline>
        </w:drawing>
      </w:r>
    </w:p>
    <w:p>
      <w:pPr>
        <w:pStyle w:val="Caption"/>
      </w:pPr>
      <w:r>
        <w:t xml:space="preserve">Figure 5 – Voice assistant, part 1: disclosure and plate check</w:t>
      </w:r>
    </w:p>
    <w:p>
      <w:pPr>
        <w:pStyle w:val="BodyText"/>
      </w:pPr>
      <w:r>
        <w:t xml:space="preserve">When the plate matches, the assistant asks about cover and hands interested customers to telesales.</w:t>
      </w:r>
    </w:p>
    <w:p xmlns:a="http://schemas.openxmlformats.org/drawingml/2006/main" xmlns:pic="http://schemas.openxmlformats.org/drawingml/2006/picture">
      <w:pPr>
        <w:pStyle w:val="Figure"/>
      </w:pPr>
      <w:r>
        <w:drawing>
          <wp:inline>
            <wp:extent cx="5727700" cy="4964006"/>
            <wp:effectExtent b="0" l="0" r="0" t="0"/>
            <wp:docPr descr="Voice assistant, part 2: questions, then a handoff to telesales" title="" id="5007" name="Picture"/>
            <a:graphic>
              <a:graphicData uri="http://schemas.openxmlformats.org/drawingml/2006/picture">
                <pic:pic>
                  <pic:nvPicPr>
                    <pic:cNvPr descr="/tmp/claude-0/-home-user-TASCO/19e5534d-12b5-5956-9b60-3e77efde0f49/scratchpad/gen/.cache/mermaid/f031cb6ee83ad6a9.png" id="54" name="Picture"/>
                    <pic:cNvPicPr>
                      <a:picLocks noChangeArrowheads="1" noChangeAspect="1"/>
                    </pic:cNvPicPr>
                  </pic:nvPicPr>
                  <pic:blipFill>
                    <a:blip r:embed="rIdG7"/>
                    <a:stretch>
                      <a:fillRect/>
                    </a:stretch>
                  </pic:blipFill>
                  <pic:spPr bwMode="auto">
                    <a:xfrm>
                      <a:off x="0" y="0"/>
                      <a:ext cx="5727700" cy="4964006"/>
                    </a:xfrm>
                    <a:prstGeom prst="rect">
                      <a:avLst/>
                    </a:prstGeom>
                    <a:noFill/>
                    <a:ln w="9525">
                      <a:noFill/>
                      <a:headEnd/>
                      <a:tailEnd/>
                    </a:ln>
                  </pic:spPr>
                </pic:pic>
              </a:graphicData>
            </a:graphic>
          </wp:inline>
        </w:drawing>
      </w:r>
    </w:p>
    <w:p>
      <w:pPr>
        <w:pStyle w:val="Caption"/>
      </w:pPr>
      <w:r>
        <w:t xml:space="preserve">Figure 6 – Voice assistant, part 2: questions, then a handoff to telesales</w:t>
      </w:r>
    </w:p>
    <w:p>
      <w:pPr>
        <w:pStyle w:val="BodyText"/>
      </w:pPr>
      <w:r>
        <w:t xml:space="preserve">The script is governed like any other rule set: compliance approves it before it goes live. If a customer asks why they should not wait for a discount, the assistant answers truthfully: TNDS prices are set by regulation and are the same everywhere, and TASCO adds roadside assistance and an instant e-certificate.</w:t>
      </w:r>
    </w:p>
    <w:p>
      <w:pPr>
        <w:pStyle w:val="Heading2"/>
      </w:pPr>
      <w:bookmarkStart w:id="25" w:name="_Toc300000021"/>
      <w:r>
        <w:t xml:space="preserve">New vehicle at tag activation</w:t>
      </w:r>
      <w:bookmarkEnd w:id="25"/>
    </w:p>
    <w:p xmlns:a="http://schemas.openxmlformats.org/drawingml/2006/main" xmlns:pic="http://schemas.openxmlformats.org/drawingml/2006/picture">
      <w:pPr>
        <w:pStyle w:val="Figure"/>
      </w:pPr>
      <w:r>
        <w:drawing>
          <wp:inline>
            <wp:extent cx="3599999" cy="6479999"/>
            <wp:effectExtent b="0" l="0" r="0" t="0"/>
            <wp:docPr descr="New vehicle at tag activation" title="" id="5008" name="Picture"/>
            <a:graphic>
              <a:graphicData uri="http://schemas.openxmlformats.org/drawingml/2006/picture">
                <pic:pic>
                  <pic:nvPicPr>
                    <pic:cNvPr descr="/tmp/claude-0/-home-user-TASCO/19e5534d-12b5-5956-9b60-3e77efde0f49/scratchpad/gen/.cache/mermaid/077ee08c50c0954c.png" id="58" name="Picture"/>
                    <pic:cNvPicPr>
                      <a:picLocks noChangeArrowheads="1" noChangeAspect="1"/>
                    </pic:cNvPicPr>
                  </pic:nvPicPr>
                  <pic:blipFill>
                    <a:blip r:embed="rIdG8"/>
                    <a:stretch>
                      <a:fillRect/>
                    </a:stretch>
                  </pic:blipFill>
                  <pic:spPr bwMode="auto">
                    <a:xfrm>
                      <a:off x="0" y="0"/>
                      <a:ext cx="3599999" cy="6479999"/>
                    </a:xfrm>
                    <a:prstGeom prst="rect">
                      <a:avLst/>
                    </a:prstGeom>
                    <a:noFill/>
                    <a:ln w="9525">
                      <a:noFill/>
                      <a:headEnd/>
                      <a:tailEnd/>
                    </a:ln>
                  </pic:spPr>
                </pic:pic>
              </a:graphicData>
            </a:graphic>
          </wp:inline>
        </w:drawing>
      </w:r>
    </w:p>
    <w:p>
      <w:pPr>
        <w:pStyle w:val="Caption"/>
      </w:pPr>
      <w:r>
        <w:t xml:space="preserve">Figure 7 – New vehicle at tag activation</w:t>
      </w:r>
    </w:p>
    <w:p>
      <w:pPr>
        <w:pStyle w:val="Heading2"/>
      </w:pPr>
      <w:bookmarkStart w:id="26" w:name="_Toc300000022"/>
      <w:r>
        <w:t xml:space="preserve">Partner sale through the API</w:t>
      </w:r>
      <w:bookmarkEnd w:id="26"/>
    </w:p>
    <w:p xmlns:a="http://schemas.openxmlformats.org/drawingml/2006/main" xmlns:pic="http://schemas.openxmlformats.org/drawingml/2006/picture">
      <w:pPr>
        <w:pStyle w:val="Figure"/>
      </w:pPr>
      <w:r>
        <w:drawing>
          <wp:inline>
            <wp:extent cx="5173199" cy="5763599"/>
            <wp:effectExtent b="0" l="0" r="0" t="0"/>
            <wp:docPr descr="Partner sale through the API, with payment collected by the partner" title="" id="5009" name="Picture"/>
            <a:graphic>
              <a:graphicData uri="http://schemas.openxmlformats.org/drawingml/2006/picture">
                <pic:pic>
                  <pic:nvPicPr>
                    <pic:cNvPr descr="/tmp/claude-0/-home-user-TASCO/19e5534d-12b5-5956-9b60-3e77efde0f49/scratchpad/gen/.cache/mermaid/b6e9201d05ffa7fe.png" id="62" name="Picture"/>
                    <pic:cNvPicPr>
                      <a:picLocks noChangeArrowheads="1" noChangeAspect="1"/>
                    </pic:cNvPicPr>
                  </pic:nvPicPr>
                  <pic:blipFill>
                    <a:blip r:embed="rIdG9"/>
                    <a:stretch>
                      <a:fillRect/>
                    </a:stretch>
                  </pic:blipFill>
                  <pic:spPr bwMode="auto">
                    <a:xfrm>
                      <a:off x="0" y="0"/>
                      <a:ext cx="5173199" cy="5763599"/>
                    </a:xfrm>
                    <a:prstGeom prst="rect">
                      <a:avLst/>
                    </a:prstGeom>
                    <a:noFill/>
                    <a:ln w="9525">
                      <a:noFill/>
                      <a:headEnd/>
                      <a:tailEnd/>
                    </a:ln>
                  </pic:spPr>
                </pic:pic>
              </a:graphicData>
            </a:graphic>
          </wp:inline>
        </w:drawing>
      </w:r>
    </w:p>
    <w:p>
      <w:pPr>
        <w:pStyle w:val="Caption"/>
      </w:pPr>
      <w:r>
        <w:t xml:space="preserve">Figure 8 – Partner sale through the API, with payment collected by the partner</w:t>
      </w:r>
    </w:p>
    <w:p>
      <w:pPr>
        <w:pStyle w:val="Heading2"/>
      </w:pPr>
      <w:bookmarkStart w:id="27" w:name="_Toc300000023"/>
      <w:r>
        <w:t xml:space="preserve">Product and tariff changes</w:t>
      </w:r>
      <w:bookmarkEnd w:id="27"/>
    </w:p>
    <w:p>
      <w:pPr>
        <w:pStyle w:val="FirstParagraph"/>
      </w:pPr>
      <w:r>
        <w:t xml:space="preserve">TASCO’s core system remains the master for products and rating. When a product or tariff changes there, the platform picks up the change; nobody keys it in twice.</w:t>
      </w:r>
    </w:p>
    <w:p xmlns:a="http://schemas.openxmlformats.org/drawingml/2006/main" xmlns:pic="http://schemas.openxmlformats.org/drawingml/2006/picture">
      <w:pPr>
        <w:pStyle w:val="Figure"/>
      </w:pPr>
      <w:r>
        <w:drawing>
          <wp:inline>
            <wp:extent cx="2001599" cy="5515199"/>
            <wp:effectExtent b="0" l="0" r="0" t="0"/>
            <wp:docPr descr="A product or tariff change flows from TASCO core to every channel after approval" title="" id="5010" name="Picture"/>
            <a:graphic>
              <a:graphicData uri="http://schemas.openxmlformats.org/drawingml/2006/picture">
                <pic:pic>
                  <pic:nvPicPr>
                    <pic:cNvPr descr="/tmp/claude-0/-home-user-TASCO/19e5534d-12b5-5956-9b60-3e77efde0f49/scratchpad/gen/.cache/mermaid/abb93bd7a6b5dad2.png" id="66" name="Picture"/>
                    <pic:cNvPicPr>
                      <a:picLocks noChangeArrowheads="1" noChangeAspect="1"/>
                    </pic:cNvPicPr>
                  </pic:nvPicPr>
                  <pic:blipFill>
                    <a:blip r:embed="rIdG10"/>
                    <a:stretch>
                      <a:fillRect/>
                    </a:stretch>
                  </pic:blipFill>
                  <pic:spPr bwMode="auto">
                    <a:xfrm>
                      <a:off x="0" y="0"/>
                      <a:ext cx="2001599" cy="5515199"/>
                    </a:xfrm>
                    <a:prstGeom prst="rect">
                      <a:avLst/>
                    </a:prstGeom>
                    <a:noFill/>
                    <a:ln w="9525">
                      <a:noFill/>
                      <a:headEnd/>
                      <a:tailEnd/>
                    </a:ln>
                  </pic:spPr>
                </pic:pic>
              </a:graphicData>
            </a:graphic>
          </wp:inline>
        </w:drawing>
      </w:r>
    </w:p>
    <w:p>
      <w:pPr>
        <w:pStyle w:val="Caption"/>
      </w:pPr>
      <w:r>
        <w:t xml:space="preserve">Figure 9 – A product or tariff change flows from TASCO core to every channel after approval</w:t>
      </w:r>
    </w:p>
    <w:p>
      <w:pPr>
        <w:pStyle w:val="BodyText"/>
      </w:pPr>
      <w:r>
        <w:t xml:space="preserve">Quotes are always priced live by the core system, so a sync delay can affect which products are displayed, but never the premium a customer pays.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8" w:name="_Toc300000024"/>
      <w:r>
        <w:rPr>
          <w:rStyle w:val="BookTitle"/>
          <w:bCs w:val="0"/>
          <w:i w:val="0"/>
          <w:iCs w:val="0"/>
          <w:spacing w:val="0"/>
        </w:rPr>
        <w:t xml:space="preserve">Personas and their journeys</w:t>
      </w:r>
      <w:bookmarkEnd w:id="28"/>
    </w:p>
    <w:p>
      <w:pPr>
        <w:pStyle w:val="Heading2"/>
      </w:pPr>
      <w:bookmarkStart w:id="29" w:name="_Toc300000025"/>
      <w:r>
        <w:t xml:space="preserve">Customers</w:t>
      </w:r>
      <w:bookmarkEnd w:id="29"/>
    </w:p>
    <w:p>
      <w:pPr>
        <w:pStyle w:val="FirstParagraph"/>
      </w:pPr>
      <w:r>
        <w:t xml:space="preserve">We designed around five customer personas drawn from the VETC base.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46"/>
        <w:gridCol w:w="2237"/>
        <w:gridCol w:w="2080"/>
        <w:gridCol w:w="2964"/>
      </w:tblGrid>
      <w:tr>
        <w:trPr>
          <w:cantSplit/>
          <w:tblHeader/>
        </w:trPr>
        <w:tc>
          <w:tcPr>
            <w:tcW w:w="1746" w:type="dxa"/>
            <w:shd w:val="clear" w:color="auto" w:fill="0F4761"/>
            <w:vAlign w:val="center"/>
          </w:tcPr>
          <w:p>
            <w:pPr>
              <w:pStyle w:val="TableHeading"/>
              <w:jc w:val="left"/>
            </w:pPr>
            <w:r>
              <w:rPr>
                <w:color w:val="FFFFFF"/>
              </w:rPr>
              <w:t xml:space="preserve">Persona</w:t>
            </w:r>
          </w:p>
        </w:tc>
        <w:tc>
          <w:tcPr>
            <w:tcW w:w="2237" w:type="dxa"/>
            <w:shd w:val="clear" w:color="auto" w:fill="0F4761"/>
            <w:vAlign w:val="center"/>
          </w:tcPr>
          <w:p>
            <w:pPr>
              <w:pStyle w:val="TableHeading"/>
              <w:jc w:val="left"/>
            </w:pPr>
            <w:r>
              <w:rPr>
                <w:color w:val="FFFFFF"/>
              </w:rPr>
              <w:t xml:space="preserve">Situation</w:t>
            </w:r>
          </w:p>
        </w:tc>
        <w:tc>
          <w:tcPr>
            <w:tcW w:w="2080" w:type="dxa"/>
            <w:shd w:val="clear" w:color="auto" w:fill="0F4761"/>
            <w:vAlign w:val="center"/>
          </w:tcPr>
          <w:p>
            <w:pPr>
              <w:pStyle w:val="TableHeading"/>
              <w:jc w:val="left"/>
            </w:pPr>
            <w:r>
              <w:rPr>
                <w:color w:val="FFFFFF"/>
              </w:rPr>
              <w:t xml:space="preserve">What they need</w:t>
            </w:r>
          </w:p>
        </w:tc>
        <w:tc>
          <w:tcPr>
            <w:tcW w:w="2964" w:type="dxa"/>
            <w:shd w:val="clear" w:color="auto" w:fill="0F4761"/>
            <w:vAlign w:val="center"/>
          </w:tcPr>
          <w:p>
            <w:pPr>
              <w:pStyle w:val="TableHeading"/>
              <w:jc w:val="left"/>
            </w:pPr>
            <w:r>
              <w:rPr>
                <w:color w:val="FFFFFF"/>
              </w:rPr>
              <w:t xml:space="preserve">What the platform gives them</w:t>
            </w:r>
          </w:p>
        </w:tc>
      </w:tr>
      <w:tr>
        <w:trPr>
          <w:cantSplit/>
        </w:trPr>
        <w:tc>
          <w:tcPr>
            <w:tcW w:w="1746" w:type="dxa"/>
            <w:vAlign w:val="top"/>
          </w:tcPr>
          <w:p>
            <w:pPr>
              <w:pStyle w:val="TableText"/>
              <w:jc w:val="left"/>
            </w:pPr>
            <w:r>
              <w:t xml:space="preserve">Anh Minh, 38, Hà Nội</w:t>
            </w:r>
          </w:p>
        </w:tc>
        <w:tc>
          <w:tcPr>
            <w:tcW w:w="2237" w:type="dxa"/>
            <w:vAlign w:val="top"/>
          </w:tcPr>
          <w:p>
            <w:pPr>
              <w:pStyle w:val="TableText"/>
              <w:jc w:val="left"/>
            </w:pPr>
            <w:r>
              <w:t xml:space="preserve">Commutes daily; uses the VETC app; ignores sales calls</w:t>
            </w:r>
          </w:p>
        </w:tc>
        <w:tc>
          <w:tcPr>
            <w:tcW w:w="2080" w:type="dxa"/>
            <w:vAlign w:val="top"/>
          </w:tcPr>
          <w:p>
            <w:pPr>
              <w:pStyle w:val="TableText"/>
              <w:jc w:val="left"/>
            </w:pPr>
            <w:r>
              <w:t xml:space="preserve">Renew without effort, at the right time</w:t>
            </w:r>
          </w:p>
        </w:tc>
        <w:tc>
          <w:tcPr>
            <w:tcW w:w="2964" w:type="dxa"/>
            <w:vAlign w:val="top"/>
          </w:tcPr>
          <w:p>
            <w:pPr>
              <w:pStyle w:val="TableText"/>
              <w:jc w:val="left"/>
            </w:pPr>
            <w:r>
              <w:t xml:space="preserve">A reminder in the app 45 days ahead and purchase in one tap</w:t>
            </w:r>
          </w:p>
        </w:tc>
      </w:tr>
      <w:tr>
        <w:trPr>
          <w:cantSplit/>
        </w:trPr>
        <w:tc>
          <w:tcPr>
            <w:tcW w:w="1746" w:type="dxa"/>
            <w:shd w:val="clear" w:color="auto" w:fill="F4F7FB"/>
            <w:vAlign w:val="top"/>
          </w:tcPr>
          <w:p>
            <w:pPr>
              <w:pStyle w:val="TableText"/>
              <w:jc w:val="left"/>
            </w:pPr>
            <w:r>
              <w:t xml:space="preserve">Chú Hùng, 51, long-haul driver</w:t>
            </w:r>
          </w:p>
        </w:tc>
        <w:tc>
          <w:tcPr>
            <w:tcW w:w="2237" w:type="dxa"/>
            <w:shd w:val="clear" w:color="auto" w:fill="F4F7FB"/>
            <w:vAlign w:val="top"/>
          </w:tcPr>
          <w:p>
            <w:pPr>
              <w:pStyle w:val="TableText"/>
              <w:jc w:val="left"/>
            </w:pPr>
            <w:r>
              <w:t xml:space="preserve">Drives between Thanh Hóa, Hà Nội and Hải Phòng</w:t>
            </w:r>
          </w:p>
        </w:tc>
        <w:tc>
          <w:tcPr>
            <w:tcW w:w="2080" w:type="dxa"/>
            <w:shd w:val="clear" w:color="auto" w:fill="F4F7FB"/>
            <w:vAlign w:val="top"/>
          </w:tcPr>
          <w:p>
            <w:pPr>
              <w:pStyle w:val="TableText"/>
              <w:jc w:val="left"/>
            </w:pPr>
            <w:r>
              <w:t xml:space="preserve">Help when something goes wrong on the road</w:t>
            </w:r>
          </w:p>
        </w:tc>
        <w:tc>
          <w:tcPr>
            <w:tcW w:w="2964" w:type="dxa"/>
            <w:shd w:val="clear" w:color="auto" w:fill="F4F7FB"/>
            <w:vAlign w:val="top"/>
          </w:tcPr>
          <w:p>
            <w:pPr>
              <w:pStyle w:val="TableText"/>
              <w:jc w:val="left"/>
            </w:pPr>
            <w:r>
              <w:t xml:space="preserve">Roadside assistance as part of the offer; calls only inside the contact window</w:t>
            </w:r>
          </w:p>
        </w:tc>
      </w:tr>
      <w:tr>
        <w:trPr>
          <w:cantSplit/>
        </w:trPr>
        <w:tc>
          <w:tcPr>
            <w:tcW w:w="1746" w:type="dxa"/>
            <w:vAlign w:val="top"/>
          </w:tcPr>
          <w:p>
            <w:pPr>
              <w:pStyle w:val="TableText"/>
              <w:jc w:val="left"/>
            </w:pPr>
            <w:r>
              <w:t xml:space="preserve">Chị Thảo, 32, TP. Hồ Chí Minh</w:t>
            </w:r>
          </w:p>
        </w:tc>
        <w:tc>
          <w:tcPr>
            <w:tcW w:w="2237" w:type="dxa"/>
            <w:vAlign w:val="top"/>
          </w:tcPr>
          <w:p>
            <w:pPr>
              <w:pStyle w:val="TableText"/>
              <w:jc w:val="left"/>
            </w:pPr>
            <w:r>
              <w:t xml:space="preserve">Has just bought a car and activated a VETC tag</w:t>
            </w:r>
          </w:p>
        </w:tc>
        <w:tc>
          <w:tcPr>
            <w:tcW w:w="2080" w:type="dxa"/>
            <w:vAlign w:val="top"/>
          </w:tcPr>
          <w:p>
            <w:pPr>
              <w:pStyle w:val="TableText"/>
              <w:jc w:val="left"/>
            </w:pPr>
            <w:r>
              <w:t xml:space="preserve">To be covered legally from the first day</w:t>
            </w:r>
          </w:p>
        </w:tc>
        <w:tc>
          <w:tcPr>
            <w:tcW w:w="2964" w:type="dxa"/>
            <w:vAlign w:val="top"/>
          </w:tcPr>
          <w:p>
            <w:pPr>
              <w:pStyle w:val="TableText"/>
              <w:jc w:val="left"/>
            </w:pPr>
            <w:r>
              <w:t xml:space="preserve">A welcome offer at tag activation, with optional add-ons</w:t>
            </w:r>
          </w:p>
        </w:tc>
      </w:tr>
      <w:tr>
        <w:trPr>
          <w:cantSplit/>
        </w:trPr>
        <w:tc>
          <w:tcPr>
            <w:tcW w:w="1746" w:type="dxa"/>
            <w:shd w:val="clear" w:color="auto" w:fill="F4F7FB"/>
            <w:vAlign w:val="top"/>
          </w:tcPr>
          <w:p>
            <w:pPr>
              <w:pStyle w:val="TableText"/>
              <w:jc w:val="left"/>
            </w:pPr>
            <w:r>
              <w:t xml:space="preserve">Anh Tuấn, 45, Bình Dương</w:t>
            </w:r>
          </w:p>
        </w:tc>
        <w:tc>
          <w:tcPr>
            <w:tcW w:w="2237" w:type="dxa"/>
            <w:shd w:val="clear" w:color="auto" w:fill="F4F7FB"/>
            <w:vAlign w:val="top"/>
          </w:tcPr>
          <w:p>
            <w:pPr>
              <w:pStyle w:val="TableText"/>
              <w:jc w:val="left"/>
            </w:pPr>
            <w:r>
              <w:t xml:space="preserve">His policy lapsed months ago</w:t>
            </w:r>
          </w:p>
        </w:tc>
        <w:tc>
          <w:tcPr>
            <w:tcW w:w="2080" w:type="dxa"/>
            <w:shd w:val="clear" w:color="auto" w:fill="F4F7FB"/>
            <w:vAlign w:val="top"/>
          </w:tcPr>
          <w:p>
            <w:pPr>
              <w:pStyle w:val="TableText"/>
              <w:jc w:val="left"/>
            </w:pPr>
            <w:r>
              <w:t xml:space="preserve">To fix it without being lectured or pressured</w:t>
            </w:r>
          </w:p>
        </w:tc>
        <w:tc>
          <w:tcPr>
            <w:tcW w:w="2964" w:type="dxa"/>
            <w:shd w:val="clear" w:color="auto" w:fill="F4F7FB"/>
            <w:vAlign w:val="top"/>
          </w:tcPr>
          <w:p>
            <w:pPr>
              <w:pStyle w:val="TableText"/>
              <w:jc w:val="left"/>
            </w:pPr>
            <w:r>
              <w:t xml:space="preserve">A recovery journey that starts in the app and moves to a call only with consent</w:t>
            </w:r>
          </w:p>
        </w:tc>
      </w:tr>
      <w:tr>
        <w:trPr>
          <w:cantSplit/>
        </w:trPr>
        <w:tc>
          <w:tcPr>
            <w:tcW w:w="1746" w:type="dxa"/>
            <w:vAlign w:val="top"/>
          </w:tcPr>
          <w:p>
            <w:pPr>
              <w:pStyle w:val="TableText"/>
              <w:jc w:val="left"/>
            </w:pPr>
            <w:r>
              <w:t xml:space="preserve">Chị Lan, 41, fleet manager</w:t>
            </w:r>
          </w:p>
        </w:tc>
        <w:tc>
          <w:tcPr>
            <w:tcW w:w="2237" w:type="dxa"/>
            <w:vAlign w:val="top"/>
          </w:tcPr>
          <w:p>
            <w:pPr>
              <w:pStyle w:val="TableText"/>
              <w:jc w:val="left"/>
            </w:pPr>
            <w:r>
              <w:t xml:space="preserve">Runs 40 vehicles for a logistics company</w:t>
            </w:r>
          </w:p>
        </w:tc>
        <w:tc>
          <w:tcPr>
            <w:tcW w:w="2080" w:type="dxa"/>
            <w:vAlign w:val="top"/>
          </w:tcPr>
          <w:p>
            <w:pPr>
              <w:pStyle w:val="TableText"/>
              <w:jc w:val="left"/>
            </w:pPr>
            <w:r>
              <w:t xml:space="preserve">One renewal date and one invoice</w:t>
            </w:r>
          </w:p>
        </w:tc>
        <w:tc>
          <w:tcPr>
            <w:tcW w:w="2964" w:type="dxa"/>
            <w:vAlign w:val="top"/>
          </w:tcPr>
          <w:p>
            <w:pPr>
              <w:pStyle w:val="TableText"/>
              <w:jc w:val="left"/>
            </w:pPr>
            <w:r>
              <w:t xml:space="preserve">Routed to TASCO’s B2B team; fleet portal in the scale phase</w:t>
            </w:r>
          </w:p>
        </w:tc>
      </w:tr>
    </w:tbl>
    <w:p>
      <w:pPr>
        <w:pStyle w:val="Heading2"/>
      </w:pPr>
      <w:bookmarkStart w:id="30" w:name="_Toc300000026"/>
      <w:r>
        <w:t xml:space="preserve">Anh Minh’s renewal, before and after</w:t>
      </w:r>
      <w:bookmarkEnd w:id="30"/>
    </w:p>
    <w:p>
      <w:pPr>
        <w:pStyle w:val="FirstParagraph"/>
      </w:pPr>
      <w:r>
        <w:t xml:space="preserve">Today, TASCO does not know when Anh Minh’s cover ends. He receives no reminder from TASCO, waits in case a discount appears, and eventually buys from whoever is in front of him at his next inspection.</w:t>
      </w:r>
    </w:p>
    <w:p>
      <w:pPr>
        <w:pStyle w:val="BodyText"/>
      </w:pPr>
      <w:r>
        <w:t xml:space="preserve">With the platform, the story is different. Forty-five days before his cover ends, a notification appears in the VETC app he opens every week. It tells him the date his cover ends, the regulated price, and what TASCO includes: roadside assistance, an e-certificate he can show at any checkpoint, and a reminder before his next inspection. He taps</w:t>
      </w:r>
      <w:r>
        <w:t xml:space="preserve"> </w:t>
      </w:r>
      <w:r>
        <w:t xml:space="preserve">“</w:t>
      </w:r>
      <w:r>
        <w:t xml:space="preserve">Confirm and pay</w:t>
      </w:r>
      <w:r>
        <w:t xml:space="preserve">”</w:t>
      </w:r>
      <w:r>
        <w:t xml:space="preserve">, pays from his VETC wallet, and receives his e-certificate before he has finished his coffee. Next year, his expiry date is already verified and he is offered three-year cover.</w:t>
      </w:r>
    </w:p>
    <w:p>
      <w:pPr>
        <w:pStyle w:val="Heading2"/>
      </w:pPr>
      <w:bookmarkStart w:id="31" w:name="_Toc300000027"/>
      <w:r>
        <w:t xml:space="preserve">Anh Tuấn’s return from lapsed</w:t>
      </w:r>
      <w:bookmarkEnd w:id="31"/>
    </w:p>
    <w:p>
      <w:pPr>
        <w:pStyle w:val="FirstParagraph"/>
      </w:pPr>
      <w:r>
        <w:t xml:space="preserve">The platform finds no valid cover for Anh Tuấn’s car. His record is good enough to act on, so the recovery journey starts with an app message. When he does not respond, and because he has consented to calls, the voice assistant calls him at 10:30 one morning. It introduces itself, asks him to state his plate, and asks whether he has cover elsewhere. He says he does not and would like to sort it out. A telesales agent receives the handoff with a two-line summary, calls him back within the hour and sends the quote to his VETC app, where he pays. The agent never asks for payment details on the phone.</w:t>
      </w:r>
    </w:p>
    <w:p>
      <w:pPr>
        <w:pStyle w:val="Heading2"/>
      </w:pPr>
      <w:bookmarkStart w:id="32" w:name="_Toc300000028"/>
      <w:r>
        <w:t xml:space="preserve">Staff and partners</w:t>
      </w:r>
      <w:bookmarkEnd w:id="3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56"/>
        <w:gridCol w:w="3500"/>
        <w:gridCol w:w="3071"/>
      </w:tblGrid>
      <w:tr>
        <w:trPr>
          <w:cantSplit/>
          <w:tblHeader/>
        </w:trPr>
        <w:tc>
          <w:tcPr>
            <w:tcW w:w="2456" w:type="dxa"/>
            <w:shd w:val="clear" w:color="auto" w:fill="0F4761"/>
            <w:vAlign w:val="center"/>
          </w:tcPr>
          <w:p>
            <w:pPr>
              <w:pStyle w:val="TableHeading"/>
              <w:jc w:val="left"/>
            </w:pPr>
            <w:r>
              <w:rPr>
                <w:color w:val="FFFFFF"/>
              </w:rPr>
              <w:t xml:space="preserve">Role</w:t>
            </w:r>
          </w:p>
        </w:tc>
        <w:tc>
          <w:tcPr>
            <w:tcW w:w="3500" w:type="dxa"/>
            <w:shd w:val="clear" w:color="auto" w:fill="0F4761"/>
            <w:vAlign w:val="center"/>
          </w:tcPr>
          <w:p>
            <w:pPr>
              <w:pStyle w:val="TableHeading"/>
              <w:jc w:val="left"/>
            </w:pPr>
            <w:r>
              <w:rPr>
                <w:color w:val="FFFFFF"/>
              </w:rPr>
              <w:t xml:space="preserve">What they want from the platform</w:t>
            </w:r>
          </w:p>
        </w:tc>
        <w:tc>
          <w:tcPr>
            <w:tcW w:w="3071" w:type="dxa"/>
            <w:shd w:val="clear" w:color="auto" w:fill="0F4761"/>
            <w:vAlign w:val="center"/>
          </w:tcPr>
          <w:p>
            <w:pPr>
              <w:pStyle w:val="TableHeading"/>
              <w:jc w:val="left"/>
            </w:pPr>
            <w:r>
              <w:rPr>
                <w:color w:val="FFFFFF"/>
              </w:rPr>
              <w:t xml:space="preserve">Where they work</w:t>
            </w:r>
          </w:p>
        </w:tc>
      </w:tr>
      <w:tr>
        <w:trPr>
          <w:cantSplit/>
        </w:trPr>
        <w:tc>
          <w:tcPr>
            <w:tcW w:w="2456" w:type="dxa"/>
            <w:vAlign w:val="top"/>
          </w:tcPr>
          <w:p>
            <w:pPr>
              <w:pStyle w:val="TableText"/>
              <w:jc w:val="left"/>
            </w:pPr>
            <w:r>
              <w:t xml:space="preserve">Telesales agent</w:t>
            </w:r>
          </w:p>
        </w:tc>
        <w:tc>
          <w:tcPr>
            <w:tcW w:w="3500" w:type="dxa"/>
            <w:vAlign w:val="top"/>
          </w:tcPr>
          <w:p>
            <w:pPr>
              <w:pStyle w:val="TableText"/>
              <w:jc w:val="left"/>
            </w:pPr>
            <w:r>
              <w:t xml:space="preserve">Fewer, better calls, with context</w:t>
            </w:r>
          </w:p>
        </w:tc>
        <w:tc>
          <w:tcPr>
            <w:tcW w:w="3071" w:type="dxa"/>
            <w:vAlign w:val="top"/>
          </w:tcPr>
          <w:p>
            <w:pPr>
              <w:pStyle w:val="TableText"/>
              <w:jc w:val="left"/>
            </w:pPr>
            <w:r>
              <w:t xml:space="preserve">Handoff inbox, customer 360 view, quote and send</w:t>
            </w:r>
          </w:p>
        </w:tc>
      </w:tr>
      <w:tr>
        <w:trPr>
          <w:cantSplit/>
        </w:trPr>
        <w:tc>
          <w:tcPr>
            <w:tcW w:w="2456" w:type="dxa"/>
            <w:shd w:val="clear" w:color="auto" w:fill="F4F7FB"/>
            <w:vAlign w:val="top"/>
          </w:tcPr>
          <w:p>
            <w:pPr>
              <w:pStyle w:val="TableText"/>
              <w:jc w:val="left"/>
            </w:pPr>
            <w:r>
              <w:t xml:space="preserve">Telesales supervisor</w:t>
            </w:r>
          </w:p>
        </w:tc>
        <w:tc>
          <w:tcPr>
            <w:tcW w:w="3500" w:type="dxa"/>
            <w:shd w:val="clear" w:color="auto" w:fill="F4F7FB"/>
            <w:vAlign w:val="top"/>
          </w:tcPr>
          <w:p>
            <w:pPr>
              <w:pStyle w:val="TableText"/>
              <w:jc w:val="left"/>
            </w:pPr>
            <w:r>
              <w:t xml:space="preserve">Productivity and compliance across the team</w:t>
            </w:r>
          </w:p>
        </w:tc>
        <w:tc>
          <w:tcPr>
            <w:tcW w:w="3071" w:type="dxa"/>
            <w:shd w:val="clear" w:color="auto" w:fill="F4F7FB"/>
            <w:vAlign w:val="top"/>
          </w:tcPr>
          <w:p>
            <w:pPr>
              <w:pStyle w:val="TableText"/>
              <w:jc w:val="left"/>
            </w:pPr>
            <w:r>
              <w:t xml:space="preserve">Inbox assignment, voice assistant console</w:t>
            </w:r>
          </w:p>
        </w:tc>
      </w:tr>
      <w:tr>
        <w:trPr>
          <w:cantSplit/>
        </w:trPr>
        <w:tc>
          <w:tcPr>
            <w:tcW w:w="2456" w:type="dxa"/>
            <w:vAlign w:val="top"/>
          </w:tcPr>
          <w:p>
            <w:pPr>
              <w:pStyle w:val="TableText"/>
              <w:jc w:val="left"/>
            </w:pPr>
            <w:r>
              <w:t xml:space="preserve">Campaign manager</w:t>
            </w:r>
          </w:p>
        </w:tc>
        <w:tc>
          <w:tcPr>
            <w:tcW w:w="3500" w:type="dxa"/>
            <w:vAlign w:val="top"/>
          </w:tcPr>
          <w:p>
            <w:pPr>
              <w:pStyle w:val="TableText"/>
              <w:jc w:val="left"/>
            </w:pPr>
            <w:r>
              <w:t xml:space="preserve">Growth at a controlled cost</w:t>
            </w:r>
          </w:p>
        </w:tc>
        <w:tc>
          <w:tcPr>
            <w:tcW w:w="3071" w:type="dxa"/>
            <w:vAlign w:val="top"/>
          </w:tcPr>
          <w:p>
            <w:pPr>
              <w:pStyle w:val="TableText"/>
              <w:jc w:val="left"/>
            </w:pPr>
            <w:r>
              <w:t xml:space="preserve">Dashboard, leads, journeys, voice campaigns</w:t>
            </w:r>
          </w:p>
        </w:tc>
      </w:tr>
      <w:tr>
        <w:trPr>
          <w:cantSplit/>
        </w:trPr>
        <w:tc>
          <w:tcPr>
            <w:tcW w:w="2456" w:type="dxa"/>
            <w:shd w:val="clear" w:color="auto" w:fill="F4F7FB"/>
            <w:vAlign w:val="top"/>
          </w:tcPr>
          <w:p>
            <w:pPr>
              <w:pStyle w:val="TableText"/>
              <w:jc w:val="left"/>
            </w:pPr>
            <w:r>
              <w:t xml:space="preserve">Product rule author</w:t>
            </w:r>
          </w:p>
        </w:tc>
        <w:tc>
          <w:tcPr>
            <w:tcW w:w="3500" w:type="dxa"/>
            <w:shd w:val="clear" w:color="auto" w:fill="F4F7FB"/>
            <w:vAlign w:val="top"/>
          </w:tcPr>
          <w:p>
            <w:pPr>
              <w:pStyle w:val="TableText"/>
              <w:jc w:val="left"/>
            </w:pPr>
            <w:r>
              <w:t xml:space="preserve">Change scoring, journeys and copy without an IT project</w:t>
            </w:r>
          </w:p>
        </w:tc>
        <w:tc>
          <w:tcPr>
            <w:tcW w:w="3071" w:type="dxa"/>
            <w:shd w:val="clear" w:color="auto" w:fill="F4F7FB"/>
            <w:vAlign w:val="top"/>
          </w:tcPr>
          <w:p>
            <w:pPr>
              <w:pStyle w:val="TableText"/>
              <w:jc w:val="left"/>
            </w:pPr>
            <w:r>
              <w:t xml:space="preserve">Rules studio</w:t>
            </w:r>
          </w:p>
        </w:tc>
      </w:tr>
      <w:tr>
        <w:trPr>
          <w:cantSplit/>
        </w:trPr>
        <w:tc>
          <w:tcPr>
            <w:tcW w:w="2456" w:type="dxa"/>
            <w:vAlign w:val="top"/>
          </w:tcPr>
          <w:p>
            <w:pPr>
              <w:pStyle w:val="TableText"/>
              <w:jc w:val="left"/>
            </w:pPr>
            <w:r>
              <w:t xml:space="preserve">Compliance approver</w:t>
            </w:r>
          </w:p>
        </w:tc>
        <w:tc>
          <w:tcPr>
            <w:tcW w:w="3500" w:type="dxa"/>
            <w:vAlign w:val="top"/>
          </w:tcPr>
          <w:p>
            <w:pPr>
              <w:pStyle w:val="TableText"/>
              <w:jc w:val="left"/>
            </w:pPr>
            <w:r>
              <w:t xml:space="preserve">Nothing unlawful reaches a customer</w:t>
            </w:r>
          </w:p>
        </w:tc>
        <w:tc>
          <w:tcPr>
            <w:tcW w:w="3071" w:type="dxa"/>
            <w:vAlign w:val="top"/>
          </w:tcPr>
          <w:p>
            <w:pPr>
              <w:pStyle w:val="TableText"/>
              <w:jc w:val="left"/>
            </w:pPr>
            <w:r>
              <w:t xml:space="preserve">Approvals, audit trail, governance dashboard</w:t>
            </w:r>
          </w:p>
        </w:tc>
      </w:tr>
      <w:tr>
        <w:trPr>
          <w:cantSplit/>
        </w:trPr>
        <w:tc>
          <w:tcPr>
            <w:tcW w:w="2456" w:type="dxa"/>
            <w:shd w:val="clear" w:color="auto" w:fill="F4F7FB"/>
            <w:vAlign w:val="top"/>
          </w:tcPr>
          <w:p>
            <w:pPr>
              <w:pStyle w:val="TableText"/>
              <w:jc w:val="left"/>
            </w:pPr>
            <w:r>
              <w:t xml:space="preserve">Data steward</w:t>
            </w:r>
          </w:p>
        </w:tc>
        <w:tc>
          <w:tcPr>
            <w:tcW w:w="3500" w:type="dxa"/>
            <w:shd w:val="clear" w:color="auto" w:fill="F4F7FB"/>
            <w:vAlign w:val="top"/>
          </w:tcPr>
          <w:p>
            <w:pPr>
              <w:pStyle w:val="TableText"/>
              <w:jc w:val="left"/>
            </w:pPr>
            <w:r>
              <w:t xml:space="preserve">Data the business can trust</w:t>
            </w:r>
          </w:p>
        </w:tc>
        <w:tc>
          <w:tcPr>
            <w:tcW w:w="3071" w:type="dxa"/>
            <w:shd w:val="clear" w:color="auto" w:fill="F4F7FB"/>
            <w:vAlign w:val="top"/>
          </w:tcPr>
          <w:p>
            <w:pPr>
              <w:pStyle w:val="TableText"/>
              <w:jc w:val="left"/>
            </w:pPr>
            <w:r>
              <w:t xml:space="preserve">Data-quality queue, lineage</w:t>
            </w:r>
          </w:p>
        </w:tc>
      </w:tr>
      <w:tr>
        <w:trPr>
          <w:cantSplit/>
        </w:trPr>
        <w:tc>
          <w:tcPr>
            <w:tcW w:w="2456" w:type="dxa"/>
            <w:vAlign w:val="top"/>
          </w:tcPr>
          <w:p>
            <w:pPr>
              <w:pStyle w:val="TableText"/>
              <w:jc w:val="left"/>
            </w:pPr>
            <w:r>
              <w:t xml:space="preserve">Claims handler</w:t>
            </w:r>
          </w:p>
        </w:tc>
        <w:tc>
          <w:tcPr>
            <w:tcW w:w="3500" w:type="dxa"/>
            <w:vAlign w:val="top"/>
          </w:tcPr>
          <w:p>
            <w:pPr>
              <w:pStyle w:val="TableText"/>
              <w:jc w:val="left"/>
            </w:pPr>
            <w:r>
              <w:t xml:space="preserve">Complete first notices, received early</w:t>
            </w:r>
          </w:p>
        </w:tc>
        <w:tc>
          <w:tcPr>
            <w:tcW w:w="3071" w:type="dxa"/>
            <w:vAlign w:val="top"/>
          </w:tcPr>
          <w:p>
            <w:pPr>
              <w:pStyle w:val="TableText"/>
              <w:jc w:val="left"/>
            </w:pPr>
            <w:r>
              <w:t xml:space="preserve">Claims queue</w:t>
            </w:r>
          </w:p>
        </w:tc>
      </w:tr>
      <w:tr>
        <w:trPr>
          <w:cantSplit/>
        </w:trPr>
        <w:tc>
          <w:tcPr>
            <w:tcW w:w="2456" w:type="dxa"/>
            <w:shd w:val="clear" w:color="auto" w:fill="F4F7FB"/>
            <w:vAlign w:val="top"/>
          </w:tcPr>
          <w:p>
            <w:pPr>
              <w:pStyle w:val="TableText"/>
              <w:jc w:val="left"/>
            </w:pPr>
            <w:r>
              <w:t xml:space="preserve">Partner manager</w:t>
            </w:r>
          </w:p>
        </w:tc>
        <w:tc>
          <w:tcPr>
            <w:tcW w:w="3500" w:type="dxa"/>
            <w:shd w:val="clear" w:color="auto" w:fill="F4F7FB"/>
            <w:vAlign w:val="top"/>
          </w:tcPr>
          <w:p>
            <w:pPr>
              <w:pStyle w:val="TableText"/>
              <w:jc w:val="left"/>
            </w:pPr>
            <w:r>
              <w:t xml:space="preserve">More partner sales and clean commission</w:t>
            </w:r>
          </w:p>
        </w:tc>
        <w:tc>
          <w:tcPr>
            <w:tcW w:w="3071" w:type="dxa"/>
            <w:shd w:val="clear" w:color="auto" w:fill="F4F7FB"/>
            <w:vAlign w:val="top"/>
          </w:tcPr>
          <w:p>
            <w:pPr>
              <w:pStyle w:val="TableText"/>
              <w:jc w:val="left"/>
            </w:pPr>
            <w:r>
              <w:t xml:space="preserve">Partners, API keys, statements</w:t>
            </w:r>
          </w:p>
        </w:tc>
      </w:tr>
      <w:tr>
        <w:trPr>
          <w:cantSplit/>
        </w:trPr>
        <w:tc>
          <w:tcPr>
            <w:tcW w:w="2456" w:type="dxa"/>
            <w:vAlign w:val="top"/>
          </w:tcPr>
          <w:p>
            <w:pPr>
              <w:pStyle w:val="TableText"/>
              <w:jc w:val="left"/>
            </w:pPr>
            <w:r>
              <w:t xml:space="preserve">Executive</w:t>
            </w:r>
          </w:p>
        </w:tc>
        <w:tc>
          <w:tcPr>
            <w:tcW w:w="3500" w:type="dxa"/>
            <w:vAlign w:val="top"/>
          </w:tcPr>
          <w:p>
            <w:pPr>
              <w:pStyle w:val="TableText"/>
              <w:jc w:val="left"/>
            </w:pPr>
            <w:r>
              <w:t xml:space="preserve">Growth and return on investment, visible weekly</w:t>
            </w:r>
          </w:p>
        </w:tc>
        <w:tc>
          <w:tcPr>
            <w:tcW w:w="3071" w:type="dxa"/>
            <w:vAlign w:val="top"/>
          </w:tcPr>
          <w:p>
            <w:pPr>
              <w:pStyle w:val="TableText"/>
              <w:jc w:val="left"/>
            </w:pPr>
            <w:r>
              <w:t xml:space="preserve">Executive dashboard</w:t>
            </w:r>
          </w:p>
        </w:tc>
      </w:tr>
      <w:tr>
        <w:trPr>
          <w:cantSplit/>
        </w:trPr>
        <w:tc>
          <w:tcPr>
            <w:tcW w:w="2456" w:type="dxa"/>
            <w:shd w:val="clear" w:color="auto" w:fill="F4F7FB"/>
            <w:vAlign w:val="top"/>
          </w:tcPr>
          <w:p>
            <w:pPr>
              <w:pStyle w:val="TableText"/>
              <w:jc w:val="left"/>
            </w:pPr>
            <w:r>
              <w:t xml:space="preserve">Support, administration and audit</w:t>
            </w:r>
          </w:p>
        </w:tc>
        <w:tc>
          <w:tcPr>
            <w:tcW w:w="3500" w:type="dxa"/>
            <w:shd w:val="clear" w:color="auto" w:fill="F4F7FB"/>
            <w:vAlign w:val="top"/>
          </w:tcPr>
          <w:p>
            <w:pPr>
              <w:pStyle w:val="TableText"/>
              <w:jc w:val="left"/>
            </w:pPr>
            <w:r>
              <w:t xml:space="preserve">A stable, secure and evidenced platform</w:t>
            </w:r>
          </w:p>
        </w:tc>
        <w:tc>
          <w:tcPr>
            <w:tcW w:w="3071" w:type="dxa"/>
            <w:shd w:val="clear" w:color="auto" w:fill="F4F7FB"/>
            <w:vAlign w:val="top"/>
          </w:tcPr>
          <w:p>
            <w:pPr>
              <w:pStyle w:val="TableText"/>
              <w:jc w:val="left"/>
            </w:pPr>
            <w:r>
              <w:t xml:space="preserve">Operations, users, audit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3" w:name="_Toc300000029"/>
      <w:r>
        <w:rPr>
          <w:rStyle w:val="BookTitle"/>
          <w:bCs w:val="0"/>
          <w:i w:val="0"/>
          <w:iCs w:val="0"/>
          <w:spacing w:val="0"/>
        </w:rPr>
        <w:t xml:space="preserve">User stories</w:t>
      </w:r>
      <w:bookmarkEnd w:id="33"/>
    </w:p>
    <w:p>
      <w:pPr>
        <w:pStyle w:val="FirstParagraph"/>
      </w:pPr>
      <w:r>
        <w:t xml:space="preserve">The full backlog contains 15 epics and 124 user-story scenarios, each written with acceptance criteria in Given/When/Then form and each backed by an automated functional test. The table below gives one representative story per epic and shows what is in the MVP.</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63"/>
        <w:gridCol w:w="5581"/>
        <w:gridCol w:w="1283"/>
      </w:tblGrid>
      <w:tr>
        <w:trPr>
          <w:cantSplit/>
          <w:tblHeader/>
        </w:trPr>
        <w:tc>
          <w:tcPr>
            <w:tcW w:w="2163" w:type="dxa"/>
            <w:shd w:val="clear" w:color="auto" w:fill="0F4761"/>
            <w:vAlign w:val="center"/>
          </w:tcPr>
          <w:p>
            <w:pPr>
              <w:pStyle w:val="TableHeading"/>
              <w:jc w:val="left"/>
            </w:pPr>
            <w:r>
              <w:rPr>
                <w:color w:val="FFFFFF"/>
              </w:rPr>
              <w:t xml:space="preserve">Epic</w:t>
            </w:r>
          </w:p>
        </w:tc>
        <w:tc>
          <w:tcPr>
            <w:tcW w:w="5581" w:type="dxa"/>
            <w:shd w:val="clear" w:color="auto" w:fill="0F4761"/>
            <w:vAlign w:val="center"/>
          </w:tcPr>
          <w:p>
            <w:pPr>
              <w:pStyle w:val="TableHeading"/>
              <w:jc w:val="left"/>
            </w:pPr>
            <w:r>
              <w:rPr>
                <w:color w:val="FFFFFF"/>
              </w:rPr>
              <w:t xml:space="preserve">Representative user story</w:t>
            </w:r>
          </w:p>
        </w:tc>
        <w:tc>
          <w:tcPr>
            <w:tcW w:w="1283" w:type="dxa"/>
            <w:shd w:val="clear" w:color="auto" w:fill="0F4761"/>
            <w:vAlign w:val="center"/>
          </w:tcPr>
          <w:p>
            <w:pPr>
              <w:pStyle w:val="TableHeading"/>
              <w:jc w:val="left"/>
            </w:pPr>
            <w:r>
              <w:rPr>
                <w:color w:val="FFFFFF"/>
              </w:rPr>
              <w:t xml:space="preserve">In the MVP</w:t>
            </w:r>
          </w:p>
        </w:tc>
      </w:tr>
      <w:tr>
        <w:trPr>
          <w:cantSplit/>
        </w:trPr>
        <w:tc>
          <w:tcPr>
            <w:tcW w:w="2163" w:type="dxa"/>
            <w:vAlign w:val="top"/>
          </w:tcPr>
          <w:p>
            <w:pPr>
              <w:pStyle w:val="TableText"/>
              <w:jc w:val="left"/>
            </w:pPr>
            <w:r>
              <w:t xml:space="preserve">Data foundation and repair</w:t>
            </w:r>
          </w:p>
        </w:tc>
        <w:tc>
          <w:tcPr>
            <w:tcW w:w="5581" w:type="dxa"/>
            <w:vAlign w:val="top"/>
          </w:tcPr>
          <w:p>
            <w:pPr>
              <w:pStyle w:val="TableText"/>
              <w:jc w:val="left"/>
            </w:pPr>
            <w:r>
              <w:t xml:space="preserve">As a data steward, I want records from VETC, TASCO and partners merged into one profile per plate, so that each vehicle is contacted once and with the best data.</w:t>
            </w:r>
          </w:p>
        </w:tc>
        <w:tc>
          <w:tcPr>
            <w:tcW w:w="1283" w:type="dxa"/>
            <w:vAlign w:val="top"/>
          </w:tcPr>
          <w:p>
            <w:pPr>
              <w:pStyle w:val="TableText"/>
              <w:jc w:val="left"/>
            </w:pPr>
            <w:r>
              <w:t xml:space="preserve">Yes</w:t>
            </w:r>
          </w:p>
        </w:tc>
      </w:tr>
      <w:tr>
        <w:trPr>
          <w:cantSplit/>
        </w:trPr>
        <w:tc>
          <w:tcPr>
            <w:tcW w:w="2163" w:type="dxa"/>
            <w:shd w:val="clear" w:color="auto" w:fill="F4F7FB"/>
            <w:vAlign w:val="top"/>
          </w:tcPr>
          <w:p>
            <w:pPr>
              <w:pStyle w:val="TableText"/>
              <w:jc w:val="left"/>
            </w:pPr>
            <w:r>
              <w:t xml:space="preserve">Lead prioritisation</w:t>
            </w:r>
          </w:p>
        </w:tc>
        <w:tc>
          <w:tcPr>
            <w:tcW w:w="5581" w:type="dxa"/>
            <w:shd w:val="clear" w:color="auto" w:fill="F4F7FB"/>
            <w:vAlign w:val="top"/>
          </w:tcPr>
          <w:p>
            <w:pPr>
              <w:pStyle w:val="TableText"/>
              <w:jc w:val="left"/>
            </w:pPr>
            <w:r>
              <w:t xml:space="preserve">As a campaign manager, I want every vehicle scored with reasons, so that effort goes to the drivers most likely to buy.</w:t>
            </w:r>
          </w:p>
        </w:tc>
        <w:tc>
          <w:tcPr>
            <w:tcW w:w="1283" w:type="dxa"/>
            <w:shd w:val="clear" w:color="auto" w:fill="F4F7FB"/>
            <w:vAlign w:val="top"/>
          </w:tcPr>
          <w:p>
            <w:pPr>
              <w:pStyle w:val="TableText"/>
              <w:jc w:val="left"/>
            </w:pPr>
            <w:r>
              <w:t xml:space="preserve">Yes</w:t>
            </w:r>
          </w:p>
        </w:tc>
      </w:tr>
      <w:tr>
        <w:trPr>
          <w:cantSplit/>
        </w:trPr>
        <w:tc>
          <w:tcPr>
            <w:tcW w:w="2163" w:type="dxa"/>
            <w:vAlign w:val="top"/>
          </w:tcPr>
          <w:p>
            <w:pPr>
              <w:pStyle w:val="TableText"/>
              <w:jc w:val="left"/>
            </w:pPr>
            <w:r>
              <w:t xml:space="preserve">Renewal journeys</w:t>
            </w:r>
          </w:p>
        </w:tc>
        <w:tc>
          <w:tcPr>
            <w:tcW w:w="5581" w:type="dxa"/>
            <w:vAlign w:val="top"/>
          </w:tcPr>
          <w:p>
            <w:pPr>
              <w:pStyle w:val="TableText"/>
              <w:jc w:val="left"/>
            </w:pPr>
            <w:r>
              <w:t xml:space="preserve">As a TASCO customer, I want a reminder before my cover ends, so that I am never uninsured by accident.</w:t>
            </w:r>
          </w:p>
        </w:tc>
        <w:tc>
          <w:tcPr>
            <w:tcW w:w="1283" w:type="dxa"/>
            <w:vAlign w:val="top"/>
          </w:tcPr>
          <w:p>
            <w:pPr>
              <w:pStyle w:val="TableText"/>
              <w:jc w:val="left"/>
            </w:pPr>
            <w:r>
              <w:t xml:space="preserve">Yes</w:t>
            </w:r>
          </w:p>
        </w:tc>
      </w:tr>
      <w:tr>
        <w:trPr>
          <w:cantSplit/>
        </w:trPr>
        <w:tc>
          <w:tcPr>
            <w:tcW w:w="2163" w:type="dxa"/>
            <w:shd w:val="clear" w:color="auto" w:fill="F4F7FB"/>
            <w:vAlign w:val="top"/>
          </w:tcPr>
          <w:p>
            <w:pPr>
              <w:pStyle w:val="TableText"/>
              <w:jc w:val="left"/>
            </w:pPr>
            <w:r>
              <w:t xml:space="preserve">New-business journeys</w:t>
            </w:r>
          </w:p>
        </w:tc>
        <w:tc>
          <w:tcPr>
            <w:tcW w:w="5581" w:type="dxa"/>
            <w:shd w:val="clear" w:color="auto" w:fill="F4F7FB"/>
            <w:vAlign w:val="top"/>
          </w:tcPr>
          <w:p>
            <w:pPr>
              <w:pStyle w:val="TableText"/>
              <w:jc w:val="left"/>
            </w:pPr>
            <w:r>
              <w:t xml:space="preserve">As a new VETC tag holder, I want to buy TNDS in the app when I activate my tag, so that I am covered from day one.</w:t>
            </w:r>
          </w:p>
        </w:tc>
        <w:tc>
          <w:tcPr>
            <w:tcW w:w="1283" w:type="dxa"/>
            <w:shd w:val="clear" w:color="auto" w:fill="F4F7FB"/>
            <w:vAlign w:val="top"/>
          </w:tcPr>
          <w:p>
            <w:pPr>
              <w:pStyle w:val="TableText"/>
              <w:jc w:val="left"/>
            </w:pPr>
            <w:r>
              <w:t xml:space="preserve">Yes</w:t>
            </w:r>
          </w:p>
        </w:tc>
      </w:tr>
      <w:tr>
        <w:trPr>
          <w:cantSplit/>
        </w:trPr>
        <w:tc>
          <w:tcPr>
            <w:tcW w:w="2163" w:type="dxa"/>
            <w:vAlign w:val="top"/>
          </w:tcPr>
          <w:p>
            <w:pPr>
              <w:pStyle w:val="TableText"/>
              <w:jc w:val="left"/>
            </w:pPr>
            <w:r>
              <w:t xml:space="preserve">Voice assistant</w:t>
            </w:r>
          </w:p>
        </w:tc>
        <w:tc>
          <w:tcPr>
            <w:tcW w:w="5581" w:type="dxa"/>
            <w:vAlign w:val="top"/>
          </w:tcPr>
          <w:p>
            <w:pPr>
              <w:pStyle w:val="TableText"/>
              <w:jc w:val="left"/>
            </w:pPr>
            <w:r>
              <w:t xml:space="preserve">As a customer, I want the assistant to confirm my plate before discussing my policy, so that I know the call is genuine.</w:t>
            </w:r>
          </w:p>
        </w:tc>
        <w:tc>
          <w:tcPr>
            <w:tcW w:w="1283" w:type="dxa"/>
            <w:vAlign w:val="top"/>
          </w:tcPr>
          <w:p>
            <w:pPr>
              <w:pStyle w:val="TableText"/>
              <w:jc w:val="left"/>
            </w:pPr>
            <w:r>
              <w:t xml:space="preserve">Yes</w:t>
            </w:r>
          </w:p>
        </w:tc>
      </w:tr>
      <w:tr>
        <w:trPr>
          <w:cantSplit/>
        </w:trPr>
        <w:tc>
          <w:tcPr>
            <w:tcW w:w="2163" w:type="dxa"/>
            <w:shd w:val="clear" w:color="auto" w:fill="F4F7FB"/>
            <w:vAlign w:val="top"/>
          </w:tcPr>
          <w:p>
            <w:pPr>
              <w:pStyle w:val="TableText"/>
              <w:jc w:val="left"/>
            </w:pPr>
            <w:r>
              <w:t xml:space="preserve">Telesales closing</w:t>
            </w:r>
          </w:p>
        </w:tc>
        <w:tc>
          <w:tcPr>
            <w:tcW w:w="5581" w:type="dxa"/>
            <w:shd w:val="clear" w:color="auto" w:fill="F4F7FB"/>
            <w:vAlign w:val="top"/>
          </w:tcPr>
          <w:p>
            <w:pPr>
              <w:pStyle w:val="TableText"/>
              <w:jc w:val="left"/>
            </w:pPr>
            <w:r>
              <w:t xml:space="preserve">As a telesales agent, I want warm handoffs with a summary, so that I can close without cold calling.</w:t>
            </w:r>
          </w:p>
        </w:tc>
        <w:tc>
          <w:tcPr>
            <w:tcW w:w="1283" w:type="dxa"/>
            <w:shd w:val="clear" w:color="auto" w:fill="F4F7FB"/>
            <w:vAlign w:val="top"/>
          </w:tcPr>
          <w:p>
            <w:pPr>
              <w:pStyle w:val="TableText"/>
              <w:jc w:val="left"/>
            </w:pPr>
            <w:r>
              <w:t xml:space="preserve">Yes</w:t>
            </w:r>
          </w:p>
        </w:tc>
      </w:tr>
      <w:tr>
        <w:trPr>
          <w:cantSplit/>
        </w:trPr>
        <w:tc>
          <w:tcPr>
            <w:tcW w:w="2163" w:type="dxa"/>
            <w:vAlign w:val="top"/>
          </w:tcPr>
          <w:p>
            <w:pPr>
              <w:pStyle w:val="TableText"/>
              <w:jc w:val="left"/>
            </w:pPr>
            <w:r>
              <w:t xml:space="preserve">Customer app</w:t>
            </w:r>
          </w:p>
        </w:tc>
        <w:tc>
          <w:tcPr>
            <w:tcW w:w="5581" w:type="dxa"/>
            <w:vAlign w:val="top"/>
          </w:tcPr>
          <w:p>
            <w:pPr>
              <w:pStyle w:val="TableText"/>
              <w:jc w:val="left"/>
            </w:pPr>
            <w:r>
              <w:t xml:space="preserve">As a customer, I want to confirm and pay in the VETC app, so that I never give payment details on a call.</w:t>
            </w:r>
          </w:p>
        </w:tc>
        <w:tc>
          <w:tcPr>
            <w:tcW w:w="1283" w:type="dxa"/>
            <w:vAlign w:val="top"/>
          </w:tcPr>
          <w:p>
            <w:pPr>
              <w:pStyle w:val="TableText"/>
              <w:jc w:val="left"/>
            </w:pPr>
            <w:r>
              <w:t xml:space="preserve">Yes</w:t>
            </w:r>
          </w:p>
        </w:tc>
      </w:tr>
      <w:tr>
        <w:trPr>
          <w:cantSplit/>
        </w:trPr>
        <w:tc>
          <w:tcPr>
            <w:tcW w:w="2163" w:type="dxa"/>
            <w:shd w:val="clear" w:color="auto" w:fill="F4F7FB"/>
            <w:vAlign w:val="top"/>
          </w:tcPr>
          <w:p>
            <w:pPr>
              <w:pStyle w:val="TableText"/>
              <w:jc w:val="left"/>
            </w:pPr>
            <w:r>
              <w:t xml:space="preserve">Value beyond discount</w:t>
            </w:r>
          </w:p>
        </w:tc>
        <w:tc>
          <w:tcPr>
            <w:tcW w:w="5581" w:type="dxa"/>
            <w:shd w:val="clear" w:color="auto" w:fill="F4F7FB"/>
            <w:vAlign w:val="top"/>
          </w:tcPr>
          <w:p>
            <w:pPr>
              <w:pStyle w:val="TableText"/>
              <w:jc w:val="left"/>
            </w:pPr>
            <w:r>
              <w:t xml:space="preserve">As a customer, I want roadside assistance and an instant e-certificate, so that TASCO is worth choosing at the same price.</w:t>
            </w:r>
          </w:p>
        </w:tc>
        <w:tc>
          <w:tcPr>
            <w:tcW w:w="1283" w:type="dxa"/>
            <w:shd w:val="clear" w:color="auto" w:fill="F4F7FB"/>
            <w:vAlign w:val="top"/>
          </w:tcPr>
          <w:p>
            <w:pPr>
              <w:pStyle w:val="TableText"/>
              <w:jc w:val="left"/>
            </w:pPr>
            <w:r>
              <w:t xml:space="preserve">Yes</w:t>
            </w:r>
          </w:p>
        </w:tc>
      </w:tr>
      <w:tr>
        <w:trPr>
          <w:cantSplit/>
        </w:trPr>
        <w:tc>
          <w:tcPr>
            <w:tcW w:w="2163" w:type="dxa"/>
            <w:vAlign w:val="top"/>
          </w:tcPr>
          <w:p>
            <w:pPr>
              <w:pStyle w:val="TableText"/>
              <w:jc w:val="left"/>
            </w:pPr>
            <w:r>
              <w:t xml:space="preserve">Partner channel</w:t>
            </w:r>
          </w:p>
        </w:tc>
        <w:tc>
          <w:tcPr>
            <w:tcW w:w="5581" w:type="dxa"/>
            <w:vAlign w:val="top"/>
          </w:tcPr>
          <w:p>
            <w:pPr>
              <w:pStyle w:val="TableText"/>
              <w:jc w:val="left"/>
            </w:pPr>
            <w:r>
              <w:t xml:space="preserve">As a showroom salesperson, I want to quote by plate and issue in under a minute, so that insurance closes with the car sale.</w:t>
            </w:r>
          </w:p>
        </w:tc>
        <w:tc>
          <w:tcPr>
            <w:tcW w:w="1283" w:type="dxa"/>
            <w:vAlign w:val="top"/>
          </w:tcPr>
          <w:p>
            <w:pPr>
              <w:pStyle w:val="TableText"/>
              <w:jc w:val="left"/>
            </w:pPr>
            <w:r>
              <w:t xml:space="preserve">Yes, one partner</w:t>
            </w:r>
          </w:p>
        </w:tc>
      </w:tr>
      <w:tr>
        <w:trPr>
          <w:cantSplit/>
        </w:trPr>
        <w:tc>
          <w:tcPr>
            <w:tcW w:w="2163" w:type="dxa"/>
            <w:shd w:val="clear" w:color="auto" w:fill="F4F7FB"/>
            <w:vAlign w:val="top"/>
          </w:tcPr>
          <w:p>
            <w:pPr>
              <w:pStyle w:val="TableText"/>
              <w:jc w:val="left"/>
            </w:pPr>
            <w:r>
              <w:t xml:space="preserve">Fleet and B2B</w:t>
            </w:r>
          </w:p>
        </w:tc>
        <w:tc>
          <w:tcPr>
            <w:tcW w:w="5581" w:type="dxa"/>
            <w:shd w:val="clear" w:color="auto" w:fill="F4F7FB"/>
            <w:vAlign w:val="top"/>
          </w:tcPr>
          <w:p>
            <w:pPr>
              <w:pStyle w:val="TableText"/>
              <w:jc w:val="left"/>
            </w:pPr>
            <w:r>
              <w:t xml:space="preserve">As a fleet manager, I want one renewal date and one invoice for all my vehicles.</w:t>
            </w:r>
          </w:p>
        </w:tc>
        <w:tc>
          <w:tcPr>
            <w:tcW w:w="1283" w:type="dxa"/>
            <w:shd w:val="clear" w:color="auto" w:fill="F4F7FB"/>
            <w:vAlign w:val="top"/>
          </w:tcPr>
          <w:p>
            <w:pPr>
              <w:pStyle w:val="TableText"/>
              <w:jc w:val="left"/>
            </w:pPr>
            <w:r>
              <w:t xml:space="preserve">Routing only; portal later</w:t>
            </w:r>
          </w:p>
        </w:tc>
      </w:tr>
      <w:tr>
        <w:trPr>
          <w:cantSplit/>
        </w:trPr>
        <w:tc>
          <w:tcPr>
            <w:tcW w:w="2163" w:type="dxa"/>
            <w:vAlign w:val="top"/>
          </w:tcPr>
          <w:p>
            <w:pPr>
              <w:pStyle w:val="TableText"/>
              <w:jc w:val="left"/>
            </w:pPr>
            <w:r>
              <w:t xml:space="preserve">Claims first notice</w:t>
            </w:r>
          </w:p>
        </w:tc>
        <w:tc>
          <w:tcPr>
            <w:tcW w:w="5581" w:type="dxa"/>
            <w:vAlign w:val="top"/>
          </w:tcPr>
          <w:p>
            <w:pPr>
              <w:pStyle w:val="TableText"/>
              <w:jc w:val="left"/>
            </w:pPr>
            <w:r>
              <w:t xml:space="preserve">As a customer, I want to report an accident in the app with photos.</w:t>
            </w:r>
          </w:p>
        </w:tc>
        <w:tc>
          <w:tcPr>
            <w:tcW w:w="1283" w:type="dxa"/>
            <w:vAlign w:val="top"/>
          </w:tcPr>
          <w:p>
            <w:pPr>
              <w:pStyle w:val="TableText"/>
              <w:jc w:val="left"/>
            </w:pPr>
            <w:r>
              <w:t xml:space="preserve">Yes</w:t>
            </w:r>
          </w:p>
        </w:tc>
      </w:tr>
      <w:tr>
        <w:trPr>
          <w:cantSplit/>
        </w:trPr>
        <w:tc>
          <w:tcPr>
            <w:tcW w:w="2163" w:type="dxa"/>
            <w:shd w:val="clear" w:color="auto" w:fill="F4F7FB"/>
            <w:vAlign w:val="top"/>
          </w:tcPr>
          <w:p>
            <w:pPr>
              <w:pStyle w:val="TableText"/>
              <w:jc w:val="left"/>
            </w:pPr>
            <w:r>
              <w:t xml:space="preserve">Privacy and consent</w:t>
            </w:r>
          </w:p>
        </w:tc>
        <w:tc>
          <w:tcPr>
            <w:tcW w:w="5581" w:type="dxa"/>
            <w:shd w:val="clear" w:color="auto" w:fill="F4F7FB"/>
            <w:vAlign w:val="top"/>
          </w:tcPr>
          <w:p>
            <w:pPr>
              <w:pStyle w:val="TableText"/>
              <w:jc w:val="left"/>
            </w:pPr>
            <w:r>
              <w:t xml:space="preserve">As a customer, I want to see and change my consents and request my data.</w:t>
            </w:r>
          </w:p>
        </w:tc>
        <w:tc>
          <w:tcPr>
            <w:tcW w:w="1283" w:type="dxa"/>
            <w:shd w:val="clear" w:color="auto" w:fill="F4F7FB"/>
            <w:vAlign w:val="top"/>
          </w:tcPr>
          <w:p>
            <w:pPr>
              <w:pStyle w:val="TableText"/>
              <w:jc w:val="left"/>
            </w:pPr>
            <w:r>
              <w:t xml:space="preserve">Yes</w:t>
            </w:r>
          </w:p>
        </w:tc>
      </w:tr>
      <w:tr>
        <w:trPr>
          <w:cantSplit/>
        </w:trPr>
        <w:tc>
          <w:tcPr>
            <w:tcW w:w="2163" w:type="dxa"/>
            <w:vAlign w:val="top"/>
          </w:tcPr>
          <w:p>
            <w:pPr>
              <w:pStyle w:val="TableText"/>
              <w:jc w:val="left"/>
            </w:pPr>
            <w:r>
              <w:t xml:space="preserve">Rule governance</w:t>
            </w:r>
          </w:p>
        </w:tc>
        <w:tc>
          <w:tcPr>
            <w:tcW w:w="5581" w:type="dxa"/>
            <w:vAlign w:val="top"/>
          </w:tcPr>
          <w:p>
            <w:pPr>
              <w:pStyle w:val="TableText"/>
              <w:jc w:val="left"/>
            </w:pPr>
            <w:r>
              <w:t xml:space="preserve">As a product rule author, I want to change scoring or wording with simulation and approval, without a software release.</w:t>
            </w:r>
          </w:p>
        </w:tc>
        <w:tc>
          <w:tcPr>
            <w:tcW w:w="1283" w:type="dxa"/>
            <w:vAlign w:val="top"/>
          </w:tcPr>
          <w:p>
            <w:pPr>
              <w:pStyle w:val="TableText"/>
              <w:jc w:val="left"/>
            </w:pPr>
            <w:r>
              <w:t xml:space="preserve">Yes</w:t>
            </w:r>
          </w:p>
        </w:tc>
      </w:tr>
      <w:tr>
        <w:trPr>
          <w:cantSplit/>
        </w:trPr>
        <w:tc>
          <w:tcPr>
            <w:tcW w:w="2163" w:type="dxa"/>
            <w:shd w:val="clear" w:color="auto" w:fill="F4F7FB"/>
            <w:vAlign w:val="top"/>
          </w:tcPr>
          <w:p>
            <w:pPr>
              <w:pStyle w:val="TableText"/>
              <w:jc w:val="left"/>
            </w:pPr>
            <w:r>
              <w:t xml:space="preserve">Identity, access and audit</w:t>
            </w:r>
          </w:p>
        </w:tc>
        <w:tc>
          <w:tcPr>
            <w:tcW w:w="5581" w:type="dxa"/>
            <w:shd w:val="clear" w:color="auto" w:fill="F4F7FB"/>
            <w:vAlign w:val="top"/>
          </w:tcPr>
          <w:p>
            <w:pPr>
              <w:pStyle w:val="TableText"/>
              <w:jc w:val="left"/>
            </w:pPr>
            <w:r>
              <w:t xml:space="preserve">As an auditor, I want a tamper-evident record of every decision.</w:t>
            </w:r>
          </w:p>
        </w:tc>
        <w:tc>
          <w:tcPr>
            <w:tcW w:w="1283" w:type="dxa"/>
            <w:shd w:val="clear" w:color="auto" w:fill="F4F7FB"/>
            <w:vAlign w:val="top"/>
          </w:tcPr>
          <w:p>
            <w:pPr>
              <w:pStyle w:val="TableText"/>
              <w:jc w:val="left"/>
            </w:pPr>
            <w:r>
              <w:t xml:space="preserve">Yes</w:t>
            </w:r>
          </w:p>
        </w:tc>
      </w:tr>
      <w:tr>
        <w:trPr>
          <w:cantSplit/>
        </w:trPr>
        <w:tc>
          <w:tcPr>
            <w:tcW w:w="2163" w:type="dxa"/>
            <w:vAlign w:val="top"/>
          </w:tcPr>
          <w:p>
            <w:pPr>
              <w:pStyle w:val="TableText"/>
              <w:jc w:val="left"/>
            </w:pPr>
            <w:r>
              <w:t xml:space="preserve">Operations and insight</w:t>
            </w:r>
          </w:p>
        </w:tc>
        <w:tc>
          <w:tcPr>
            <w:tcW w:w="5581" w:type="dxa"/>
            <w:vAlign w:val="top"/>
          </w:tcPr>
          <w:p>
            <w:pPr>
              <w:pStyle w:val="TableText"/>
              <w:jc w:val="left"/>
            </w:pPr>
            <w:r>
              <w:t xml:space="preserve">As an executive, I want a growth dashboard by channel and segment.</w:t>
            </w:r>
          </w:p>
        </w:tc>
        <w:tc>
          <w:tcPr>
            <w:tcW w:w="1283" w:type="dxa"/>
            <w:vAlign w:val="top"/>
          </w:tcPr>
          <w:p>
            <w:pPr>
              <w:pStyle w:val="TableText"/>
              <w:jc w:val="left"/>
            </w:pPr>
            <w:r>
              <w:t xml:space="preserve">Yes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4" w:name="_Toc300000030"/>
      <w:r>
        <w:rPr>
          <w:rStyle w:val="BookTitle"/>
          <w:bCs w:val="0"/>
          <w:i w:val="0"/>
          <w:iCs w:val="0"/>
          <w:spacing w:val="0"/>
        </w:rPr>
        <w:t xml:space="preserve">The product in use</w:t>
      </w:r>
      <w:bookmarkEnd w:id="34"/>
    </w:p>
    <w:p>
      <w:pPr>
        <w:pStyle w:val="FirstParagraph"/>
      </w:pPr>
      <w:r>
        <w:t xml:space="preserve">The screens below are taken from the platform as it runs today in the UAT environment, with synthetic data.</w:t>
      </w:r>
    </w:p>
    <w:p>
      <w:pPr>
        <w:pStyle w:val="Heading2"/>
      </w:pPr>
      <w:bookmarkStart w:id="35" w:name="_Toc300000031"/>
      <w:r>
        <w:t xml:space="preserve">The driver’s experience</w:t>
      </w:r>
      <w:bookmarkEnd w:id="35"/>
    </w:p>
    <w:p>
      <w:pPr>
        <w:pStyle w:val="FirstParagraph"/>
      </w:pPr>
      <w:r>
        <w:t xml:space="preserve">The customer app opens inside the VETC app from a signed link in a notification or a Zalo message, so the driver never has to sign in again or type a card number. The same app can run inside TASCO’s own app and website and as a Zalo Mini App. It is written in Vietnamese and carries TASCO’s look, the same as baohiemtasco.vn.</w:t>
      </w:r>
    </w:p>
    <w:p xmlns:a="http://schemas.openxmlformats.org/drawingml/2006/main" xmlns:pic="http://schemas.openxmlformats.org/drawingml/2006/picture">
      <w:pPr>
        <w:pStyle w:val="Figure"/>
      </w:pPr>
      <w:r>
        <w:drawing>
          <wp:inline>
            <wp:extent cx="5399999" cy="3977999"/>
            <wp:effectExtent b="0" l="0" r="0" t="0"/>
            <wp:docPr descr="Renewal in the customer app" title="" id="5011" name="Picture"/>
            <a:graphic>
              <a:graphicData uri="http://schemas.openxmlformats.org/drawingml/2006/picture">
                <pic:pic>
                  <pic:nvPicPr>
                    <pic:cNvPr descr="/tmp/claude-0/-home-user-TASCO/19e5534d-12b5-5956-9b60-3e77efde0f49/scratchpad/proposal/tpl/shots/phones-1.png" id="77" name="Picture"/>
                    <pic:cNvPicPr>
                      <a:picLocks noChangeArrowheads="1" noChangeAspect="1"/>
                    </pic:cNvPicPr>
                  </pic:nvPicPr>
                  <pic:blipFill>
                    <a:blip r:embed="rIdG11"/>
                    <a:stretch>
                      <a:fillRect/>
                    </a:stretch>
                  </pic:blipFill>
                  <pic:spPr bwMode="auto">
                    <a:xfrm>
                      <a:off x="0" y="0"/>
                      <a:ext cx="5399999" cy="3977999"/>
                    </a:xfrm>
                    <a:prstGeom prst="rect">
                      <a:avLst/>
                    </a:prstGeom>
                    <a:noFill/>
                    <a:ln w="9525">
                      <a:noFill/>
                      <a:headEnd/>
                      <a:tailEnd/>
                    </a:ln>
                  </pic:spPr>
                </pic:pic>
              </a:graphicData>
            </a:graphic>
          </wp:inline>
        </w:drawing>
      </w:r>
    </w:p>
    <w:p>
      <w:pPr>
        <w:pStyle w:val="Caption"/>
      </w:pPr>
      <w:r>
        <w:t xml:space="preserve">Figure 10 – Renewal in the customer app</w:t>
      </w:r>
    </w:p>
    <w:p>
      <w:pPr>
        <w:pStyle w:val="BodyText"/>
      </w:pPr>
      <w:r>
        <w:rPr>
          <w:i/>
          <w:iCs/>
        </w:rPr>
        <w:t xml:space="preserve">Left to right: the home screen with a quote waiting and the renewal countdown; the quote card, which asks the same questions as e.baohiemtasco.vn (commercial use, vehicle type, seats) before showing the regulated premium; and the e-certificates issued the moment payment succeeds.</w:t>
      </w:r>
    </w:p>
    <w:p xmlns:a="http://schemas.openxmlformats.org/drawingml/2006/main" xmlns:pic="http://schemas.openxmlformats.org/drawingml/2006/picture">
      <w:pPr>
        <w:pStyle w:val="Figure"/>
      </w:pPr>
      <w:r>
        <w:drawing>
          <wp:inline>
            <wp:extent cx="5399999" cy="3668399"/>
            <wp:effectExtent b="0" l="0" r="0" t="0"/>
            <wp:docPr descr="Paying, getting help and verifying a certificate" title="" id="5012" name="Picture"/>
            <a:graphic>
              <a:graphicData uri="http://schemas.openxmlformats.org/drawingml/2006/picture">
                <pic:pic>
                  <pic:nvPicPr>
                    <pic:cNvPr descr="/tmp/claude-0/-home-user-TASCO/19e5534d-12b5-5956-9b60-3e77efde0f49/scratchpad/proposal/tpl/shots/phones-2.png" id="80" name="Picture"/>
                    <pic:cNvPicPr>
                      <a:picLocks noChangeArrowheads="1" noChangeAspect="1"/>
                    </pic:cNvPicPr>
                  </pic:nvPicPr>
                  <pic:blipFill>
                    <a:blip r:embed="rIdG12"/>
                    <a:stretch>
                      <a:fillRect/>
                    </a:stretch>
                  </pic:blipFill>
                  <pic:spPr bwMode="auto">
                    <a:xfrm>
                      <a:off x="0" y="0"/>
                      <a:ext cx="5399999" cy="3668399"/>
                    </a:xfrm>
                    <a:prstGeom prst="rect">
                      <a:avLst/>
                    </a:prstGeom>
                    <a:noFill/>
                    <a:ln w="9525">
                      <a:noFill/>
                      <a:headEnd/>
                      <a:tailEnd/>
                    </a:ln>
                  </pic:spPr>
                </pic:pic>
              </a:graphicData>
            </a:graphic>
          </wp:inline>
        </w:drawing>
      </w:r>
    </w:p>
    <w:p>
      <w:pPr>
        <w:pStyle w:val="Caption"/>
      </w:pPr>
      <w:r>
        <w:t xml:space="preserve">Figure 11 – Paying, getting help and verifying a certificate</w:t>
      </w:r>
    </w:p>
    <w:p>
      <w:pPr>
        <w:pStyle w:val="BodyText"/>
      </w:pPr>
      <w:r>
        <w:rPr>
          <w:i/>
          <w:iCs/>
        </w:rPr>
        <w:t xml:space="preserve">Left to right: payment through TASCO’s own gateway when the app runs on TASCO’s website; the support sheet with the 1900 1562 hotline, the Zalo Official Account, Messenger, the Facebook page, e-mail and website; and the public verification page a police officer or inspector reaches by scanning the QR code, with no personal data shown.</w:t>
      </w:r>
    </w:p>
    <w:p>
      <w:pPr>
        <w:pStyle w:val="Heading2"/>
      </w:pPr>
      <w:bookmarkStart w:id="36" w:name="_Toc300000032"/>
      <w:r>
        <w:t xml:space="preserve">Telesales: fewer calls, better calls</w:t>
      </w:r>
      <w:bookmarkEnd w:id="36"/>
    </w:p>
    <w:p xmlns:a="http://schemas.openxmlformats.org/drawingml/2006/main" xmlns:pic="http://schemas.openxmlformats.org/drawingml/2006/picture">
      <w:pPr>
        <w:pStyle w:val="Figure"/>
      </w:pPr>
      <w:r>
        <w:drawing>
          <wp:inline>
            <wp:extent cx="5727700" cy="3579812"/>
            <wp:effectExtent b="0" l="0" r="0" t="0"/>
            <wp:docPr descr="Lead queue ranked by score" title="" id="5013" name="Picture"/>
            <a:graphic>
              <a:graphicData uri="http://schemas.openxmlformats.org/drawingml/2006/picture">
                <pic:pic>
                  <pic:nvPicPr>
                    <pic:cNvPr descr="/tmp/claude-0/-home-user-TASCO/19e5534d-12b5-5956-9b60-3e77efde0f49/scratchpad/proposal/tpl/shots/console-campaign-leads.png" id="84" name="Picture"/>
                    <pic:cNvPicPr>
                      <a:picLocks noChangeArrowheads="1" noChangeAspect="1"/>
                    </pic:cNvPicPr>
                  </pic:nvPicPr>
                  <pic:blipFill>
                    <a:blip r:embed="rIdG13"/>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12 – Lead queue ranked by score</w:t>
      </w:r>
    </w:p>
    <w:p>
      <w:pPr>
        <w:pStyle w:val="BodyText"/>
      </w:pPr>
      <w:r>
        <w:rPr>
          <w:i/>
          <w:iCs/>
        </w:rPr>
        <w:t xml:space="preserve">The lead queue for a Hà Nội telesales agent. Every vehicle has a score, a tier, a journey, the days to expiry, the next best action and the main reason in plain language.</w:t>
      </w:r>
    </w:p>
    <w:p xmlns:a="http://schemas.openxmlformats.org/drawingml/2006/main" xmlns:pic="http://schemas.openxmlformats.org/drawingml/2006/picture">
      <w:pPr>
        <w:pStyle w:val="Figure"/>
      </w:pPr>
      <w:r>
        <w:drawing>
          <wp:inline>
            <wp:extent cx="5727700" cy="3579812"/>
            <wp:effectExtent b="0" l="0" r="0" t="0"/>
            <wp:docPr descr="Customer 360: why this customer and what to offer" title="" id="5014" name="Picture"/>
            <a:graphic>
              <a:graphicData uri="http://schemas.openxmlformats.org/drawingml/2006/picture">
                <pic:pic>
                  <pic:nvPicPr>
                    <pic:cNvPr descr="/tmp/claude-0/-home-user-TASCO/19e5534d-12b5-5956-9b60-3e77efde0f49/scratchpad/proposal/tpl/shots/console-supervisor-customer-overview.png" id="87" name="Picture"/>
                    <pic:cNvPicPr>
                      <a:picLocks noChangeArrowheads="1" noChangeAspect="1"/>
                    </pic:cNvPicPr>
                  </pic:nvPicPr>
                  <pic:blipFill>
                    <a:blip r:embed="rIdG14"/>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13 – Customer 360: why this customer and what to offer</w:t>
      </w:r>
    </w:p>
    <w:p>
      <w:pPr>
        <w:pStyle w:val="BodyText"/>
      </w:pPr>
      <w:r>
        <w:rPr>
          <w:i/>
          <w:iCs/>
        </w:rPr>
        <w:t xml:space="preserve">The customer 360 view explains why this driver is worth a call, factor by factor, and what to offer instead of a discount.</w:t>
      </w:r>
    </w:p>
    <w:p xmlns:a="http://schemas.openxmlformats.org/drawingml/2006/main" xmlns:pic="http://schemas.openxmlformats.org/drawingml/2006/picture">
      <w:pPr>
        <w:pStyle w:val="Figure"/>
      </w:pPr>
      <w:r>
        <w:drawing>
          <wp:inline>
            <wp:extent cx="5727700" cy="3579812"/>
            <wp:effectExtent b="0" l="0" r="0" t="0"/>
            <wp:docPr descr="Voice assistant call with transcript and outcome" title="" id="5015" name="Picture"/>
            <a:graphic>
              <a:graphicData uri="http://schemas.openxmlformats.org/drawingml/2006/picture">
                <pic:pic>
                  <pic:nvPicPr>
                    <pic:cNvPr descr="/tmp/claude-0/-home-user-TASCO/19e5534d-12b5-5956-9b60-3e77efde0f49/scratchpad/proposal/tpl/shots/console-campaign-voice-call.png" id="90" name="Picture"/>
                    <pic:cNvPicPr>
                      <a:picLocks noChangeArrowheads="1" noChangeAspect="1"/>
                    </pic:cNvPicPr>
                  </pic:nvPicPr>
                  <pic:blipFill>
                    <a:blip r:embed="rIdG15"/>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14 – Voice assistant call with transcript and outcome</w:t>
      </w:r>
    </w:p>
    <w:p>
      <w:pPr>
        <w:pStyle w:val="BodyText"/>
      </w:pPr>
      <w:r>
        <w:rPr>
          <w:i/>
          <w:iCs/>
        </w:rPr>
        <w:t xml:space="preserve">A voice assistant call. The assistant says it is automated, the driver states the plate, a price objection is answered with service value, and the interested driver is handed to telesales.</w:t>
      </w:r>
    </w:p>
    <w:p xmlns:a="http://schemas.openxmlformats.org/drawingml/2006/main" xmlns:pic="http://schemas.openxmlformats.org/drawingml/2006/picture">
      <w:pPr>
        <w:pStyle w:val="Figure"/>
      </w:pPr>
      <w:r>
        <w:drawing>
          <wp:inline>
            <wp:extent cx="5727700" cy="3579812"/>
            <wp:effectExtent b="0" l="0" r="0" t="0"/>
            <wp:docPr descr="Telesales inbox" title="" id="5016" name="Picture"/>
            <a:graphic>
              <a:graphicData uri="http://schemas.openxmlformats.org/drawingml/2006/picture">
                <pic:pic>
                  <pic:nvPicPr>
                    <pic:cNvPr descr="/tmp/claude-0/-home-user-TASCO/19e5534d-12b5-5956-9b60-3e77efde0f49/scratchpad/proposal/tpl/shots/console-supervisor-inbox.png" id="93" name="Picture"/>
                    <pic:cNvPicPr>
                      <a:picLocks noChangeArrowheads="1" noChangeAspect="1"/>
                    </pic:cNvPicPr>
                  </pic:nvPicPr>
                  <pic:blipFill>
                    <a:blip r:embed="rIdG16"/>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15 – Telesales inbox</w:t>
      </w:r>
    </w:p>
    <w:p>
      <w:pPr>
        <w:pStyle w:val="BodyText"/>
      </w:pPr>
      <w:r>
        <w:rPr>
          <w:i/>
          <w:iCs/>
        </w:rPr>
        <w:t xml:space="preserve">The telesales inbox: warm handoffs with plate verification status, masked phone number, expiry, premium and suggested talking points.</w:t>
      </w:r>
    </w:p>
    <w:p xmlns:a="http://schemas.openxmlformats.org/drawingml/2006/main" xmlns:pic="http://schemas.openxmlformats.org/drawingml/2006/picture">
      <w:pPr>
        <w:pStyle w:val="Figure"/>
      </w:pPr>
      <w:r>
        <w:drawing>
          <wp:inline>
            <wp:extent cx="5727700" cy="5559448"/>
            <wp:effectExtent b="0" l="0" r="0" t="0"/>
            <wp:docPr descr="Sending a quote to the customer’s app" title="" id="5017" name="Picture"/>
            <a:graphic>
              <a:graphicData uri="http://schemas.openxmlformats.org/drawingml/2006/picture">
                <pic:pic>
                  <pic:nvPicPr>
                    <pic:cNvPr descr="/tmp/claude-0/-home-user-TASCO/19e5534d-12b5-5956-9b60-3e77efde0f49/scratchpad/proposal/tpl/shots/console-supervisor-customer-quote.png" id="96" name="Picture"/>
                    <pic:cNvPicPr>
                      <a:picLocks noChangeArrowheads="1" noChangeAspect="1"/>
                    </pic:cNvPicPr>
                  </pic:nvPicPr>
                  <pic:blipFill>
                    <a:blip r:embed="rIdG17"/>
                    <a:stretch>
                      <a:fillRect/>
                    </a:stretch>
                  </pic:blipFill>
                  <pic:spPr bwMode="auto">
                    <a:xfrm>
                      <a:off x="0" y="0"/>
                      <a:ext cx="5727700" cy="5559448"/>
                    </a:xfrm>
                    <a:prstGeom prst="rect">
                      <a:avLst/>
                    </a:prstGeom>
                    <a:noFill/>
                    <a:ln w="9525">
                      <a:noFill/>
                      <a:headEnd/>
                      <a:tailEnd/>
                    </a:ln>
                  </pic:spPr>
                </pic:pic>
              </a:graphicData>
            </a:graphic>
          </wp:inline>
        </w:drawing>
      </w:r>
    </w:p>
    <w:p>
      <w:pPr>
        <w:pStyle w:val="Caption"/>
      </w:pPr>
      <w:r>
        <w:t xml:space="preserve">Figure 16 – Sending a quote to the customer’s app</w:t>
      </w:r>
    </w:p>
    <w:p>
      <w:pPr>
        <w:pStyle w:val="BodyText"/>
      </w:pPr>
      <w:r>
        <w:rPr>
          <w:i/>
          <w:iCs/>
        </w:rPr>
        <w:t xml:space="preserve">The Sell tab. The agent prepares a quote with benefits and sends it to the customer’s VETC app to confirm and pay. Payment is never taken on the phone.</w:t>
      </w:r>
    </w:p>
    <w:p>
      <w:pPr>
        <w:pStyle w:val="Heading2"/>
      </w:pPr>
      <w:bookmarkStart w:id="37" w:name="_Toc300000033"/>
      <w:r>
        <w:t xml:space="preserve">Management: growth at a glance</w:t>
      </w:r>
      <w:bookmarkEnd w:id="37"/>
    </w:p>
    <w:p xmlns:a="http://schemas.openxmlformats.org/drawingml/2006/main" xmlns:pic="http://schemas.openxmlformats.org/drawingml/2006/picture">
      <w:pPr>
        <w:pStyle w:val="Figure"/>
      </w:pPr>
      <w:r>
        <w:drawing>
          <wp:inline>
            <wp:extent cx="5727700" cy="4979519"/>
            <wp:effectExtent b="0" l="0" r="0" t="0"/>
            <wp:docPr descr="Executive dashboard" title="" id="5018" name="Picture"/>
            <a:graphic>
              <a:graphicData uri="http://schemas.openxmlformats.org/drawingml/2006/picture">
                <pic:pic>
                  <pic:nvPicPr>
                    <pic:cNvPr descr="/tmp/claude-0/-home-user-TASCO/19e5534d-12b5-5956-9b60-3e77efde0f49/scratchpad/proposal/tpl/shots/console-exec-dashboard.png" id="100" name="Picture"/>
                    <pic:cNvPicPr>
                      <a:picLocks noChangeArrowheads="1" noChangeAspect="1"/>
                    </pic:cNvPicPr>
                  </pic:nvPicPr>
                  <pic:blipFill>
                    <a:blip r:embed="rIdG18"/>
                    <a:stretch>
                      <a:fillRect/>
                    </a:stretch>
                  </pic:blipFill>
                  <pic:spPr bwMode="auto">
                    <a:xfrm>
                      <a:off x="0" y="0"/>
                      <a:ext cx="5727700" cy="4979519"/>
                    </a:xfrm>
                    <a:prstGeom prst="rect">
                      <a:avLst/>
                    </a:prstGeom>
                    <a:noFill/>
                    <a:ln w="9525">
                      <a:noFill/>
                      <a:headEnd/>
                      <a:tailEnd/>
                    </a:ln>
                  </pic:spPr>
                </pic:pic>
              </a:graphicData>
            </a:graphic>
          </wp:inline>
        </w:drawing>
      </w:r>
    </w:p>
    <w:p>
      <w:pPr>
        <w:pStyle w:val="Caption"/>
      </w:pPr>
      <w:r>
        <w:t xml:space="preserve">Figure 17 – Executive dashboard</w:t>
      </w:r>
    </w:p>
    <w:p>
      <w:pPr>
        <w:pStyle w:val="BodyText"/>
      </w:pPr>
      <w:r>
        <w:rPr>
          <w:i/>
          <w:iCs/>
        </w:rPr>
        <w:t xml:space="preserve">The executive dashboard: the size of the golden record, vehicles expiring in the next 30 days, uninsured vehicles, new-business leads, policies sold, vehicles with open data issues and the voice assistant’s saving compared with human calls.</w:t>
      </w:r>
    </w:p>
    <w:p xmlns:a="http://schemas.openxmlformats.org/drawingml/2006/main" xmlns:pic="http://schemas.openxmlformats.org/drawingml/2006/picture">
      <w:pPr>
        <w:pStyle w:val="Figure"/>
      </w:pPr>
      <w:r>
        <w:drawing>
          <wp:inline>
            <wp:extent cx="4114799" cy="6479999"/>
            <wp:effectExtent b="0" l="0" r="0" t="0"/>
            <wp:docPr descr="Journeys and their results" title="" id="5019" name="Picture"/>
            <a:graphic>
              <a:graphicData uri="http://schemas.openxmlformats.org/drawingml/2006/picture">
                <pic:pic>
                  <pic:nvPicPr>
                    <pic:cNvPr descr="/tmp/claude-0/-home-user-TASCO/19e5534d-12b5-5956-9b60-3e77efde0f49/scratchpad/proposal/tpl/shots/console-campaign-journeys.png" id="103" name="Picture"/>
                    <pic:cNvPicPr>
                      <a:picLocks noChangeArrowheads="1" noChangeAspect="1"/>
                    </pic:cNvPicPr>
                  </pic:nvPicPr>
                  <pic:blipFill>
                    <a:blip r:embed="rIdG19"/>
                    <a:stretch>
                      <a:fillRect/>
                    </a:stretch>
                  </pic:blipFill>
                  <pic:spPr bwMode="auto">
                    <a:xfrm>
                      <a:off x="0" y="0"/>
                      <a:ext cx="4114799" cy="6479999"/>
                    </a:xfrm>
                    <a:prstGeom prst="rect">
                      <a:avLst/>
                    </a:prstGeom>
                    <a:noFill/>
                    <a:ln w="9525">
                      <a:noFill/>
                      <a:headEnd/>
                      <a:tailEnd/>
                    </a:ln>
                  </pic:spPr>
                </pic:pic>
              </a:graphicData>
            </a:graphic>
          </wp:inline>
        </w:drawing>
      </w:r>
    </w:p>
    <w:p>
      <w:pPr>
        <w:pStyle w:val="Caption"/>
      </w:pPr>
      <w:r>
        <w:t xml:space="preserve">Figure 18 – Journeys and their results</w:t>
      </w:r>
    </w:p>
    <w:p>
      <w:pPr>
        <w:pStyle w:val="BodyText"/>
      </w:pPr>
      <w:r>
        <w:rPr>
          <w:i/>
          <w:iCs/>
        </w:rPr>
        <w:t xml:space="preserve">Journey orchestration for the campaign manager, with consent, contact-hour and frequency checks applied to every touchpoint.</w:t>
      </w:r>
    </w:p>
    <w:p>
      <w:pPr>
        <w:pStyle w:val="Heading2"/>
      </w:pPr>
      <w:bookmarkStart w:id="38" w:name="_Toc300000034"/>
      <w:r>
        <w:t xml:space="preserve">Governance: change safely, prove everything</w:t>
      </w:r>
      <w:bookmarkEnd w:id="38"/>
    </w:p>
    <w:p xmlns:a="http://schemas.openxmlformats.org/drawingml/2006/main" xmlns:pic="http://schemas.openxmlformats.org/drawingml/2006/picture">
      <w:pPr>
        <w:pStyle w:val="Figure"/>
      </w:pPr>
      <w:r>
        <w:drawing>
          <wp:inline>
            <wp:extent cx="5727700" cy="3579812"/>
            <wp:effectExtent b="0" l="0" r="0" t="0"/>
            <wp:docPr descr="Rules studio: simulating a change" title="" id="5020" name="Picture"/>
            <a:graphic>
              <a:graphicData uri="http://schemas.openxmlformats.org/drawingml/2006/picture">
                <pic:pic>
                  <pic:nvPicPr>
                    <pic:cNvPr descr="/tmp/claude-0/-home-user-TASCO/19e5534d-12b5-5956-9b60-3e77efde0f49/scratchpad/proposal/tpl/shots/console-author-scoring-simulation.png" id="107" name="Picture"/>
                    <pic:cNvPicPr>
                      <a:picLocks noChangeArrowheads="1" noChangeAspect="1"/>
                    </pic:cNvPicPr>
                  </pic:nvPicPr>
                  <pic:blipFill>
                    <a:blip r:embed="rIdG20"/>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19 – Rules studio: simulating a change</w:t>
      </w:r>
    </w:p>
    <w:p>
      <w:pPr>
        <w:pStyle w:val="BodyText"/>
      </w:pPr>
      <w:r>
        <w:rPr>
          <w:i/>
          <w:iCs/>
        </w:rPr>
        <w:t xml:space="preserve">The rules studio. A product owner drafts a change to scoring, compares it with the live version and simulates it on a real customer before submitting it.</w:t>
      </w:r>
    </w:p>
    <w:p xmlns:a="http://schemas.openxmlformats.org/drawingml/2006/main" xmlns:pic="http://schemas.openxmlformats.org/drawingml/2006/picture">
      <w:pPr>
        <w:pStyle w:val="Figure"/>
      </w:pPr>
      <w:r>
        <w:drawing>
          <wp:inline>
            <wp:extent cx="5727700" cy="3579812"/>
            <wp:effectExtent b="0" l="0" r="0" t="0"/>
            <wp:docPr descr="Approvals: reviewing a change before it goes live" title="" id="5021" name="Picture"/>
            <a:graphic>
              <a:graphicData uri="http://schemas.openxmlformats.org/drawingml/2006/picture">
                <pic:pic>
                  <pic:nvPicPr>
                    <pic:cNvPr descr="/tmp/claude-0/-home-user-TASCO/19e5534d-12b5-5956-9b60-3e77efde0f49/scratchpad/proposal/tpl/shots/console-approver-review.png" id="110" name="Picture"/>
                    <pic:cNvPicPr>
                      <a:picLocks noChangeArrowheads="1" noChangeAspect="1"/>
                    </pic:cNvPicPr>
                  </pic:nvPicPr>
                  <pic:blipFill>
                    <a:blip r:embed="rIdG21"/>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20 – Approvals: reviewing a change before it goes live</w:t>
      </w:r>
    </w:p>
    <w:p>
      <w:pPr>
        <w:pStyle w:val="BodyText"/>
      </w:pPr>
      <w:r>
        <w:rPr>
          <w:i/>
          <w:iCs/>
        </w:rPr>
        <w:t xml:space="preserve">Maker-checker approval. A compliance approver sees exactly what changes and approves or rejects it. The author cannot approve their own change.</w:t>
      </w:r>
    </w:p>
    <w:p xmlns:a="http://schemas.openxmlformats.org/drawingml/2006/main" xmlns:pic="http://schemas.openxmlformats.org/drawingml/2006/picture">
      <w:pPr>
        <w:pStyle w:val="Figure"/>
      </w:pPr>
      <w:r>
        <w:drawing>
          <wp:inline>
            <wp:extent cx="5727700" cy="3579812"/>
            <wp:effectExtent b="0" l="0" r="0" t="0"/>
            <wp:docPr descr="Audit trail in plain language" title="" id="5022" name="Picture"/>
            <a:graphic>
              <a:graphicData uri="http://schemas.openxmlformats.org/drawingml/2006/picture">
                <pic:pic>
                  <pic:nvPicPr>
                    <pic:cNvPr descr="/tmp/claude-0/-home-user-TASCO/19e5534d-12b5-5956-9b60-3e77efde0f49/scratchpad/proposal/tpl/shots/console-auditor-audit.png" id="113" name="Picture"/>
                    <pic:cNvPicPr>
                      <a:picLocks noChangeArrowheads="1" noChangeAspect="1"/>
                    </pic:cNvPicPr>
                  </pic:nvPicPr>
                  <pic:blipFill>
                    <a:blip r:embed="rIdG22"/>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21 – Audit trail in plain language</w:t>
      </w:r>
    </w:p>
    <w:p>
      <w:pPr>
        <w:pStyle w:val="BodyText"/>
      </w:pPr>
      <w:r>
        <w:rPr>
          <w:i/>
          <w:iCs/>
        </w:rPr>
        <w:t xml:space="preserve">The audit trail. Every material action is recorded in a hash chain that is verified continuously, together with the voice assistant’s compliance indicators.</w:t>
      </w:r>
    </w:p>
    <w:p>
      <w:pPr>
        <w:pStyle w:val="Heading2"/>
      </w:pPr>
      <w:bookmarkStart w:id="39" w:name="_Toc300000035"/>
      <w:r>
        <w:t xml:space="preserve">Data, claims, partners and operations</w:t>
      </w:r>
      <w:bookmarkEnd w:id="39"/>
    </w:p>
    <w:p xmlns:a="http://schemas.openxmlformats.org/drawingml/2006/main" xmlns:pic="http://schemas.openxmlformats.org/drawingml/2006/picture">
      <w:pPr>
        <w:pStyle w:val="Figure"/>
      </w:pPr>
      <w:r>
        <w:drawing>
          <wp:inline>
            <wp:extent cx="5727700" cy="4650176"/>
            <wp:effectExtent b="0" l="0" r="0" t="0"/>
            <wp:docPr descr="Customer 360: data sources and confidence" title="" id="5023" name="Picture"/>
            <a:graphic>
              <a:graphicData uri="http://schemas.openxmlformats.org/drawingml/2006/picture">
                <pic:pic>
                  <pic:nvPicPr>
                    <pic:cNvPr descr="/tmp/claude-0/-home-user-TASCO/19e5534d-12b5-5956-9b60-3e77efde0f49/scratchpad/proposal/tpl/shots/console-supervisor-customer-data.png" id="117" name="Picture"/>
                    <pic:cNvPicPr>
                      <a:picLocks noChangeArrowheads="1" noChangeAspect="1"/>
                    </pic:cNvPicPr>
                  </pic:nvPicPr>
                  <pic:blipFill>
                    <a:blip r:embed="rIdG23"/>
                    <a:stretch>
                      <a:fillRect/>
                    </a:stretch>
                  </pic:blipFill>
                  <pic:spPr bwMode="auto">
                    <a:xfrm>
                      <a:off x="0" y="0"/>
                      <a:ext cx="5727700" cy="4650176"/>
                    </a:xfrm>
                    <a:prstGeom prst="rect">
                      <a:avLst/>
                    </a:prstGeom>
                    <a:noFill/>
                    <a:ln w="9525">
                      <a:noFill/>
                      <a:headEnd/>
                      <a:tailEnd/>
                    </a:ln>
                  </pic:spPr>
                </pic:pic>
              </a:graphicData>
            </a:graphic>
          </wp:inline>
        </w:drawing>
      </w:r>
    </w:p>
    <w:p>
      <w:pPr>
        <w:pStyle w:val="Caption"/>
      </w:pPr>
      <w:r>
        <w:t xml:space="preserve">Figure 22 – Customer 360: data sources and confidence</w:t>
      </w:r>
    </w:p>
    <w:p>
      <w:pPr>
        <w:pStyle w:val="BodyText"/>
      </w:pPr>
      <w:r>
        <w:rPr>
          <w:i/>
          <w:iCs/>
        </w:rPr>
        <w:t xml:space="preserve">The golden record with field-level lineage: where each value came from, how confident the platform is, and the competing evidence for the expiry date.</w:t>
      </w:r>
    </w:p>
    <w:p xmlns:a="http://schemas.openxmlformats.org/drawingml/2006/main" xmlns:pic="http://schemas.openxmlformats.org/drawingml/2006/picture">
      <w:pPr>
        <w:pStyle w:val="Figure"/>
      </w:pPr>
      <w:r>
        <w:drawing>
          <wp:inline>
            <wp:extent cx="5727700" cy="3579812"/>
            <wp:effectExtent b="0" l="0" r="0" t="0"/>
            <wp:docPr descr="Data-quality work queue" title="" id="5024" name="Picture"/>
            <a:graphic>
              <a:graphicData uri="http://schemas.openxmlformats.org/drawingml/2006/picture">
                <pic:pic>
                  <pic:nvPicPr>
                    <pic:cNvPr descr="/tmp/claude-0/-home-user-TASCO/19e5534d-12b5-5956-9b60-3e77efde0f49/scratchpad/proposal/tpl/shots/console-steward-dq.png" id="120" name="Picture"/>
                    <pic:cNvPicPr>
                      <a:picLocks noChangeArrowheads="1" noChangeAspect="1"/>
                    </pic:cNvPicPr>
                  </pic:nvPicPr>
                  <pic:blipFill>
                    <a:blip r:embed="rIdG24"/>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23 – Data-quality work queue</w:t>
      </w:r>
    </w:p>
    <w:p>
      <w:pPr>
        <w:pStyle w:val="BodyText"/>
      </w:pPr>
      <w:r>
        <w:rPr>
          <w:i/>
          <w:iCs/>
        </w:rPr>
        <w:t xml:space="preserve">The data steward’s queue of records that need attention, by issue type and source batch.</w:t>
      </w:r>
    </w:p>
    <w:p xmlns:a="http://schemas.openxmlformats.org/drawingml/2006/main" xmlns:pic="http://schemas.openxmlformats.org/drawingml/2006/picture">
      <w:pPr>
        <w:pStyle w:val="Figure"/>
      </w:pPr>
      <w:r>
        <w:drawing>
          <wp:inline>
            <wp:extent cx="5727700" cy="3579812"/>
            <wp:effectExtent b="0" l="0" r="0" t="0"/>
            <wp:docPr descr="Claims queue" title="" id="5025" name="Picture"/>
            <a:graphic>
              <a:graphicData uri="http://schemas.openxmlformats.org/drawingml/2006/picture">
                <pic:pic>
                  <pic:nvPicPr>
                    <pic:cNvPr descr="/tmp/claude-0/-home-user-TASCO/19e5534d-12b5-5956-9b60-3e77efde0f49/scratchpad/proposal/tpl/shots/console-claims-claims.png" id="123" name="Picture"/>
                    <pic:cNvPicPr>
                      <a:picLocks noChangeArrowheads="1" noChangeAspect="1"/>
                    </pic:cNvPicPr>
                  </pic:nvPicPr>
                  <pic:blipFill>
                    <a:blip r:embed="rIdG25"/>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24 – Claims queue</w:t>
      </w:r>
    </w:p>
    <w:p>
      <w:pPr>
        <w:pStyle w:val="BodyText"/>
      </w:pPr>
      <w:r>
        <w:rPr>
          <w:i/>
          <w:iCs/>
        </w:rPr>
        <w:t xml:space="preserve">Accident reports from the app arrive in the claims queue with the plate, the policy, a description and the service-level due time.</w:t>
      </w:r>
    </w:p>
    <w:p xmlns:a="http://schemas.openxmlformats.org/drawingml/2006/main" xmlns:pic="http://schemas.openxmlformats.org/drawingml/2006/picture">
      <w:pPr>
        <w:pStyle w:val="Figure"/>
      </w:pPr>
      <w:r>
        <w:drawing>
          <wp:inline>
            <wp:extent cx="5727700" cy="3579812"/>
            <wp:effectExtent b="0" l="0" r="0" t="0"/>
            <wp:docPr descr="Partner commission statement" title="" id="5026" name="Picture"/>
            <a:graphic>
              <a:graphicData uri="http://schemas.openxmlformats.org/drawingml/2006/picture">
                <pic:pic>
                  <pic:nvPicPr>
                    <pic:cNvPr descr="/tmp/claude-0/-home-user-TASCO/19e5534d-12b5-5956-9b60-3e77efde0f49/scratchpad/proposal/tpl/shots/console-partners-statement.png" id="126" name="Picture"/>
                    <pic:cNvPicPr>
                      <a:picLocks noChangeArrowheads="1" noChangeAspect="1"/>
                    </pic:cNvPicPr>
                  </pic:nvPicPr>
                  <pic:blipFill>
                    <a:blip r:embed="rIdG26"/>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25 – Partner commission statement</w:t>
      </w:r>
    </w:p>
    <w:p>
      <w:pPr>
        <w:pStyle w:val="BodyText"/>
      </w:pPr>
      <w:r>
        <w:rPr>
          <w:i/>
          <w:iCs/>
        </w:rPr>
        <w:t xml:space="preserve">A partner commission statement, grouped by order, with commission capped by rule.</w:t>
      </w:r>
    </w:p>
    <w:p xmlns:a="http://schemas.openxmlformats.org/drawingml/2006/main" xmlns:pic="http://schemas.openxmlformats.org/drawingml/2006/picture">
      <w:pPr>
        <w:pStyle w:val="Figure"/>
      </w:pPr>
      <w:r>
        <w:drawing>
          <wp:inline>
            <wp:extent cx="5727700" cy="3579812"/>
            <wp:effectExtent b="0" l="0" r="0" t="0"/>
            <wp:docPr descr="Operations and integration health" title="" id="5027" name="Picture"/>
            <a:graphic>
              <a:graphicData uri="http://schemas.openxmlformats.org/drawingml/2006/picture">
                <pic:pic>
                  <pic:nvPicPr>
                    <pic:cNvPr descr="/tmp/claude-0/-home-user-TASCO/19e5534d-12b5-5956-9b60-3e77efde0f49/scratchpad/proposal/tpl/shots/console-support-ops.png" id="129" name="Picture"/>
                    <pic:cNvPicPr>
                      <a:picLocks noChangeArrowheads="1" noChangeAspect="1"/>
                    </pic:cNvPicPr>
                  </pic:nvPicPr>
                  <pic:blipFill>
                    <a:blip r:embed="rIdG27"/>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26 – Operations and integration health</w:t>
      </w:r>
    </w:p>
    <w:p>
      <w:pPr>
        <w:pStyle w:val="BodyText"/>
      </w:pPr>
      <w:r>
        <w:rPr>
          <w:i/>
          <w:iCs/>
        </w:rPr>
        <w:t xml:space="preserve">The operations view: the state of each integration (TASCO core, VETC wallet, voice, push, Zalo ZNS and SMS), the event backlog, the active rule checksums and the job runners.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0" w:name="_Toc300000036"/>
      <w:r>
        <w:rPr>
          <w:rStyle w:val="BookTitle"/>
          <w:bCs w:val="0"/>
          <w:i w:val="0"/>
          <w:iCs w:val="0"/>
          <w:spacing w:val="0"/>
        </w:rPr>
        <w:t xml:space="preserve">Architecture</w:t>
      </w:r>
      <w:bookmarkEnd w:id="40"/>
    </w:p>
    <w:p>
      <w:pPr>
        <w:pStyle w:val="Heading2"/>
      </w:pPr>
      <w:bookmarkStart w:id="41" w:name="_Toc300000037"/>
      <w:r>
        <w:t xml:space="preserve">Principles</w:t>
      </w:r>
      <w:bookmarkEnd w:id="41"/>
    </w:p>
    <w:p>
      <w:pPr>
        <w:pStyle w:val="FirstParagraph"/>
      </w:pPr>
      <w:r>
        <w:t xml:space="preserve">We have followed a small number of principles throughout, and we will hold to them during delivery.</w:t>
      </w:r>
    </w:p>
    <w:p>
      <w:pPr>
        <w:pStyle w:val="Compact"/>
        <w:numPr>
          <w:ilvl w:val="0"/>
          <w:numId w:val="1001"/>
        </w:numPr>
      </w:pPr>
      <w:r>
        <w:rPr>
          <w:b/>
          <w:bCs/>
        </w:rPr>
        <w:t xml:space="preserve">TASCO’s core system remains the system of record</w:t>
      </w:r>
      <w:r>
        <w:t xml:space="preserve"> </w:t>
      </w:r>
      <w:r>
        <w:t xml:space="preserve">for products, rating and policies. The platform never sets a premium on its own authority.</w:t>
      </w:r>
    </w:p>
    <w:p>
      <w:pPr>
        <w:pStyle w:val="Compact"/>
        <w:numPr>
          <w:ilvl w:val="0"/>
          <w:numId w:val="1001"/>
        </w:numPr>
      </w:pPr>
      <w:r>
        <w:rPr>
          <w:b/>
          <w:bCs/>
        </w:rPr>
        <w:t xml:space="preserve">Business rules are configuration.</w:t>
      </w:r>
      <w:r>
        <w:t xml:space="preserve"> </w:t>
      </w:r>
      <w:r>
        <w:t xml:space="preserve">Anything the business may want to change is a versioned rule set, changed through the rules studio with approval, not through a software release.</w:t>
      </w:r>
    </w:p>
    <w:p>
      <w:pPr>
        <w:pStyle w:val="Compact"/>
        <w:numPr>
          <w:ilvl w:val="0"/>
          <w:numId w:val="1001"/>
        </w:numPr>
      </w:pPr>
      <w:r>
        <w:rPr>
          <w:b/>
          <w:bCs/>
        </w:rPr>
        <w:t xml:space="preserve">Integrations sit behind ports.</w:t>
      </w:r>
      <w:r>
        <w:t xml:space="preserve"> </w:t>
      </w:r>
      <w:r>
        <w:t xml:space="preserve">Each external system is reached through a defined interface with its own adapter. Replacing a voice vendor or an SMS provider means writing one adapter, not reworking the platform.</w:t>
      </w:r>
    </w:p>
    <w:p>
      <w:pPr>
        <w:pStyle w:val="Compact"/>
        <w:numPr>
          <w:ilvl w:val="0"/>
          <w:numId w:val="1001"/>
        </w:numPr>
      </w:pPr>
      <w:r>
        <w:rPr>
          <w:b/>
          <w:bCs/>
        </w:rPr>
        <w:t xml:space="preserve">Every decision is explainable and audited.</w:t>
      </w:r>
      <w:r>
        <w:t xml:space="preserve"> </w:t>
      </w:r>
      <w:r>
        <w:t xml:space="preserve">Scores carry reasons, journeys record why a message was or was not sent, and the audit trail is tamper-evident.</w:t>
      </w:r>
    </w:p>
    <w:p>
      <w:pPr>
        <w:pStyle w:val="Compact"/>
        <w:numPr>
          <w:ilvl w:val="0"/>
          <w:numId w:val="1001"/>
        </w:numPr>
      </w:pPr>
      <w:r>
        <w:rPr>
          <w:b/>
          <w:bCs/>
        </w:rPr>
        <w:t xml:space="preserve">Reuse before build.</w:t>
      </w:r>
      <w:r>
        <w:t xml:space="preserve"> </w:t>
      </w:r>
      <w:r>
        <w:t xml:space="preserve">Customers do not need another app. The same customer journeys and services run inside the apps and channels TASCO and VETC already operate, and the platform builds only the layer that is missing between them.</w:t>
      </w:r>
    </w:p>
    <w:p>
      <w:pPr>
        <w:pStyle w:val="Compact"/>
        <w:numPr>
          <w:ilvl w:val="0"/>
          <w:numId w:val="1001"/>
        </w:numPr>
      </w:pPr>
      <w:r>
        <w:rPr>
          <w:b/>
          <w:bCs/>
        </w:rPr>
        <w:t xml:space="preserve">Security and privacy by design.</w:t>
      </w:r>
      <w:r>
        <w:t xml:space="preserve"> </w:t>
      </w:r>
      <w:r>
        <w:t xml:space="preserve">Least privilege, encryption, consent and data minimisation are built in, not added at the end.</w:t>
      </w:r>
    </w:p>
    <w:p>
      <w:pPr>
        <w:pStyle w:val="Heading2"/>
      </w:pPr>
      <w:bookmarkStart w:id="42" w:name="_Toc300000038"/>
      <w:r>
        <w:t xml:space="preserve">Functional architecture</w:t>
      </w:r>
      <w:bookmarkEnd w:id="42"/>
    </w:p>
    <w:p xmlns:a="http://schemas.openxmlformats.org/drawingml/2006/main" xmlns:pic="http://schemas.openxmlformats.org/drawingml/2006/picture">
      <w:pPr>
        <w:pStyle w:val="Figure"/>
      </w:pPr>
      <w:r>
        <w:drawing>
          <wp:inline>
            <wp:extent cx="5727700" cy="5536776"/>
            <wp:effectExtent b="0" l="0" r="0" t="0"/>
            <wp:docPr descr="Functional architecture, in which business services use the foundation and reach TASCO, VETC and the channels through the integration adapters" title="" id="5028" name="Picture"/>
            <a:graphic>
              <a:graphicData uri="http://schemas.openxmlformats.org/drawingml/2006/picture">
                <pic:pic>
                  <pic:nvPicPr>
                    <pic:cNvPr descr="/tmp/claude-0/-home-user-TASCO/19e5534d-12b5-5956-9b60-3e77efde0f49/scratchpad/gen/.cache/mermaid/49d4501ee2f5599f.png" id="135" name="Picture"/>
                    <pic:cNvPicPr>
                      <a:picLocks noChangeArrowheads="1" noChangeAspect="1"/>
                    </pic:cNvPicPr>
                  </pic:nvPicPr>
                  <pic:blipFill>
                    <a:blip r:embed="rIdG28"/>
                    <a:stretch>
                      <a:fillRect/>
                    </a:stretch>
                  </pic:blipFill>
                  <pic:spPr bwMode="auto">
                    <a:xfrm>
                      <a:off x="0" y="0"/>
                      <a:ext cx="5727700" cy="5536776"/>
                    </a:xfrm>
                    <a:prstGeom prst="rect">
                      <a:avLst/>
                    </a:prstGeom>
                    <a:noFill/>
                    <a:ln w="9525">
                      <a:noFill/>
                      <a:headEnd/>
                      <a:tailEnd/>
                    </a:ln>
                  </pic:spPr>
                </pic:pic>
              </a:graphicData>
            </a:graphic>
          </wp:inline>
        </w:drawing>
      </w:r>
    </w:p>
    <w:p>
      <w:pPr>
        <w:pStyle w:val="Caption"/>
      </w:pPr>
      <w:r>
        <w:t xml:space="preserve">Figure 27 – Functional architecture, in which business services use the foundation and reach TASCO, VETC and the channels through the integration adapters</w:t>
      </w:r>
    </w:p>
    <w:p>
      <w:pPr>
        <w:pStyle w:val="Heading2"/>
      </w:pPr>
      <w:bookmarkStart w:id="43" w:name="_Toc300000039"/>
      <w:r>
        <w:t xml:space="preserve">Technical architecture</w:t>
      </w:r>
      <w:bookmarkEnd w:id="43"/>
    </w:p>
    <w:p>
      <w:pPr>
        <w:pStyle w:val="FirstParagraph"/>
      </w:pPr>
      <w:r>
        <w:t xml:space="preserve">The platform follows a hexagonal (ports and adapters) design. Business logic sits at the centre and has no knowledge of databases, HTTP or vendors. Use cases coordinate that logic. Adapters connect it to the outside world. The result is software that a different team can understand, test and extend for many years.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56"/>
        <w:gridCol w:w="3854"/>
        <w:gridCol w:w="3517"/>
      </w:tblGrid>
      <w:tr>
        <w:trPr>
          <w:cantSplit/>
          <w:tblHeader/>
        </w:trPr>
        <w:tc>
          <w:tcPr>
            <w:tcW w:w="1656" w:type="dxa"/>
            <w:shd w:val="clear" w:color="auto" w:fill="0F4761"/>
            <w:vAlign w:val="center"/>
          </w:tcPr>
          <w:p>
            <w:pPr>
              <w:pStyle w:val="TableHeading"/>
              <w:jc w:val="left"/>
            </w:pPr>
            <w:r>
              <w:rPr>
                <w:color w:val="FFFFFF"/>
              </w:rPr>
              <w:t xml:space="preserve">Layer</w:t>
            </w:r>
          </w:p>
        </w:tc>
        <w:tc>
          <w:tcPr>
            <w:tcW w:w="3854" w:type="dxa"/>
            <w:shd w:val="clear" w:color="auto" w:fill="0F4761"/>
            <w:vAlign w:val="center"/>
          </w:tcPr>
          <w:p>
            <w:pPr>
              <w:pStyle w:val="TableHeading"/>
              <w:jc w:val="left"/>
            </w:pPr>
            <w:r>
              <w:rPr>
                <w:color w:val="FFFFFF"/>
              </w:rPr>
              <w:t xml:space="preserve">What it contains</w:t>
            </w:r>
          </w:p>
        </w:tc>
        <w:tc>
          <w:tcPr>
            <w:tcW w:w="3517" w:type="dxa"/>
            <w:shd w:val="clear" w:color="auto" w:fill="0F4761"/>
            <w:vAlign w:val="center"/>
          </w:tcPr>
          <w:p>
            <w:pPr>
              <w:pStyle w:val="TableHeading"/>
              <w:jc w:val="left"/>
            </w:pPr>
            <w:r>
              <w:rPr>
                <w:color w:val="FFFFFF"/>
              </w:rPr>
              <w:t xml:space="preserve">Technology</w:t>
            </w:r>
          </w:p>
        </w:tc>
      </w:tr>
      <w:tr>
        <w:trPr>
          <w:cantSplit/>
        </w:trPr>
        <w:tc>
          <w:tcPr>
            <w:tcW w:w="1656" w:type="dxa"/>
            <w:vAlign w:val="top"/>
          </w:tcPr>
          <w:p>
            <w:pPr>
              <w:pStyle w:val="TableText"/>
              <w:jc w:val="left"/>
            </w:pPr>
            <w:r>
              <w:t xml:space="preserve">Presentation</w:t>
            </w:r>
          </w:p>
        </w:tc>
        <w:tc>
          <w:tcPr>
            <w:tcW w:w="3854" w:type="dxa"/>
            <w:vAlign w:val="top"/>
          </w:tcPr>
          <w:p>
            <w:pPr>
              <w:pStyle w:val="TableText"/>
              <w:jc w:val="left"/>
            </w:pPr>
            <w:r>
              <w:t xml:space="preserve">Staff console, customer app, certificate verification page</w:t>
            </w:r>
          </w:p>
        </w:tc>
        <w:tc>
          <w:tcPr>
            <w:tcW w:w="3517" w:type="dxa"/>
            <w:vAlign w:val="top"/>
          </w:tcPr>
          <w:p>
            <w:pPr>
              <w:pStyle w:val="TableText"/>
              <w:jc w:val="left"/>
            </w:pPr>
            <w:r>
              <w:t xml:space="preserve">HTML5 and JavaScript with no third-party runtime, strict content security policy, WCAG 2.2 AA design system; console in Vietnamese and English, customer app in Vietnamese</w:t>
            </w:r>
          </w:p>
        </w:tc>
      </w:tr>
      <w:tr>
        <w:trPr>
          <w:cantSplit/>
        </w:trPr>
        <w:tc>
          <w:tcPr>
            <w:tcW w:w="1656" w:type="dxa"/>
            <w:shd w:val="clear" w:color="auto" w:fill="F4F7FB"/>
            <w:vAlign w:val="top"/>
          </w:tcPr>
          <w:p>
            <w:pPr>
              <w:pStyle w:val="TableText"/>
              <w:jc w:val="left"/>
            </w:pPr>
            <w:r>
              <w:t xml:space="preserve">API</w:t>
            </w:r>
          </w:p>
        </w:tc>
        <w:tc>
          <w:tcPr>
            <w:tcW w:w="3854" w:type="dxa"/>
            <w:shd w:val="clear" w:color="auto" w:fill="F4F7FB"/>
            <w:vAlign w:val="top"/>
          </w:tcPr>
          <w:p>
            <w:pPr>
              <w:pStyle w:val="TableText"/>
              <w:jc w:val="left"/>
            </w:pPr>
            <w:r>
              <w:t xml:space="preserve">80 REST endpoints described in OpenAPI 3; rate limiting, idempotency keys, input validation</w:t>
            </w:r>
          </w:p>
        </w:tc>
        <w:tc>
          <w:tcPr>
            <w:tcW w:w="3517" w:type="dxa"/>
            <w:shd w:val="clear" w:color="auto" w:fill="F4F7FB"/>
            <w:vAlign w:val="top"/>
          </w:tcPr>
          <w:p>
            <w:pPr>
              <w:pStyle w:val="TableText"/>
              <w:jc w:val="left"/>
            </w:pPr>
            <w:r>
              <w:t xml:space="preserve">Node.js 22</w:t>
            </w:r>
          </w:p>
        </w:tc>
      </w:tr>
      <w:tr>
        <w:trPr>
          <w:cantSplit/>
        </w:trPr>
        <w:tc>
          <w:tcPr>
            <w:tcW w:w="1656" w:type="dxa"/>
            <w:vAlign w:val="top"/>
          </w:tcPr>
          <w:p>
            <w:pPr>
              <w:pStyle w:val="TableText"/>
              <w:jc w:val="left"/>
            </w:pPr>
            <w:r>
              <w:t xml:space="preserve">Application</w:t>
            </w:r>
          </w:p>
        </w:tc>
        <w:tc>
          <w:tcPr>
            <w:tcW w:w="3854" w:type="dxa"/>
            <w:vAlign w:val="top"/>
          </w:tcPr>
          <w:p>
            <w:pPr>
              <w:pStyle w:val="TableText"/>
              <w:jc w:val="left"/>
            </w:pPr>
            <w:r>
              <w:t xml:space="preserve">Use cases: ingestion, journeys, voice, sales, partners, claims, privacy, rules, audit</w:t>
            </w:r>
          </w:p>
        </w:tc>
        <w:tc>
          <w:tcPr>
            <w:tcW w:w="3517" w:type="dxa"/>
            <w:vAlign w:val="top"/>
          </w:tcPr>
          <w:p>
            <w:pPr>
              <w:pStyle w:val="TableText"/>
              <w:jc w:val="left"/>
            </w:pPr>
            <w:r>
              <w:t xml:space="preserve">Node.js 22</w:t>
            </w:r>
          </w:p>
        </w:tc>
      </w:tr>
      <w:tr>
        <w:trPr>
          <w:cantSplit/>
        </w:trPr>
        <w:tc>
          <w:tcPr>
            <w:tcW w:w="1656" w:type="dxa"/>
            <w:shd w:val="clear" w:color="auto" w:fill="F4F7FB"/>
            <w:vAlign w:val="top"/>
          </w:tcPr>
          <w:p>
            <w:pPr>
              <w:pStyle w:val="TableText"/>
              <w:jc w:val="left"/>
            </w:pPr>
            <w:r>
              <w:t xml:space="preserve">Domain</w:t>
            </w:r>
          </w:p>
        </w:tc>
        <w:tc>
          <w:tcPr>
            <w:tcW w:w="3854" w:type="dxa"/>
            <w:shd w:val="clear" w:color="auto" w:fill="F4F7FB"/>
            <w:vAlign w:val="top"/>
          </w:tcPr>
          <w:p>
            <w:pPr>
              <w:pStyle w:val="TableText"/>
              <w:jc w:val="left"/>
            </w:pPr>
            <w:r>
              <w:t xml:space="preserve">Pure business logic: plate and phone normalisation, enrichment, scoring, rating fallback, contact policy, dialogue</w:t>
            </w:r>
          </w:p>
        </w:tc>
        <w:tc>
          <w:tcPr>
            <w:tcW w:w="3517" w:type="dxa"/>
            <w:shd w:val="clear" w:color="auto" w:fill="F4F7FB"/>
            <w:vAlign w:val="top"/>
          </w:tcPr>
          <w:p>
            <w:pPr>
              <w:pStyle w:val="TableText"/>
              <w:jc w:val="left"/>
            </w:pPr>
            <w:r>
              <w:t xml:space="preserve">Node.js 22, no dependencies</w:t>
            </w:r>
          </w:p>
        </w:tc>
      </w:tr>
      <w:tr>
        <w:trPr>
          <w:cantSplit/>
        </w:trPr>
        <w:tc>
          <w:tcPr>
            <w:tcW w:w="1656" w:type="dxa"/>
            <w:vAlign w:val="top"/>
          </w:tcPr>
          <w:p>
            <w:pPr>
              <w:pStyle w:val="TableText"/>
              <w:jc w:val="left"/>
            </w:pPr>
            <w:r>
              <w:t xml:space="preserve">Rules</w:t>
            </w:r>
          </w:p>
        </w:tc>
        <w:tc>
          <w:tcPr>
            <w:tcW w:w="3854" w:type="dxa"/>
            <w:vAlign w:val="top"/>
          </w:tcPr>
          <w:p>
            <w:pPr>
              <w:pStyle w:val="TableText"/>
              <w:jc w:val="left"/>
            </w:pPr>
            <w:r>
              <w:t xml:space="preserve">JSON Logic and decision tables, versioned, simulated and approved before publication</w:t>
            </w:r>
          </w:p>
        </w:tc>
        <w:tc>
          <w:tcPr>
            <w:tcW w:w="3517" w:type="dxa"/>
            <w:vAlign w:val="top"/>
          </w:tcPr>
          <w:p>
            <w:pPr>
              <w:pStyle w:val="TableText"/>
              <w:jc w:val="left"/>
            </w:pPr>
            <w:r>
              <w:t xml:space="preserve">Built in, no code evaluation</w:t>
            </w:r>
          </w:p>
        </w:tc>
      </w:tr>
      <w:tr>
        <w:trPr>
          <w:cantSplit/>
        </w:trPr>
        <w:tc>
          <w:tcPr>
            <w:tcW w:w="1656" w:type="dxa"/>
            <w:shd w:val="clear" w:color="auto" w:fill="F4F7FB"/>
            <w:vAlign w:val="top"/>
          </w:tcPr>
          <w:p>
            <w:pPr>
              <w:pStyle w:val="TableText"/>
              <w:jc w:val="left"/>
            </w:pPr>
            <w:r>
              <w:t xml:space="preserve">Persistence</w:t>
            </w:r>
          </w:p>
        </w:tc>
        <w:tc>
          <w:tcPr>
            <w:tcW w:w="3854" w:type="dxa"/>
            <w:shd w:val="clear" w:color="auto" w:fill="F4F7FB"/>
            <w:vAlign w:val="top"/>
          </w:tcPr>
          <w:p>
            <w:pPr>
              <w:pStyle w:val="TableText"/>
              <w:jc w:val="left"/>
            </w:pPr>
            <w:r>
              <w:t xml:space="preserve">Relational store with indexed columns, optimistic locking, AES-256-GCM field encryption, blind indexes for search</w:t>
            </w:r>
          </w:p>
        </w:tc>
        <w:tc>
          <w:tcPr>
            <w:tcW w:w="3517" w:type="dxa"/>
            <w:shd w:val="clear" w:color="auto" w:fill="F4F7FB"/>
            <w:vAlign w:val="top"/>
          </w:tcPr>
          <w:p>
            <w:pPr>
              <w:pStyle w:val="TableText"/>
              <w:jc w:val="left"/>
            </w:pPr>
            <w:r>
              <w:t xml:space="preserve">PostgreSQL 16</w:t>
            </w:r>
          </w:p>
        </w:tc>
      </w:tr>
      <w:tr>
        <w:trPr>
          <w:cantSplit/>
        </w:trPr>
        <w:tc>
          <w:tcPr>
            <w:tcW w:w="1656" w:type="dxa"/>
            <w:vAlign w:val="top"/>
          </w:tcPr>
          <w:p>
            <w:pPr>
              <w:pStyle w:val="TableText"/>
              <w:jc w:val="left"/>
            </w:pPr>
            <w:r>
              <w:t xml:space="preserve">Messaging</w:t>
            </w:r>
          </w:p>
        </w:tc>
        <w:tc>
          <w:tcPr>
            <w:tcW w:w="3854" w:type="dxa"/>
            <w:vAlign w:val="top"/>
          </w:tcPr>
          <w:p>
            <w:pPr>
              <w:pStyle w:val="TableText"/>
              <w:jc w:val="left"/>
            </w:pPr>
            <w:r>
              <w:t xml:space="preserve">Transactional outbox and relay, so events are never lost or sent twice</w:t>
            </w:r>
          </w:p>
        </w:tc>
        <w:tc>
          <w:tcPr>
            <w:tcW w:w="3517" w:type="dxa"/>
            <w:vAlign w:val="top"/>
          </w:tcPr>
          <w:p>
            <w:pPr>
              <w:pStyle w:val="TableText"/>
              <w:jc w:val="left"/>
            </w:pPr>
            <w:r>
              <w:t xml:space="preserve">PostgreSQL with</w:t>
            </w:r>
            <w:r>
              <w:t xml:space="preserve"> </w:t>
            </w:r>
            <w:r>
              <w:rPr>
                <w:rStyle w:val="CodeChar"/>
              </w:rPr>
              <w:t xml:space="preserve">SKIP LOCKED</w:t>
            </w:r>
          </w:p>
        </w:tc>
      </w:tr>
      <w:tr>
        <w:trPr>
          <w:cantSplit/>
        </w:trPr>
        <w:tc>
          <w:tcPr>
            <w:tcW w:w="1656" w:type="dxa"/>
            <w:shd w:val="clear" w:color="auto" w:fill="F4F7FB"/>
            <w:vAlign w:val="top"/>
          </w:tcPr>
          <w:p>
            <w:pPr>
              <w:pStyle w:val="TableText"/>
              <w:jc w:val="left"/>
            </w:pPr>
            <w:r>
              <w:t xml:space="preserve">Integration</w:t>
            </w:r>
          </w:p>
        </w:tc>
        <w:tc>
          <w:tcPr>
            <w:tcW w:w="3854" w:type="dxa"/>
            <w:shd w:val="clear" w:color="auto" w:fill="F4F7FB"/>
            <w:vAlign w:val="top"/>
          </w:tcPr>
          <w:p>
            <w:pPr>
              <w:pStyle w:val="TableText"/>
              <w:jc w:val="left"/>
            </w:pPr>
            <w:r>
              <w:t xml:space="preserve">Adapters with timeouts, retries, circuit breakers and idempotency</w:t>
            </w:r>
          </w:p>
        </w:tc>
        <w:tc>
          <w:tcPr>
            <w:tcW w:w="3517" w:type="dxa"/>
            <w:shd w:val="clear" w:color="auto" w:fill="F4F7FB"/>
            <w:vAlign w:val="top"/>
          </w:tcPr>
          <w:p>
            <w:pPr>
              <w:pStyle w:val="TableText"/>
              <w:jc w:val="left"/>
            </w:pPr>
            <w:r>
              <w:t xml:space="preserve">REST over TLS, OAuth 2.0, optional mTLS</w:t>
            </w:r>
          </w:p>
        </w:tc>
      </w:tr>
      <w:tr>
        <w:trPr>
          <w:cantSplit/>
        </w:trPr>
        <w:tc>
          <w:tcPr>
            <w:tcW w:w="1656" w:type="dxa"/>
            <w:vAlign w:val="top"/>
          </w:tcPr>
          <w:p>
            <w:pPr>
              <w:pStyle w:val="TableText"/>
              <w:jc w:val="left"/>
            </w:pPr>
            <w:r>
              <w:t xml:space="preserve">Operations</w:t>
            </w:r>
          </w:p>
        </w:tc>
        <w:tc>
          <w:tcPr>
            <w:tcW w:w="3854" w:type="dxa"/>
            <w:vAlign w:val="top"/>
          </w:tcPr>
          <w:p>
            <w:pPr>
              <w:pStyle w:val="TableText"/>
              <w:jc w:val="left"/>
            </w:pPr>
            <w:r>
              <w:t xml:space="preserve">Health checks, Prometheus metrics, structured logs, scheduled jobs</w:t>
            </w:r>
          </w:p>
        </w:tc>
        <w:tc>
          <w:tcPr>
            <w:tcW w:w="3517" w:type="dxa"/>
            <w:vAlign w:val="top"/>
          </w:tcPr>
          <w:p>
            <w:pPr>
              <w:pStyle w:val="TableText"/>
              <w:jc w:val="left"/>
            </w:pPr>
            <w:r>
              <w:t xml:space="preserve">Kubernetes CronJobs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4" w:name="_Toc300000040"/>
      <w:r>
        <w:rPr>
          <w:rStyle w:val="BookTitle"/>
          <w:bCs w:val="0"/>
          <w:i w:val="0"/>
          <w:iCs w:val="0"/>
          <w:spacing w:val="0"/>
        </w:rPr>
        <w:t xml:space="preserve">Integration with TASCO’s core system and VETC</w:t>
      </w:r>
      <w:bookmarkEnd w:id="44"/>
    </w:p>
    <w:p>
      <w:pPr>
        <w:pStyle w:val="Heading2"/>
      </w:pPr>
      <w:bookmarkStart w:id="45" w:name="_Toc300000041"/>
      <w:r>
        <w:t xml:space="preserve">TASCO core: the most important integration</w:t>
      </w:r>
      <w:bookmarkEnd w:id="45"/>
    </w:p>
    <w:p>
      <w:pPr>
        <w:pStyle w:val="FirstParagraph"/>
      </w:pPr>
      <w:r>
        <w:t xml:space="preserve">TASCO’s core system owns the product catalogue and rating, and the platform is designed to use them rather than duplicate them. The integration has five touchpoints.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11"/>
        <w:gridCol w:w="1360"/>
        <w:gridCol w:w="2078"/>
        <w:gridCol w:w="1653"/>
        <w:gridCol w:w="2225"/>
      </w:tblGrid>
      <w:tr>
        <w:trPr>
          <w:cantSplit/>
          <w:tblHeader/>
        </w:trPr>
        <w:tc>
          <w:tcPr>
            <w:tcW w:w="1711" w:type="dxa"/>
            <w:shd w:val="clear" w:color="auto" w:fill="0F4761"/>
            <w:vAlign w:val="center"/>
          </w:tcPr>
          <w:p>
            <w:pPr>
              <w:pStyle w:val="TableHeading"/>
              <w:jc w:val="left"/>
            </w:pPr>
            <w:r>
              <w:rPr>
                <w:color w:val="FFFFFF"/>
              </w:rPr>
              <w:t xml:space="preserve">Touchpoint</w:t>
            </w:r>
          </w:p>
        </w:tc>
        <w:tc>
          <w:tcPr>
            <w:tcW w:w="1360" w:type="dxa"/>
            <w:shd w:val="clear" w:color="auto" w:fill="0F4761"/>
            <w:vAlign w:val="center"/>
          </w:tcPr>
          <w:p>
            <w:pPr>
              <w:pStyle w:val="TableHeading"/>
              <w:jc w:val="left"/>
            </w:pPr>
            <w:r>
              <w:rPr>
                <w:color w:val="FFFFFF"/>
              </w:rPr>
              <w:t xml:space="preserve">Direction</w:t>
            </w:r>
          </w:p>
        </w:tc>
        <w:tc>
          <w:tcPr>
            <w:tcW w:w="2078" w:type="dxa"/>
            <w:shd w:val="clear" w:color="auto" w:fill="0F4761"/>
            <w:vAlign w:val="center"/>
          </w:tcPr>
          <w:p>
            <w:pPr>
              <w:pStyle w:val="TableHeading"/>
              <w:jc w:val="left"/>
            </w:pPr>
            <w:r>
              <w:rPr>
                <w:color w:val="FFFFFF"/>
              </w:rPr>
              <w:t xml:space="preserve">Purpose</w:t>
            </w:r>
          </w:p>
        </w:tc>
        <w:tc>
          <w:tcPr>
            <w:tcW w:w="1653" w:type="dxa"/>
            <w:shd w:val="clear" w:color="auto" w:fill="0F4761"/>
            <w:vAlign w:val="center"/>
          </w:tcPr>
          <w:p>
            <w:pPr>
              <w:pStyle w:val="TableHeading"/>
              <w:jc w:val="left"/>
            </w:pPr>
            <w:r>
              <w:rPr>
                <w:color w:val="FFFFFF"/>
              </w:rPr>
              <w:t xml:space="preserve">Pattern</w:t>
            </w:r>
          </w:p>
        </w:tc>
        <w:tc>
          <w:tcPr>
            <w:tcW w:w="2225" w:type="dxa"/>
            <w:shd w:val="clear" w:color="auto" w:fill="0F4761"/>
            <w:vAlign w:val="center"/>
          </w:tcPr>
          <w:p>
            <w:pPr>
              <w:pStyle w:val="TableHeading"/>
              <w:jc w:val="left"/>
            </w:pPr>
            <w:r>
              <w:rPr>
                <w:color w:val="FFFFFF"/>
              </w:rPr>
              <w:t xml:space="preserve">MVP</w:t>
            </w:r>
          </w:p>
        </w:tc>
      </w:tr>
      <w:tr>
        <w:trPr>
          <w:cantSplit/>
        </w:trPr>
        <w:tc>
          <w:tcPr>
            <w:tcW w:w="1711" w:type="dxa"/>
            <w:vAlign w:val="top"/>
          </w:tcPr>
          <w:p>
            <w:pPr>
              <w:pStyle w:val="TableText"/>
              <w:jc w:val="left"/>
            </w:pPr>
            <w:r>
              <w:t xml:space="preserve">Product catalogue</w:t>
            </w:r>
          </w:p>
        </w:tc>
        <w:tc>
          <w:tcPr>
            <w:tcW w:w="1360" w:type="dxa"/>
            <w:vAlign w:val="top"/>
          </w:tcPr>
          <w:p>
            <w:pPr>
              <w:pStyle w:val="TableText"/>
              <w:jc w:val="left"/>
            </w:pPr>
            <w:r>
              <w:t xml:space="preserve">Core to platform</w:t>
            </w:r>
          </w:p>
        </w:tc>
        <w:tc>
          <w:tcPr>
            <w:tcW w:w="2078" w:type="dxa"/>
            <w:vAlign w:val="top"/>
          </w:tcPr>
          <w:p>
            <w:pPr>
              <w:pStyle w:val="TableText"/>
              <w:jc w:val="left"/>
            </w:pPr>
            <w:r>
              <w:t xml:space="preserve">Products, versions, eligibility, add-ons and channel availability</w:t>
            </w:r>
          </w:p>
        </w:tc>
        <w:tc>
          <w:tcPr>
            <w:tcW w:w="1653" w:type="dxa"/>
            <w:vAlign w:val="top"/>
          </w:tcPr>
          <w:p>
            <w:pPr>
              <w:pStyle w:val="TableText"/>
              <w:jc w:val="left"/>
            </w:pPr>
            <w:r>
              <w:t xml:space="preserve">Scheduled sync; changes become a draft that TASCO approves</w:t>
            </w:r>
          </w:p>
        </w:tc>
        <w:tc>
          <w:tcPr>
            <w:tcW w:w="2225" w:type="dxa"/>
            <w:vAlign w:val="top"/>
          </w:tcPr>
          <w:p>
            <w:pPr>
              <w:pStyle w:val="TableText"/>
              <w:jc w:val="left"/>
            </w:pPr>
            <w:r>
              <w:t xml:space="preserve">Yes</w:t>
            </w:r>
          </w:p>
        </w:tc>
      </w:tr>
      <w:tr>
        <w:trPr>
          <w:cantSplit/>
        </w:trPr>
        <w:tc>
          <w:tcPr>
            <w:tcW w:w="1711" w:type="dxa"/>
            <w:shd w:val="clear" w:color="auto" w:fill="F4F7FB"/>
            <w:vAlign w:val="top"/>
          </w:tcPr>
          <w:p>
            <w:pPr>
              <w:pStyle w:val="TableText"/>
              <w:jc w:val="left"/>
            </w:pPr>
            <w:r>
              <w:t xml:space="preserve">Rating and quotation</w:t>
            </w:r>
          </w:p>
        </w:tc>
        <w:tc>
          <w:tcPr>
            <w:tcW w:w="1360" w:type="dxa"/>
            <w:shd w:val="clear" w:color="auto" w:fill="F4F7FB"/>
            <w:vAlign w:val="top"/>
          </w:tcPr>
          <w:p>
            <w:pPr>
              <w:pStyle w:val="TableText"/>
              <w:jc w:val="left"/>
            </w:pPr>
            <w:r>
              <w:t xml:space="preserve">Platform to core</w:t>
            </w:r>
          </w:p>
        </w:tc>
        <w:tc>
          <w:tcPr>
            <w:tcW w:w="2078" w:type="dxa"/>
            <w:shd w:val="clear" w:color="auto" w:fill="F4F7FB"/>
            <w:vAlign w:val="top"/>
          </w:tcPr>
          <w:p>
            <w:pPr>
              <w:pStyle w:val="TableText"/>
              <w:jc w:val="left"/>
            </w:pPr>
            <w:r>
              <w:t xml:space="preserve">Price a policy for a given vehicle and term; core returns premium, VAT, a quote reference and its validity</w:t>
            </w:r>
          </w:p>
        </w:tc>
        <w:tc>
          <w:tcPr>
            <w:tcW w:w="1653" w:type="dxa"/>
            <w:shd w:val="clear" w:color="auto" w:fill="F4F7FB"/>
            <w:vAlign w:val="top"/>
          </w:tcPr>
          <w:p>
            <w:pPr>
              <w:pStyle w:val="TableText"/>
              <w:jc w:val="left"/>
            </w:pPr>
            <w:r>
              <w:t xml:space="preserve">Real-time REST call</w:t>
            </w:r>
          </w:p>
        </w:tc>
        <w:tc>
          <w:tcPr>
            <w:tcW w:w="2225" w:type="dxa"/>
            <w:shd w:val="clear" w:color="auto" w:fill="F4F7FB"/>
            <w:vAlign w:val="top"/>
          </w:tcPr>
          <w:p>
            <w:pPr>
              <w:pStyle w:val="TableText"/>
              <w:jc w:val="left"/>
            </w:pPr>
            <w:r>
              <w:t xml:space="preserve">Yes</w:t>
            </w:r>
          </w:p>
        </w:tc>
      </w:tr>
      <w:tr>
        <w:trPr>
          <w:cantSplit/>
        </w:trPr>
        <w:tc>
          <w:tcPr>
            <w:tcW w:w="1711" w:type="dxa"/>
            <w:vAlign w:val="top"/>
          </w:tcPr>
          <w:p>
            <w:pPr>
              <w:pStyle w:val="TableText"/>
              <w:jc w:val="left"/>
            </w:pPr>
            <w:r>
              <w:t xml:space="preserve">Bind and issue</w:t>
            </w:r>
          </w:p>
        </w:tc>
        <w:tc>
          <w:tcPr>
            <w:tcW w:w="1360" w:type="dxa"/>
            <w:vAlign w:val="top"/>
          </w:tcPr>
          <w:p>
            <w:pPr>
              <w:pStyle w:val="TableText"/>
              <w:jc w:val="left"/>
            </w:pPr>
            <w:r>
              <w:t xml:space="preserve">Platform to core</w:t>
            </w:r>
          </w:p>
        </w:tc>
        <w:tc>
          <w:tcPr>
            <w:tcW w:w="2078" w:type="dxa"/>
            <w:vAlign w:val="top"/>
          </w:tcPr>
          <w:p>
            <w:pPr>
              <w:pStyle w:val="TableText"/>
              <w:jc w:val="left"/>
            </w:pPr>
            <w:r>
              <w:t xml:space="preserve">Bind the quote core priced, after payment, and issue the policy and e-certificate</w:t>
            </w:r>
          </w:p>
        </w:tc>
        <w:tc>
          <w:tcPr>
            <w:tcW w:w="1653" w:type="dxa"/>
            <w:vAlign w:val="top"/>
          </w:tcPr>
          <w:p>
            <w:pPr>
              <w:pStyle w:val="TableText"/>
              <w:jc w:val="left"/>
            </w:pPr>
            <w:r>
              <w:t xml:space="preserve">Real-time REST call, idempotent</w:t>
            </w:r>
          </w:p>
        </w:tc>
        <w:tc>
          <w:tcPr>
            <w:tcW w:w="2225" w:type="dxa"/>
            <w:vAlign w:val="top"/>
          </w:tcPr>
          <w:p>
            <w:pPr>
              <w:pStyle w:val="TableText"/>
              <w:jc w:val="left"/>
            </w:pPr>
            <w:r>
              <w:t xml:space="preserve">Yes</w:t>
            </w:r>
          </w:p>
        </w:tc>
      </w:tr>
      <w:tr>
        <w:trPr>
          <w:cantSplit/>
        </w:trPr>
        <w:tc>
          <w:tcPr>
            <w:tcW w:w="1711" w:type="dxa"/>
            <w:shd w:val="clear" w:color="auto" w:fill="F4F7FB"/>
            <w:vAlign w:val="top"/>
          </w:tcPr>
          <w:p>
            <w:pPr>
              <w:pStyle w:val="TableText"/>
              <w:jc w:val="left"/>
            </w:pPr>
            <w:r>
              <w:t xml:space="preserve">Policy book</w:t>
            </w:r>
          </w:p>
        </w:tc>
        <w:tc>
          <w:tcPr>
            <w:tcW w:w="1360" w:type="dxa"/>
            <w:shd w:val="clear" w:color="auto" w:fill="F4F7FB"/>
            <w:vAlign w:val="top"/>
          </w:tcPr>
          <w:p>
            <w:pPr>
              <w:pStyle w:val="TableText"/>
              <w:jc w:val="left"/>
            </w:pPr>
            <w:r>
              <w:t xml:space="preserve">Core to platform</w:t>
            </w:r>
          </w:p>
        </w:tc>
        <w:tc>
          <w:tcPr>
            <w:tcW w:w="2078" w:type="dxa"/>
            <w:shd w:val="clear" w:color="auto" w:fill="F4F7FB"/>
            <w:vAlign w:val="top"/>
          </w:tcPr>
          <w:p>
            <w:pPr>
              <w:pStyle w:val="TableText"/>
              <w:jc w:val="left"/>
            </w:pPr>
            <w:r>
              <w:t xml:space="preserve">Active and expiring TASCO policies, to drive renewals and avoid selling to insured customers</w:t>
            </w:r>
          </w:p>
        </w:tc>
        <w:tc>
          <w:tcPr>
            <w:tcW w:w="1653" w:type="dxa"/>
            <w:shd w:val="clear" w:color="auto" w:fill="F4F7FB"/>
            <w:vAlign w:val="top"/>
          </w:tcPr>
          <w:p>
            <w:pPr>
              <w:pStyle w:val="TableText"/>
              <w:jc w:val="left"/>
            </w:pPr>
            <w:r>
              <w:t xml:space="preserve">Daily extract, then incremental</w:t>
            </w:r>
          </w:p>
        </w:tc>
        <w:tc>
          <w:tcPr>
            <w:tcW w:w="2225" w:type="dxa"/>
            <w:shd w:val="clear" w:color="auto" w:fill="F4F7FB"/>
            <w:vAlign w:val="top"/>
          </w:tcPr>
          <w:p>
            <w:pPr>
              <w:pStyle w:val="TableText"/>
              <w:jc w:val="left"/>
            </w:pPr>
            <w:r>
              <w:t xml:space="preserve">Yes</w:t>
            </w:r>
          </w:p>
        </w:tc>
      </w:tr>
      <w:tr>
        <w:trPr>
          <w:cantSplit/>
        </w:trPr>
        <w:tc>
          <w:tcPr>
            <w:tcW w:w="1711" w:type="dxa"/>
            <w:vAlign w:val="top"/>
          </w:tcPr>
          <w:p>
            <w:pPr>
              <w:pStyle w:val="TableText"/>
              <w:jc w:val="left"/>
            </w:pPr>
            <w:r>
              <w:t xml:space="preserve">Cancellation and claims notification</w:t>
            </w:r>
          </w:p>
        </w:tc>
        <w:tc>
          <w:tcPr>
            <w:tcW w:w="1360" w:type="dxa"/>
            <w:vAlign w:val="top"/>
          </w:tcPr>
          <w:p>
            <w:pPr>
              <w:pStyle w:val="TableText"/>
              <w:jc w:val="left"/>
            </w:pPr>
            <w:r>
              <w:t xml:space="preserve">Both</w:t>
            </w:r>
          </w:p>
        </w:tc>
        <w:tc>
          <w:tcPr>
            <w:tcW w:w="2078" w:type="dxa"/>
            <w:vAlign w:val="top"/>
          </w:tcPr>
          <w:p>
            <w:pPr>
              <w:pStyle w:val="TableText"/>
              <w:jc w:val="left"/>
            </w:pPr>
            <w:r>
              <w:t xml:space="preserve">Cancel or refund where allowed; pass first notice of loss to the claims system</w:t>
            </w:r>
          </w:p>
        </w:tc>
        <w:tc>
          <w:tcPr>
            <w:tcW w:w="1653" w:type="dxa"/>
            <w:vAlign w:val="top"/>
          </w:tcPr>
          <w:p>
            <w:pPr>
              <w:pStyle w:val="TableText"/>
              <w:jc w:val="left"/>
            </w:pPr>
            <w:r>
              <w:t xml:space="preserve">REST or file</w:t>
            </w:r>
          </w:p>
        </w:tc>
        <w:tc>
          <w:tcPr>
            <w:tcW w:w="2225" w:type="dxa"/>
            <w:vAlign w:val="top"/>
          </w:tcPr>
          <w:p>
            <w:pPr>
              <w:pStyle w:val="TableText"/>
              <w:jc w:val="left"/>
            </w:pPr>
            <w:r>
              <w:t xml:space="preserve">First notice of loss by queue in the MVP; system-to-system in the scale phase</w:t>
            </w:r>
          </w:p>
        </w:tc>
      </w:tr>
    </w:tbl>
    <w:p>
      <w:pPr>
        <w:pStyle w:val="BodyText"/>
        <w:spacing w:before="160"/>
      </w:pPr>
      <w:r>
        <w:t xml:space="preserve">Each quote records which system rated it, the core quote reference and the rating version. Rating requests carry only the risk attributes core needs (vehicle category, use, seats, age and term); the plate and the holder’s name are sent to core only at issuance, together with the quote reference, so core binds exactly the price it quoted. This integration is already built into the platform: a production connector for TASCO core’s REST interface, and a simulated core used in UAT, both behind the same interface. If TASCO’s core system is temporarily unavailable, the platform can be configured in one of three ways, and TASCO chooses which during discovery:</w:t>
      </w:r>
    </w:p>
    <w:p>
      <w:pPr>
        <w:pStyle w:val="Compact"/>
        <w:numPr>
          <w:ilvl w:val="0"/>
          <w:numId w:val="1002"/>
        </w:numPr>
      </w:pPr>
      <w:r>
        <w:rPr>
          <w:b/>
          <w:bCs/>
        </w:rPr>
        <w:t xml:space="preserve">Core only.</w:t>
      </w:r>
      <w:r>
        <w:t xml:space="preserve"> </w:t>
      </w:r>
      <w:r>
        <w:t xml:space="preserve">No quote is shown while core is unavailable; the customer is asked to try again shortly. This is the safest option.</w:t>
      </w:r>
    </w:p>
    <w:p>
      <w:pPr>
        <w:pStyle w:val="Compact"/>
        <w:numPr>
          <w:ilvl w:val="0"/>
          <w:numId w:val="1002"/>
        </w:numPr>
      </w:pPr>
      <w:r>
        <w:rPr>
          <w:b/>
          <w:bCs/>
        </w:rPr>
        <w:t xml:space="preserve">Core with indicative fallback.</w:t>
      </w:r>
      <w:r>
        <w:t xml:space="preserve"> </w:t>
      </w:r>
      <w:r>
        <w:t xml:space="preserve">The platform shows an indicative price from the approved tariff tables, clearly marked as indicative. Payment is blocked until the core system has re-rated the quote.</w:t>
      </w:r>
    </w:p>
    <w:p>
      <w:pPr>
        <w:pStyle w:val="Compact"/>
        <w:numPr>
          <w:ilvl w:val="0"/>
          <w:numId w:val="1002"/>
        </w:numPr>
      </w:pPr>
      <w:r>
        <w:rPr>
          <w:b/>
          <w:bCs/>
        </w:rPr>
        <w:t xml:space="preserve">Local rating.</w:t>
      </w:r>
      <w:r>
        <w:t xml:space="preserve"> </w:t>
      </w:r>
      <w:r>
        <w:t xml:space="preserve">For sandbox and testing only. Production use requires TASCO’s explicit approval.</w:t>
      </w:r>
    </w:p>
    <w:p>
      <w:pPr>
        <w:pStyle w:val="FirstParagraph"/>
      </w:pPr>
      <w:r>
        <w:t xml:space="preserve">If TASCO’s core system does not yet expose a rating API, there is a practical interim path. The platform rates from tariff tables synchronised from core and approved by TASCO, and core re-rates at the moment of issue, rejecting any mismatch. We will confirm the right path in the first two weeks.</w:t>
      </w:r>
    </w:p>
    <w:p>
      <w:pPr>
        <w:pStyle w:val="Heading2"/>
      </w:pPr>
      <w:bookmarkStart w:id="46" w:name="_Toc300000042"/>
      <w:r>
        <w:t xml:space="preserve">All integration touchpoints</w:t>
      </w:r>
      <w:bookmarkEnd w:id="46"/>
    </w:p>
    <w:p xmlns:a="http://schemas.openxmlformats.org/drawingml/2006/main" xmlns:pic="http://schemas.openxmlformats.org/drawingml/2006/picture">
      <w:pPr>
        <w:pStyle w:val="Figure"/>
      </w:pPr>
      <w:r>
        <w:drawing>
          <wp:inline>
            <wp:extent cx="5374799" cy="6479999"/>
            <wp:effectExtent b="0" l="0" r="0" t="0"/>
            <wp:docPr descr="All integration touchpoints between the platform, TASCO, VETC and the channels" title="" id="5029" name="Picture"/>
            <a:graphic>
              <a:graphicData uri="http://schemas.openxmlformats.org/drawingml/2006/picture">
                <pic:pic>
                  <pic:nvPicPr>
                    <pic:cNvPr descr="/tmp/claude-0/-home-user-TASCO/19e5534d-12b5-5956-9b60-3e77efde0f49/scratchpad/gen/.cache/mermaid/abd4c11c73d8b2ff.png" id="142" name="Picture"/>
                    <pic:cNvPicPr>
                      <a:picLocks noChangeArrowheads="1" noChangeAspect="1"/>
                    </pic:cNvPicPr>
                  </pic:nvPicPr>
                  <pic:blipFill>
                    <a:blip r:embed="rIdG29"/>
                    <a:stretch>
                      <a:fillRect/>
                    </a:stretch>
                  </pic:blipFill>
                  <pic:spPr bwMode="auto">
                    <a:xfrm>
                      <a:off x="0" y="0"/>
                      <a:ext cx="5374799" cy="6479999"/>
                    </a:xfrm>
                    <a:prstGeom prst="rect">
                      <a:avLst/>
                    </a:prstGeom>
                    <a:noFill/>
                    <a:ln w="9525">
                      <a:noFill/>
                      <a:headEnd/>
                      <a:tailEnd/>
                    </a:ln>
                  </pic:spPr>
                </pic:pic>
              </a:graphicData>
            </a:graphic>
          </wp:inline>
        </w:drawing>
      </w:r>
    </w:p>
    <w:p>
      <w:pPr>
        <w:pStyle w:val="Caption"/>
      </w:pPr>
      <w:r>
        <w:t xml:space="preserve">Figure 28 – All integration touchpoints between the platform, TASCO, VETC and the channels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509"/>
        <w:gridCol w:w="1651"/>
        <w:gridCol w:w="2014"/>
        <w:gridCol w:w="1381"/>
        <w:gridCol w:w="1472"/>
      </w:tblGrid>
      <w:tr>
        <w:trPr>
          <w:cantSplit/>
          <w:tblHeader/>
        </w:trPr>
        <w:tc>
          <w:tcPr>
            <w:tcW w:w="2509" w:type="dxa"/>
            <w:shd w:val="clear" w:color="auto" w:fill="0F4761"/>
            <w:vAlign w:val="center"/>
          </w:tcPr>
          <w:p>
            <w:pPr>
              <w:pStyle w:val="TableHeading"/>
              <w:jc w:val="left"/>
            </w:pPr>
            <w:r>
              <w:rPr>
                <w:color w:val="FFFFFF"/>
              </w:rPr>
              <w:t xml:space="preserve">System</w:t>
            </w:r>
          </w:p>
        </w:tc>
        <w:tc>
          <w:tcPr>
            <w:tcW w:w="1651" w:type="dxa"/>
            <w:shd w:val="clear" w:color="auto" w:fill="0F4761"/>
            <w:vAlign w:val="center"/>
          </w:tcPr>
          <w:p>
            <w:pPr>
              <w:pStyle w:val="TableHeading"/>
              <w:jc w:val="left"/>
            </w:pPr>
            <w:r>
              <w:rPr>
                <w:color w:val="FFFFFF"/>
              </w:rPr>
              <w:t xml:space="preserve">Interface</w:t>
            </w:r>
          </w:p>
        </w:tc>
        <w:tc>
          <w:tcPr>
            <w:tcW w:w="2014" w:type="dxa"/>
            <w:shd w:val="clear" w:color="auto" w:fill="0F4761"/>
            <w:vAlign w:val="center"/>
          </w:tcPr>
          <w:p>
            <w:pPr>
              <w:pStyle w:val="TableHeading"/>
              <w:jc w:val="left"/>
            </w:pPr>
            <w:r>
              <w:rPr>
                <w:color w:val="FFFFFF"/>
              </w:rPr>
              <w:t xml:space="preserve">Data exchanged</w:t>
            </w:r>
          </w:p>
        </w:tc>
        <w:tc>
          <w:tcPr>
            <w:tcW w:w="1381" w:type="dxa"/>
            <w:shd w:val="clear" w:color="auto" w:fill="0F4761"/>
            <w:vAlign w:val="center"/>
          </w:tcPr>
          <w:p>
            <w:pPr>
              <w:pStyle w:val="TableHeading"/>
              <w:jc w:val="left"/>
            </w:pPr>
            <w:r>
              <w:rPr>
                <w:color w:val="FFFFFF"/>
              </w:rPr>
              <w:t xml:space="preserve">Frequency</w:t>
            </w:r>
          </w:p>
        </w:tc>
        <w:tc>
          <w:tcPr>
            <w:tcW w:w="1472" w:type="dxa"/>
            <w:shd w:val="clear" w:color="auto" w:fill="0F4761"/>
            <w:vAlign w:val="center"/>
          </w:tcPr>
          <w:p>
            <w:pPr>
              <w:pStyle w:val="TableHeading"/>
              <w:jc w:val="left"/>
            </w:pPr>
            <w:r>
              <w:rPr>
                <w:color w:val="FFFFFF"/>
              </w:rPr>
              <w:t xml:space="preserve">MVP</w:t>
            </w:r>
          </w:p>
        </w:tc>
      </w:tr>
      <w:tr>
        <w:trPr>
          <w:cantSplit/>
        </w:trPr>
        <w:tc>
          <w:tcPr>
            <w:tcW w:w="2509" w:type="dxa"/>
            <w:vAlign w:val="top"/>
          </w:tcPr>
          <w:p>
            <w:pPr>
              <w:pStyle w:val="TableText"/>
              <w:jc w:val="left"/>
            </w:pPr>
            <w:r>
              <w:t xml:space="preserve">VETC accounts and vehicles</w:t>
            </w:r>
          </w:p>
        </w:tc>
        <w:tc>
          <w:tcPr>
            <w:tcW w:w="1651" w:type="dxa"/>
            <w:vAlign w:val="top"/>
          </w:tcPr>
          <w:p>
            <w:pPr>
              <w:pStyle w:val="TableText"/>
              <w:jc w:val="left"/>
            </w:pPr>
            <w:r>
              <w:t xml:space="preserve">Secure file transfer or API</w:t>
            </w:r>
          </w:p>
        </w:tc>
        <w:tc>
          <w:tcPr>
            <w:tcW w:w="2014" w:type="dxa"/>
            <w:vAlign w:val="top"/>
          </w:tcPr>
          <w:p>
            <w:pPr>
              <w:pStyle w:val="TableText"/>
              <w:jc w:val="left"/>
            </w:pPr>
            <w:r>
              <w:t xml:space="preserve">Plate, vehicle class, seats, owner name and phone (with consent basis)</w:t>
            </w:r>
          </w:p>
        </w:tc>
        <w:tc>
          <w:tcPr>
            <w:tcW w:w="1381" w:type="dxa"/>
            <w:vAlign w:val="top"/>
          </w:tcPr>
          <w:p>
            <w:pPr>
              <w:pStyle w:val="TableText"/>
              <w:jc w:val="left"/>
            </w:pPr>
            <w:r>
              <w:t xml:space="preserve">Initial load, then daily changes</w:t>
            </w:r>
          </w:p>
        </w:tc>
        <w:tc>
          <w:tcPr>
            <w:tcW w:w="1472" w:type="dxa"/>
            <w:vAlign w:val="top"/>
          </w:tcPr>
          <w:p>
            <w:pPr>
              <w:pStyle w:val="TableText"/>
              <w:jc w:val="left"/>
            </w:pPr>
            <w:r>
              <w:t xml:space="preserve">Yes</w:t>
            </w:r>
          </w:p>
        </w:tc>
      </w:tr>
      <w:tr>
        <w:trPr>
          <w:cantSplit/>
        </w:trPr>
        <w:tc>
          <w:tcPr>
            <w:tcW w:w="2509" w:type="dxa"/>
            <w:shd w:val="clear" w:color="auto" w:fill="F4F7FB"/>
            <w:vAlign w:val="top"/>
          </w:tcPr>
          <w:p>
            <w:pPr>
              <w:pStyle w:val="TableText"/>
              <w:jc w:val="left"/>
            </w:pPr>
            <w:r>
              <w:t xml:space="preserve">VETC tag events</w:t>
            </w:r>
          </w:p>
        </w:tc>
        <w:tc>
          <w:tcPr>
            <w:tcW w:w="1651" w:type="dxa"/>
            <w:shd w:val="clear" w:color="auto" w:fill="F4F7FB"/>
            <w:vAlign w:val="top"/>
          </w:tcPr>
          <w:p>
            <w:pPr>
              <w:pStyle w:val="TableText"/>
              <w:jc w:val="left"/>
            </w:pPr>
            <w:r>
              <w:t xml:space="preserve">Webhook or message queue</w:t>
            </w:r>
          </w:p>
        </w:tc>
        <w:tc>
          <w:tcPr>
            <w:tcW w:w="2014" w:type="dxa"/>
            <w:shd w:val="clear" w:color="auto" w:fill="F4F7FB"/>
            <w:vAlign w:val="top"/>
          </w:tcPr>
          <w:p>
            <w:pPr>
              <w:pStyle w:val="TableText"/>
              <w:jc w:val="left"/>
            </w:pPr>
            <w:r>
              <w:t xml:space="preserve">Tag activation, inspection booking, wallet top-up</w:t>
            </w:r>
          </w:p>
        </w:tc>
        <w:tc>
          <w:tcPr>
            <w:tcW w:w="1381" w:type="dxa"/>
            <w:shd w:val="clear" w:color="auto" w:fill="F4F7FB"/>
            <w:vAlign w:val="top"/>
          </w:tcPr>
          <w:p>
            <w:pPr>
              <w:pStyle w:val="TableText"/>
              <w:jc w:val="left"/>
            </w:pPr>
            <w:r>
              <w:t xml:space="preserve">Near real time</w:t>
            </w:r>
          </w:p>
        </w:tc>
        <w:tc>
          <w:tcPr>
            <w:tcW w:w="1472" w:type="dxa"/>
            <w:shd w:val="clear" w:color="auto" w:fill="F4F7FB"/>
            <w:vAlign w:val="top"/>
          </w:tcPr>
          <w:p>
            <w:pPr>
              <w:pStyle w:val="TableText"/>
              <w:jc w:val="left"/>
            </w:pPr>
            <w:r>
              <w:t xml:space="preserve">Yes, activation</w:t>
            </w:r>
          </w:p>
        </w:tc>
      </w:tr>
      <w:tr>
        <w:trPr>
          <w:cantSplit/>
        </w:trPr>
        <w:tc>
          <w:tcPr>
            <w:tcW w:w="2509" w:type="dxa"/>
            <w:vAlign w:val="top"/>
          </w:tcPr>
          <w:p>
            <w:pPr>
              <w:pStyle w:val="TableText"/>
              <w:jc w:val="left"/>
            </w:pPr>
            <w:r>
              <w:t xml:space="preserve">VETC app</w:t>
            </w:r>
          </w:p>
        </w:tc>
        <w:tc>
          <w:tcPr>
            <w:tcW w:w="1651" w:type="dxa"/>
            <w:vAlign w:val="top"/>
          </w:tcPr>
          <w:p>
            <w:pPr>
              <w:pStyle w:val="TableText"/>
              <w:jc w:val="left"/>
            </w:pPr>
            <w:r>
              <w:t xml:space="preserve">Web view with signed deep links; SSO in the scale phase</w:t>
            </w:r>
          </w:p>
        </w:tc>
        <w:tc>
          <w:tcPr>
            <w:tcW w:w="2014" w:type="dxa"/>
            <w:vAlign w:val="top"/>
          </w:tcPr>
          <w:p>
            <w:pPr>
              <w:pStyle w:val="TableText"/>
              <w:jc w:val="left"/>
            </w:pPr>
            <w:r>
              <w:t xml:space="preserve">Customer session, notifications</w:t>
            </w:r>
          </w:p>
        </w:tc>
        <w:tc>
          <w:tcPr>
            <w:tcW w:w="1381" w:type="dxa"/>
            <w:vAlign w:val="top"/>
          </w:tcPr>
          <w:p>
            <w:pPr>
              <w:pStyle w:val="TableText"/>
              <w:jc w:val="left"/>
            </w:pPr>
            <w:r>
              <w:t xml:space="preserve">Real time</w:t>
            </w:r>
          </w:p>
        </w:tc>
        <w:tc>
          <w:tcPr>
            <w:tcW w:w="1472" w:type="dxa"/>
            <w:vAlign w:val="top"/>
          </w:tcPr>
          <w:p>
            <w:pPr>
              <w:pStyle w:val="TableText"/>
              <w:jc w:val="left"/>
            </w:pPr>
            <w:r>
              <w:t xml:space="preserve">Yes</w:t>
            </w:r>
          </w:p>
        </w:tc>
      </w:tr>
      <w:tr>
        <w:trPr>
          <w:cantSplit/>
        </w:trPr>
        <w:tc>
          <w:tcPr>
            <w:tcW w:w="2509" w:type="dxa"/>
            <w:shd w:val="clear" w:color="auto" w:fill="F4F7FB"/>
            <w:vAlign w:val="top"/>
          </w:tcPr>
          <w:p>
            <w:pPr>
              <w:pStyle w:val="TableText"/>
              <w:jc w:val="left"/>
            </w:pPr>
            <w:r>
              <w:t xml:space="preserve">VETC push service</w:t>
            </w:r>
          </w:p>
        </w:tc>
        <w:tc>
          <w:tcPr>
            <w:tcW w:w="1651" w:type="dxa"/>
            <w:shd w:val="clear" w:color="auto" w:fill="F4F7FB"/>
            <w:vAlign w:val="top"/>
          </w:tcPr>
          <w:p>
            <w:pPr>
              <w:pStyle w:val="TableText"/>
              <w:jc w:val="left"/>
            </w:pPr>
            <w:r>
              <w:t xml:space="preserve">REST</w:t>
            </w:r>
          </w:p>
        </w:tc>
        <w:tc>
          <w:tcPr>
            <w:tcW w:w="2014" w:type="dxa"/>
            <w:shd w:val="clear" w:color="auto" w:fill="F4F7FB"/>
            <w:vAlign w:val="top"/>
          </w:tcPr>
          <w:p>
            <w:pPr>
              <w:pStyle w:val="TableText"/>
              <w:jc w:val="left"/>
            </w:pPr>
            <w:r>
              <w:t xml:space="preserve">Notification content and target</w:t>
            </w:r>
          </w:p>
        </w:tc>
        <w:tc>
          <w:tcPr>
            <w:tcW w:w="1381" w:type="dxa"/>
            <w:shd w:val="clear" w:color="auto" w:fill="F4F7FB"/>
            <w:vAlign w:val="top"/>
          </w:tcPr>
          <w:p>
            <w:pPr>
              <w:pStyle w:val="TableText"/>
              <w:jc w:val="left"/>
            </w:pPr>
            <w:r>
              <w:t xml:space="preserve">Per journey step</w:t>
            </w:r>
          </w:p>
        </w:tc>
        <w:tc>
          <w:tcPr>
            <w:tcW w:w="1472" w:type="dxa"/>
            <w:shd w:val="clear" w:color="auto" w:fill="F4F7FB"/>
            <w:vAlign w:val="top"/>
          </w:tcPr>
          <w:p>
            <w:pPr>
              <w:pStyle w:val="TableText"/>
              <w:jc w:val="left"/>
            </w:pPr>
            <w:r>
              <w:t xml:space="preserve">Yes</w:t>
            </w:r>
          </w:p>
        </w:tc>
      </w:tr>
      <w:tr>
        <w:trPr>
          <w:cantSplit/>
        </w:trPr>
        <w:tc>
          <w:tcPr>
            <w:tcW w:w="2509" w:type="dxa"/>
            <w:vAlign w:val="top"/>
          </w:tcPr>
          <w:p>
            <w:pPr>
              <w:pStyle w:val="TableText"/>
              <w:jc w:val="left"/>
            </w:pPr>
            <w:r>
              <w:t xml:space="preserve">VETC wallet</w:t>
            </w:r>
          </w:p>
        </w:tc>
        <w:tc>
          <w:tcPr>
            <w:tcW w:w="1651" w:type="dxa"/>
            <w:vAlign w:val="top"/>
          </w:tcPr>
          <w:p>
            <w:pPr>
              <w:pStyle w:val="TableText"/>
              <w:jc w:val="left"/>
            </w:pPr>
            <w:r>
              <w:t xml:space="preserve">REST</w:t>
            </w:r>
          </w:p>
        </w:tc>
        <w:tc>
          <w:tcPr>
            <w:tcW w:w="2014" w:type="dxa"/>
            <w:vAlign w:val="top"/>
          </w:tcPr>
          <w:p>
            <w:pPr>
              <w:pStyle w:val="TableText"/>
              <w:jc w:val="left"/>
            </w:pPr>
            <w:r>
              <w:t xml:space="preserve">Debit, refund, status, daily reconciliation</w:t>
            </w:r>
          </w:p>
        </w:tc>
        <w:tc>
          <w:tcPr>
            <w:tcW w:w="1381" w:type="dxa"/>
            <w:vAlign w:val="top"/>
          </w:tcPr>
          <w:p>
            <w:pPr>
              <w:pStyle w:val="TableText"/>
              <w:jc w:val="left"/>
            </w:pPr>
            <w:r>
              <w:t xml:space="preserve">Real time, plus daily file</w:t>
            </w:r>
          </w:p>
        </w:tc>
        <w:tc>
          <w:tcPr>
            <w:tcW w:w="1472" w:type="dxa"/>
            <w:vAlign w:val="top"/>
          </w:tcPr>
          <w:p>
            <w:pPr>
              <w:pStyle w:val="TableText"/>
              <w:jc w:val="left"/>
            </w:pPr>
            <w:r>
              <w:t xml:space="preserve">Yes</w:t>
            </w:r>
          </w:p>
        </w:tc>
      </w:tr>
      <w:tr>
        <w:trPr>
          <w:cantSplit/>
        </w:trPr>
        <w:tc>
          <w:tcPr>
            <w:tcW w:w="2509" w:type="dxa"/>
            <w:shd w:val="clear" w:color="auto" w:fill="F4F7FB"/>
            <w:vAlign w:val="top"/>
          </w:tcPr>
          <w:p>
            <w:pPr>
              <w:pStyle w:val="TableText"/>
              <w:jc w:val="left"/>
            </w:pPr>
            <w:r>
              <w:t xml:space="preserve">Zalo ZNS</w:t>
            </w:r>
          </w:p>
        </w:tc>
        <w:tc>
          <w:tcPr>
            <w:tcW w:w="1651" w:type="dxa"/>
            <w:shd w:val="clear" w:color="auto" w:fill="F4F7FB"/>
            <w:vAlign w:val="top"/>
          </w:tcPr>
          <w:p>
            <w:pPr>
              <w:pStyle w:val="TableText"/>
              <w:jc w:val="left"/>
            </w:pPr>
            <w:r>
              <w:t xml:space="preserve">Zalo OA API</w:t>
            </w:r>
          </w:p>
        </w:tc>
        <w:tc>
          <w:tcPr>
            <w:tcW w:w="2014" w:type="dxa"/>
            <w:shd w:val="clear" w:color="auto" w:fill="F4F7FB"/>
            <w:vAlign w:val="top"/>
          </w:tcPr>
          <w:p>
            <w:pPr>
              <w:pStyle w:val="TableText"/>
              <w:jc w:val="left"/>
            </w:pPr>
            <w:r>
              <w:t xml:space="preserve">Approved templates only</w:t>
            </w:r>
          </w:p>
        </w:tc>
        <w:tc>
          <w:tcPr>
            <w:tcW w:w="1381" w:type="dxa"/>
            <w:shd w:val="clear" w:color="auto" w:fill="F4F7FB"/>
            <w:vAlign w:val="top"/>
          </w:tcPr>
          <w:p>
            <w:pPr>
              <w:pStyle w:val="TableText"/>
              <w:jc w:val="left"/>
            </w:pPr>
            <w:r>
              <w:t xml:space="preserve">Per journey step</w:t>
            </w:r>
          </w:p>
        </w:tc>
        <w:tc>
          <w:tcPr>
            <w:tcW w:w="1472" w:type="dxa"/>
            <w:shd w:val="clear" w:color="auto" w:fill="F4F7FB"/>
            <w:vAlign w:val="top"/>
          </w:tcPr>
          <w:p>
            <w:pPr>
              <w:pStyle w:val="TableText"/>
              <w:jc w:val="left"/>
            </w:pPr>
            <w:r>
              <w:t xml:space="preserve">Yes</w:t>
            </w:r>
          </w:p>
        </w:tc>
      </w:tr>
      <w:tr>
        <w:trPr>
          <w:cantSplit/>
        </w:trPr>
        <w:tc>
          <w:tcPr>
            <w:tcW w:w="2509" w:type="dxa"/>
            <w:vAlign w:val="top"/>
          </w:tcPr>
          <w:p>
            <w:pPr>
              <w:pStyle w:val="TableText"/>
              <w:jc w:val="left"/>
            </w:pPr>
            <w:r>
              <w:t xml:space="preserve">SMS brandname</w:t>
            </w:r>
          </w:p>
        </w:tc>
        <w:tc>
          <w:tcPr>
            <w:tcW w:w="1651" w:type="dxa"/>
            <w:vAlign w:val="top"/>
          </w:tcPr>
          <w:p>
            <w:pPr>
              <w:pStyle w:val="TableText"/>
              <w:jc w:val="left"/>
            </w:pPr>
            <w:r>
              <w:t xml:space="preserve">Provider API</w:t>
            </w:r>
          </w:p>
        </w:tc>
        <w:tc>
          <w:tcPr>
            <w:tcW w:w="2014" w:type="dxa"/>
            <w:vAlign w:val="top"/>
          </w:tcPr>
          <w:p>
            <w:pPr>
              <w:pStyle w:val="TableText"/>
              <w:jc w:val="left"/>
            </w:pPr>
            <w:r>
              <w:t xml:space="preserve">Registered templates</w:t>
            </w:r>
          </w:p>
        </w:tc>
        <w:tc>
          <w:tcPr>
            <w:tcW w:w="1381" w:type="dxa"/>
            <w:vAlign w:val="top"/>
          </w:tcPr>
          <w:p>
            <w:pPr>
              <w:pStyle w:val="TableText"/>
              <w:jc w:val="left"/>
            </w:pPr>
            <w:r>
              <w:t xml:space="preserve">Per journey step</w:t>
            </w:r>
          </w:p>
        </w:tc>
        <w:tc>
          <w:tcPr>
            <w:tcW w:w="1472" w:type="dxa"/>
            <w:vAlign w:val="top"/>
          </w:tcPr>
          <w:p>
            <w:pPr>
              <w:pStyle w:val="TableText"/>
              <w:jc w:val="left"/>
            </w:pPr>
            <w:r>
              <w:t xml:space="preserve">Yes</w:t>
            </w:r>
          </w:p>
        </w:tc>
      </w:tr>
      <w:tr>
        <w:trPr>
          <w:cantSplit/>
        </w:trPr>
        <w:tc>
          <w:tcPr>
            <w:tcW w:w="2509" w:type="dxa"/>
            <w:shd w:val="clear" w:color="auto" w:fill="F4F7FB"/>
            <w:vAlign w:val="top"/>
          </w:tcPr>
          <w:p>
            <w:pPr>
              <w:pStyle w:val="TableText"/>
              <w:jc w:val="left"/>
            </w:pPr>
            <w:r>
              <w:t xml:space="preserve">Voice AI vendor</w:t>
            </w:r>
          </w:p>
        </w:tc>
        <w:tc>
          <w:tcPr>
            <w:tcW w:w="1651" w:type="dxa"/>
            <w:shd w:val="clear" w:color="auto" w:fill="F4F7FB"/>
            <w:vAlign w:val="top"/>
          </w:tcPr>
          <w:p>
            <w:pPr>
              <w:pStyle w:val="TableText"/>
              <w:jc w:val="left"/>
            </w:pPr>
            <w:r>
              <w:t xml:space="preserve">SIP and API</w:t>
            </w:r>
          </w:p>
        </w:tc>
        <w:tc>
          <w:tcPr>
            <w:tcW w:w="2014" w:type="dxa"/>
            <w:shd w:val="clear" w:color="auto" w:fill="F4F7FB"/>
            <w:vAlign w:val="top"/>
          </w:tcPr>
          <w:p>
            <w:pPr>
              <w:pStyle w:val="TableText"/>
              <w:jc w:val="left"/>
            </w:pPr>
            <w:r>
              <w:t xml:space="preserve">Calls, transcripts, outcomes</w:t>
            </w:r>
          </w:p>
        </w:tc>
        <w:tc>
          <w:tcPr>
            <w:tcW w:w="1381" w:type="dxa"/>
            <w:shd w:val="clear" w:color="auto" w:fill="F4F7FB"/>
            <w:vAlign w:val="top"/>
          </w:tcPr>
          <w:p>
            <w:pPr>
              <w:pStyle w:val="TableText"/>
              <w:jc w:val="left"/>
            </w:pPr>
            <w:r>
              <w:t xml:space="preserve">Campaign windows</w:t>
            </w:r>
          </w:p>
        </w:tc>
        <w:tc>
          <w:tcPr>
            <w:tcW w:w="1472" w:type="dxa"/>
            <w:shd w:val="clear" w:color="auto" w:fill="F4F7FB"/>
            <w:vAlign w:val="top"/>
          </w:tcPr>
          <w:p>
            <w:pPr>
              <w:pStyle w:val="TableText"/>
              <w:jc w:val="left"/>
            </w:pPr>
            <w:r>
              <w:t xml:space="preserve">Yes, one vendor</w:t>
            </w:r>
          </w:p>
        </w:tc>
      </w:tr>
      <w:tr>
        <w:trPr>
          <w:cantSplit/>
        </w:trPr>
        <w:tc>
          <w:tcPr>
            <w:tcW w:w="2509" w:type="dxa"/>
            <w:vAlign w:val="top"/>
          </w:tcPr>
          <w:p>
            <w:pPr>
              <w:pStyle w:val="TableText"/>
              <w:jc w:val="left"/>
            </w:pPr>
            <w:r>
              <w:t xml:space="preserve">Partners</w:t>
            </w:r>
          </w:p>
        </w:tc>
        <w:tc>
          <w:tcPr>
            <w:tcW w:w="1651" w:type="dxa"/>
            <w:vAlign w:val="top"/>
          </w:tcPr>
          <w:p>
            <w:pPr>
              <w:pStyle w:val="TableText"/>
              <w:jc w:val="left"/>
            </w:pPr>
            <w:r>
              <w:t xml:space="preserve">Partner API (scoped API keys today; OAuth 2.0 client credentials for production)</w:t>
            </w:r>
          </w:p>
        </w:tc>
        <w:tc>
          <w:tcPr>
            <w:tcW w:w="2014" w:type="dxa"/>
            <w:vAlign w:val="top"/>
          </w:tcPr>
          <w:p>
            <w:pPr>
              <w:pStyle w:val="TableText"/>
              <w:jc w:val="left"/>
            </w:pPr>
            <w:r>
              <w:t xml:space="preserve">Quotes, binds, statements</w:t>
            </w:r>
          </w:p>
        </w:tc>
        <w:tc>
          <w:tcPr>
            <w:tcW w:w="1381" w:type="dxa"/>
            <w:vAlign w:val="top"/>
          </w:tcPr>
          <w:p>
            <w:pPr>
              <w:pStyle w:val="TableText"/>
              <w:jc w:val="left"/>
            </w:pPr>
            <w:r>
              <w:t xml:space="preserve">Real time</w:t>
            </w:r>
          </w:p>
        </w:tc>
        <w:tc>
          <w:tcPr>
            <w:tcW w:w="1472" w:type="dxa"/>
            <w:vAlign w:val="top"/>
          </w:tcPr>
          <w:p>
            <w:pPr>
              <w:pStyle w:val="TableText"/>
              <w:jc w:val="left"/>
            </w:pPr>
            <w:r>
              <w:t xml:space="preserve">Yes, one partner</w:t>
            </w:r>
          </w:p>
        </w:tc>
      </w:tr>
      <w:tr>
        <w:trPr>
          <w:cantSplit/>
        </w:trPr>
        <w:tc>
          <w:tcPr>
            <w:tcW w:w="2509" w:type="dxa"/>
            <w:shd w:val="clear" w:color="auto" w:fill="F4F7FB"/>
            <w:vAlign w:val="top"/>
          </w:tcPr>
          <w:p>
            <w:pPr>
              <w:pStyle w:val="TableText"/>
              <w:jc w:val="left"/>
            </w:pPr>
            <w:r>
              <w:t xml:space="preserve">Tasco360 partner app</w:t>
            </w:r>
          </w:p>
        </w:tc>
        <w:tc>
          <w:tcPr>
            <w:tcW w:w="1651" w:type="dxa"/>
            <w:shd w:val="clear" w:color="auto" w:fill="F4F7FB"/>
            <w:vAlign w:val="top"/>
          </w:tcPr>
          <w:p>
            <w:pPr>
              <w:pStyle w:val="TableText"/>
              <w:jc w:val="left"/>
            </w:pPr>
            <w:r>
              <w:t xml:space="preserve">Partner API</w:t>
            </w:r>
          </w:p>
        </w:tc>
        <w:tc>
          <w:tcPr>
            <w:tcW w:w="2014" w:type="dxa"/>
            <w:shd w:val="clear" w:color="auto" w:fill="F4F7FB"/>
            <w:vAlign w:val="top"/>
          </w:tcPr>
          <w:p>
            <w:pPr>
              <w:pStyle w:val="TableText"/>
              <w:jc w:val="left"/>
            </w:pPr>
            <w:r>
              <w:t xml:space="preserve">Quotes by plate, binds, statements</w:t>
            </w:r>
          </w:p>
        </w:tc>
        <w:tc>
          <w:tcPr>
            <w:tcW w:w="1381" w:type="dxa"/>
            <w:shd w:val="clear" w:color="auto" w:fill="F4F7FB"/>
            <w:vAlign w:val="top"/>
          </w:tcPr>
          <w:p>
            <w:pPr>
              <w:pStyle w:val="TableText"/>
              <w:jc w:val="left"/>
            </w:pPr>
            <w:r>
              <w:t xml:space="preserve">Real time</w:t>
            </w:r>
          </w:p>
        </w:tc>
        <w:tc>
          <w:tcPr>
            <w:tcW w:w="1472" w:type="dxa"/>
            <w:shd w:val="clear" w:color="auto" w:fill="F4F7FB"/>
            <w:vAlign w:val="top"/>
          </w:tcPr>
          <w:p>
            <w:pPr>
              <w:pStyle w:val="TableText"/>
              <w:jc w:val="left"/>
            </w:pPr>
            <w:r>
              <w:t xml:space="preserve">Candidate first partner, confirmed in discovery</w:t>
            </w:r>
          </w:p>
        </w:tc>
      </w:tr>
      <w:tr>
        <w:trPr>
          <w:cantSplit/>
        </w:trPr>
        <w:tc>
          <w:tcPr>
            <w:tcW w:w="2509" w:type="dxa"/>
            <w:vAlign w:val="top"/>
          </w:tcPr>
          <w:p>
            <w:pPr>
              <w:pStyle w:val="TableText"/>
              <w:jc w:val="left"/>
            </w:pPr>
            <w:r>
              <w:t xml:space="preserve">TASCO e-commerce site (e.baohiemtasco.vn)</w:t>
            </w:r>
          </w:p>
        </w:tc>
        <w:tc>
          <w:tcPr>
            <w:tcW w:w="1651" w:type="dxa"/>
            <w:vAlign w:val="top"/>
          </w:tcPr>
          <w:p>
            <w:pPr>
              <w:pStyle w:val="TableText"/>
              <w:jc w:val="left"/>
            </w:pPr>
            <w:r>
              <w:t xml:space="preserve">Shared TASCO core; optional lead feed</w:t>
            </w:r>
          </w:p>
        </w:tc>
        <w:tc>
          <w:tcPr>
            <w:tcW w:w="2014" w:type="dxa"/>
            <w:vAlign w:val="top"/>
          </w:tcPr>
          <w:p>
            <w:pPr>
              <w:pStyle w:val="TableText"/>
              <w:jc w:val="left"/>
            </w:pPr>
            <w:r>
              <w:t xml:space="preserve">Same rating and products; abandoned enquiries with consent</w:t>
            </w:r>
          </w:p>
        </w:tc>
        <w:tc>
          <w:tcPr>
            <w:tcW w:w="1381" w:type="dxa"/>
            <w:vAlign w:val="top"/>
          </w:tcPr>
          <w:p>
            <w:pPr>
              <w:pStyle w:val="TableText"/>
              <w:jc w:val="left"/>
            </w:pPr>
            <w:r>
              <w:t xml:space="preserve">Daily or near real time</w:t>
            </w:r>
          </w:p>
        </w:tc>
        <w:tc>
          <w:tcPr>
            <w:tcW w:w="1472" w:type="dxa"/>
            <w:vAlign w:val="top"/>
          </w:tcPr>
          <w:p>
            <w:pPr>
              <w:pStyle w:val="TableText"/>
              <w:jc w:val="left"/>
            </w:pPr>
            <w:r>
              <w:t xml:space="preserve">Scale phase, to be agreed</w:t>
            </w:r>
          </w:p>
        </w:tc>
      </w:tr>
      <w:tr>
        <w:trPr>
          <w:cantSplit/>
        </w:trPr>
        <w:tc>
          <w:tcPr>
            <w:tcW w:w="2509" w:type="dxa"/>
            <w:shd w:val="clear" w:color="auto" w:fill="F4F7FB"/>
            <w:vAlign w:val="top"/>
          </w:tcPr>
          <w:p>
            <w:pPr>
              <w:pStyle w:val="TableText"/>
              <w:jc w:val="left"/>
            </w:pPr>
            <w:r>
              <w:t xml:space="preserve">TASCO data warehouse</w:t>
            </w:r>
          </w:p>
        </w:tc>
        <w:tc>
          <w:tcPr>
            <w:tcW w:w="1651" w:type="dxa"/>
            <w:shd w:val="clear" w:color="auto" w:fill="F4F7FB"/>
            <w:vAlign w:val="top"/>
          </w:tcPr>
          <w:p>
            <w:pPr>
              <w:pStyle w:val="TableText"/>
              <w:jc w:val="left"/>
            </w:pPr>
            <w:r>
              <w:t xml:space="preserve">Daily export</w:t>
            </w:r>
          </w:p>
        </w:tc>
        <w:tc>
          <w:tcPr>
            <w:tcW w:w="2014" w:type="dxa"/>
            <w:shd w:val="clear" w:color="auto" w:fill="F4F7FB"/>
            <w:vAlign w:val="top"/>
          </w:tcPr>
          <w:p>
            <w:pPr>
              <w:pStyle w:val="TableText"/>
              <w:jc w:val="left"/>
            </w:pPr>
            <w:r>
              <w:t xml:space="preserve">Leads, journeys, sales, outcomes (pseudonymised where possible)</w:t>
            </w:r>
          </w:p>
        </w:tc>
        <w:tc>
          <w:tcPr>
            <w:tcW w:w="1381" w:type="dxa"/>
            <w:shd w:val="clear" w:color="auto" w:fill="F4F7FB"/>
            <w:vAlign w:val="top"/>
          </w:tcPr>
          <w:p>
            <w:pPr>
              <w:pStyle w:val="TableText"/>
              <w:jc w:val="left"/>
            </w:pPr>
            <w:r>
              <w:t xml:space="preserve">Daily</w:t>
            </w:r>
          </w:p>
        </w:tc>
        <w:tc>
          <w:tcPr>
            <w:tcW w:w="1472" w:type="dxa"/>
            <w:shd w:val="clear" w:color="auto" w:fill="F4F7FB"/>
            <w:vAlign w:val="top"/>
          </w:tcPr>
          <w:p>
            <w:pPr>
              <w:pStyle w:val="TableText"/>
              <w:jc w:val="left"/>
            </w:pPr>
            <w:r>
              <w:t xml:space="preserve">Scale phase</w:t>
            </w:r>
          </w:p>
        </w:tc>
      </w:tr>
    </w:tbl>
    <w:p>
      <w:pPr>
        <w:pStyle w:val="Heading2"/>
      </w:pPr>
      <w:bookmarkStart w:id="47" w:name="_Toc300000043"/>
      <w:r>
        <w:t xml:space="preserve">Reuse of existing assets</w:t>
      </w:r>
      <w:bookmarkEnd w:id="47"/>
    </w:p>
    <w:p>
      <w:pPr>
        <w:pStyle w:val="FirstParagraph"/>
      </w:pPr>
      <w:r>
        <w:t xml:space="preserve">TASCO and VETC have already invested in a core system, apps, a website, a Zalo Official Account, a wallet and a contact centre. The platform is designed to reuse all of them. What we add is the data, decision and journey layer that connects them, plus one set of customer services that any of these front doors can call.</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514"/>
        <w:gridCol w:w="850"/>
        <w:gridCol w:w="2111"/>
        <w:gridCol w:w="2181"/>
        <w:gridCol w:w="1371"/>
      </w:tblGrid>
      <w:tr>
        <w:trPr>
          <w:cantSplit/>
          <w:tblHeader/>
        </w:trPr>
        <w:tc>
          <w:tcPr>
            <w:tcW w:w="2514" w:type="dxa"/>
            <w:shd w:val="clear" w:color="auto" w:fill="0F4761"/>
            <w:vAlign w:val="center"/>
          </w:tcPr>
          <w:p>
            <w:pPr>
              <w:pStyle w:val="TableHeading"/>
              <w:jc w:val="left"/>
            </w:pPr>
            <w:r>
              <w:rPr>
                <w:color w:val="FFFFFF"/>
              </w:rPr>
              <w:t xml:space="preserve">Existing asset</w:t>
            </w:r>
          </w:p>
        </w:tc>
        <w:tc>
          <w:tcPr>
            <w:tcW w:w="850" w:type="dxa"/>
            <w:shd w:val="clear" w:color="auto" w:fill="0F4761"/>
            <w:vAlign w:val="center"/>
          </w:tcPr>
          <w:p>
            <w:pPr>
              <w:pStyle w:val="TableHeading"/>
              <w:jc w:val="left"/>
            </w:pPr>
            <w:r>
              <w:rPr>
                <w:color w:val="FFFFFF"/>
              </w:rPr>
              <w:t xml:space="preserve">Owner</w:t>
            </w:r>
          </w:p>
        </w:tc>
        <w:tc>
          <w:tcPr>
            <w:tcW w:w="2111" w:type="dxa"/>
            <w:shd w:val="clear" w:color="auto" w:fill="0F4761"/>
            <w:vAlign w:val="center"/>
          </w:tcPr>
          <w:p>
            <w:pPr>
              <w:pStyle w:val="TableHeading"/>
              <w:jc w:val="left"/>
            </w:pPr>
            <w:r>
              <w:rPr>
                <w:color w:val="FFFFFF"/>
              </w:rPr>
              <w:t xml:space="preserve">What the platform reuses</w:t>
            </w:r>
          </w:p>
        </w:tc>
        <w:tc>
          <w:tcPr>
            <w:tcW w:w="2181" w:type="dxa"/>
            <w:shd w:val="clear" w:color="auto" w:fill="0F4761"/>
            <w:vAlign w:val="center"/>
          </w:tcPr>
          <w:p>
            <w:pPr>
              <w:pStyle w:val="TableHeading"/>
              <w:jc w:val="left"/>
            </w:pPr>
            <w:r>
              <w:rPr>
                <w:color w:val="FFFFFF"/>
              </w:rPr>
              <w:t xml:space="preserve">How it connects</w:t>
            </w:r>
          </w:p>
        </w:tc>
        <w:tc>
          <w:tcPr>
            <w:tcW w:w="1371" w:type="dxa"/>
            <w:shd w:val="clear" w:color="auto" w:fill="0F4761"/>
            <w:vAlign w:val="center"/>
          </w:tcPr>
          <w:p>
            <w:pPr>
              <w:pStyle w:val="TableHeading"/>
              <w:jc w:val="left"/>
            </w:pPr>
            <w:r>
              <w:rPr>
                <w:color w:val="FFFFFF"/>
              </w:rPr>
              <w:t xml:space="preserve">MVP</w:t>
            </w:r>
          </w:p>
        </w:tc>
      </w:tr>
      <w:tr>
        <w:trPr>
          <w:cantSplit/>
        </w:trPr>
        <w:tc>
          <w:tcPr>
            <w:tcW w:w="2514" w:type="dxa"/>
            <w:vAlign w:val="top"/>
          </w:tcPr>
          <w:p>
            <w:pPr>
              <w:pStyle w:val="TableText"/>
              <w:jc w:val="left"/>
            </w:pPr>
            <w:r>
              <w:t xml:space="preserve">Core system</w:t>
            </w:r>
          </w:p>
        </w:tc>
        <w:tc>
          <w:tcPr>
            <w:tcW w:w="850" w:type="dxa"/>
            <w:vAlign w:val="top"/>
          </w:tcPr>
          <w:p>
            <w:pPr>
              <w:pStyle w:val="TableText"/>
              <w:jc w:val="left"/>
            </w:pPr>
            <w:r>
              <w:t xml:space="preserve">TASCO</w:t>
            </w:r>
          </w:p>
        </w:tc>
        <w:tc>
          <w:tcPr>
            <w:tcW w:w="2111" w:type="dxa"/>
            <w:vAlign w:val="top"/>
          </w:tcPr>
          <w:p>
            <w:pPr>
              <w:pStyle w:val="TableText"/>
              <w:jc w:val="left"/>
            </w:pPr>
            <w:r>
              <w:t xml:space="preserve">Products, tariffs, rating, policy issuance, e-certificates, claims</w:t>
            </w:r>
          </w:p>
        </w:tc>
        <w:tc>
          <w:tcPr>
            <w:tcW w:w="2181" w:type="dxa"/>
            <w:vAlign w:val="top"/>
          </w:tcPr>
          <w:p>
            <w:pPr>
              <w:pStyle w:val="TableText"/>
              <w:jc w:val="left"/>
            </w:pPr>
            <w:r>
              <w:t xml:space="preserve">Catalogue sync, live rating, bind and issue, daily policy extract; claims by staff queue first</w:t>
            </w:r>
          </w:p>
        </w:tc>
        <w:tc>
          <w:tcPr>
            <w:tcW w:w="1371" w:type="dxa"/>
            <w:vAlign w:val="top"/>
          </w:tcPr>
          <w:p>
            <w:pPr>
              <w:pStyle w:val="TableText"/>
              <w:jc w:val="left"/>
            </w:pPr>
            <w:r>
              <w:t xml:space="preserve">Yes</w:t>
            </w:r>
          </w:p>
        </w:tc>
      </w:tr>
      <w:tr>
        <w:trPr>
          <w:cantSplit/>
        </w:trPr>
        <w:tc>
          <w:tcPr>
            <w:tcW w:w="2514" w:type="dxa"/>
            <w:shd w:val="clear" w:color="auto" w:fill="F4F7FB"/>
            <w:vAlign w:val="top"/>
          </w:tcPr>
          <w:p>
            <w:pPr>
              <w:pStyle w:val="TableText"/>
              <w:jc w:val="left"/>
            </w:pPr>
            <w:r>
              <w:t xml:space="preserve">Customer app and website (e.baohiemtasco.vn)</w:t>
            </w:r>
          </w:p>
        </w:tc>
        <w:tc>
          <w:tcPr>
            <w:tcW w:w="850" w:type="dxa"/>
            <w:shd w:val="clear" w:color="auto" w:fill="F4F7FB"/>
            <w:vAlign w:val="top"/>
          </w:tcPr>
          <w:p>
            <w:pPr>
              <w:pStyle w:val="TableText"/>
              <w:jc w:val="left"/>
            </w:pPr>
            <w:r>
              <w:t xml:space="preserve">TASCO</w:t>
            </w:r>
          </w:p>
        </w:tc>
        <w:tc>
          <w:tcPr>
            <w:tcW w:w="2111" w:type="dxa"/>
            <w:shd w:val="clear" w:color="auto" w:fill="F4F7FB"/>
            <w:vAlign w:val="top"/>
          </w:tcPr>
          <w:p>
            <w:pPr>
              <w:pStyle w:val="TableText"/>
              <w:jc w:val="left"/>
            </w:pPr>
            <w:r>
              <w:t xml:space="preserve">Customer accounts, brand, online payment gateway</w:t>
            </w:r>
          </w:p>
        </w:tc>
        <w:tc>
          <w:tcPr>
            <w:tcW w:w="2181" w:type="dxa"/>
            <w:shd w:val="clear" w:color="auto" w:fill="F4F7FB"/>
            <w:vAlign w:val="top"/>
          </w:tcPr>
          <w:p>
            <w:pPr>
              <w:pStyle w:val="TableText"/>
              <w:jc w:val="left"/>
            </w:pPr>
            <w:r>
              <w:t xml:space="preserve">The same renewal and purchase journeys, opened as a web view or called through the customer API; payment through TASCO’s own gateway; sales recorded against the TASCO channel</w:t>
            </w:r>
          </w:p>
        </w:tc>
        <w:tc>
          <w:tcPr>
            <w:tcW w:w="1371" w:type="dxa"/>
            <w:shd w:val="clear" w:color="auto" w:fill="F4F7FB"/>
            <w:vAlign w:val="top"/>
          </w:tcPr>
          <w:p>
            <w:pPr>
              <w:pStyle w:val="TableText"/>
              <w:jc w:val="left"/>
            </w:pPr>
            <w:r>
              <w:t xml:space="preserve">Supported by the platform; go-live with TASCO’s release plan</w:t>
            </w:r>
          </w:p>
        </w:tc>
      </w:tr>
      <w:tr>
        <w:trPr>
          <w:cantSplit/>
        </w:trPr>
        <w:tc>
          <w:tcPr>
            <w:tcW w:w="2514" w:type="dxa"/>
            <w:vAlign w:val="top"/>
          </w:tcPr>
          <w:p>
            <w:pPr>
              <w:pStyle w:val="TableText"/>
              <w:jc w:val="left"/>
            </w:pPr>
            <w:r>
              <w:t xml:space="preserve">Tasco360</w:t>
            </w:r>
          </w:p>
        </w:tc>
        <w:tc>
          <w:tcPr>
            <w:tcW w:w="850" w:type="dxa"/>
            <w:vAlign w:val="top"/>
          </w:tcPr>
          <w:p>
            <w:pPr>
              <w:pStyle w:val="TableText"/>
              <w:jc w:val="left"/>
            </w:pPr>
            <w:r>
              <w:t xml:space="preserve">TASCO</w:t>
            </w:r>
          </w:p>
        </w:tc>
        <w:tc>
          <w:tcPr>
            <w:tcW w:w="2111" w:type="dxa"/>
            <w:vAlign w:val="top"/>
          </w:tcPr>
          <w:p>
            <w:pPr>
              <w:pStyle w:val="TableText"/>
              <w:jc w:val="left"/>
            </w:pPr>
            <w:r>
              <w:t xml:space="preserve">The app partners and agents already use</w:t>
            </w:r>
          </w:p>
        </w:tc>
        <w:tc>
          <w:tcPr>
            <w:tcW w:w="2181" w:type="dxa"/>
            <w:vAlign w:val="top"/>
          </w:tcPr>
          <w:p>
            <w:pPr>
              <w:pStyle w:val="TableText"/>
              <w:jc w:val="left"/>
            </w:pPr>
            <w:r>
              <w:t xml:space="preserve">Partner API: quote by plate, bind, statements</w:t>
            </w:r>
          </w:p>
        </w:tc>
        <w:tc>
          <w:tcPr>
            <w:tcW w:w="1371" w:type="dxa"/>
            <w:vAlign w:val="top"/>
          </w:tcPr>
          <w:p>
            <w:pPr>
              <w:pStyle w:val="TableText"/>
              <w:jc w:val="left"/>
            </w:pPr>
            <w:r>
              <w:t xml:space="preserve">Candidate first partner</w:t>
            </w:r>
          </w:p>
        </w:tc>
      </w:tr>
      <w:tr>
        <w:trPr>
          <w:cantSplit/>
        </w:trPr>
        <w:tc>
          <w:tcPr>
            <w:tcW w:w="2514" w:type="dxa"/>
            <w:shd w:val="clear" w:color="auto" w:fill="F4F7FB"/>
            <w:vAlign w:val="top"/>
          </w:tcPr>
          <w:p>
            <w:pPr>
              <w:pStyle w:val="TableText"/>
              <w:jc w:val="left"/>
            </w:pPr>
            <w:r>
              <w:t xml:space="preserve">Zalo Official Account</w:t>
            </w:r>
          </w:p>
        </w:tc>
        <w:tc>
          <w:tcPr>
            <w:tcW w:w="850" w:type="dxa"/>
            <w:shd w:val="clear" w:color="auto" w:fill="F4F7FB"/>
            <w:vAlign w:val="top"/>
          </w:tcPr>
          <w:p>
            <w:pPr>
              <w:pStyle w:val="TableText"/>
              <w:jc w:val="left"/>
            </w:pPr>
            <w:r>
              <w:t xml:space="preserve">TASCO</w:t>
            </w:r>
          </w:p>
        </w:tc>
        <w:tc>
          <w:tcPr>
            <w:tcW w:w="2111" w:type="dxa"/>
            <w:shd w:val="clear" w:color="auto" w:fill="F4F7FB"/>
            <w:vAlign w:val="top"/>
          </w:tcPr>
          <w:p>
            <w:pPr>
              <w:pStyle w:val="TableText"/>
              <w:jc w:val="left"/>
            </w:pPr>
            <w:r>
              <w:t xml:space="preserve">Followers, approved ZNS templates, chat</w:t>
            </w:r>
          </w:p>
        </w:tc>
        <w:tc>
          <w:tcPr>
            <w:tcW w:w="2181" w:type="dxa"/>
            <w:shd w:val="clear" w:color="auto" w:fill="F4F7FB"/>
            <w:vAlign w:val="top"/>
          </w:tcPr>
          <w:p>
            <w:pPr>
              <w:pStyle w:val="TableText"/>
              <w:jc w:val="left"/>
            </w:pPr>
            <w:r>
              <w:t xml:space="preserve">ZNS reminders and service messages; OA chat linked from the app; the same journeys as a Zalo Mini App later</w:t>
            </w:r>
          </w:p>
        </w:tc>
        <w:tc>
          <w:tcPr>
            <w:tcW w:w="1371" w:type="dxa"/>
            <w:shd w:val="clear" w:color="auto" w:fill="F4F7FB"/>
            <w:vAlign w:val="top"/>
          </w:tcPr>
          <w:p>
            <w:pPr>
              <w:pStyle w:val="TableText"/>
              <w:jc w:val="left"/>
            </w:pPr>
            <w:r>
              <w:t xml:space="preserve">ZNS yes; Mini App in the scale phase</w:t>
            </w:r>
          </w:p>
        </w:tc>
      </w:tr>
      <w:tr>
        <w:trPr>
          <w:cantSplit/>
        </w:trPr>
        <w:tc>
          <w:tcPr>
            <w:tcW w:w="2514" w:type="dxa"/>
            <w:vAlign w:val="top"/>
          </w:tcPr>
          <w:p>
            <w:pPr>
              <w:pStyle w:val="TableText"/>
              <w:jc w:val="left"/>
            </w:pPr>
            <w:r>
              <w:t xml:space="preserve">Hotline 1900 1562 and contact centre</w:t>
            </w:r>
          </w:p>
        </w:tc>
        <w:tc>
          <w:tcPr>
            <w:tcW w:w="850" w:type="dxa"/>
            <w:vAlign w:val="top"/>
          </w:tcPr>
          <w:p>
            <w:pPr>
              <w:pStyle w:val="TableText"/>
              <w:jc w:val="left"/>
            </w:pPr>
            <w:r>
              <w:t xml:space="preserve">TASCO</w:t>
            </w:r>
          </w:p>
        </w:tc>
        <w:tc>
          <w:tcPr>
            <w:tcW w:w="2111" w:type="dxa"/>
            <w:vAlign w:val="top"/>
          </w:tcPr>
          <w:p>
            <w:pPr>
              <w:pStyle w:val="TableText"/>
              <w:jc w:val="left"/>
            </w:pPr>
            <w:r>
              <w:t xml:space="preserve">Agents, caller identity customers recognise</w:t>
            </w:r>
          </w:p>
        </w:tc>
        <w:tc>
          <w:tcPr>
            <w:tcW w:w="2181" w:type="dxa"/>
            <w:vAlign w:val="top"/>
          </w:tcPr>
          <w:p>
            <w:pPr>
              <w:pStyle w:val="TableText"/>
              <w:jc w:val="left"/>
            </w:pPr>
            <w:r>
              <w:t xml:space="preserve">Telesales inbox and handoffs; outbound calls from a registered TASCO number</w:t>
            </w:r>
          </w:p>
        </w:tc>
        <w:tc>
          <w:tcPr>
            <w:tcW w:w="1371" w:type="dxa"/>
            <w:vAlign w:val="top"/>
          </w:tcPr>
          <w:p>
            <w:pPr>
              <w:pStyle w:val="TableText"/>
              <w:jc w:val="left"/>
            </w:pPr>
            <w:r>
              <w:t xml:space="preserve">Yes</w:t>
            </w:r>
          </w:p>
        </w:tc>
      </w:tr>
      <w:tr>
        <w:trPr>
          <w:cantSplit/>
        </w:trPr>
        <w:tc>
          <w:tcPr>
            <w:tcW w:w="2514" w:type="dxa"/>
            <w:shd w:val="clear" w:color="auto" w:fill="F4F7FB"/>
            <w:vAlign w:val="top"/>
          </w:tcPr>
          <w:p>
            <w:pPr>
              <w:pStyle w:val="TableText"/>
              <w:jc w:val="left"/>
            </w:pPr>
            <w:r>
              <w:t xml:space="preserve">VETC app</w:t>
            </w:r>
          </w:p>
        </w:tc>
        <w:tc>
          <w:tcPr>
            <w:tcW w:w="850" w:type="dxa"/>
            <w:shd w:val="clear" w:color="auto" w:fill="F4F7FB"/>
            <w:vAlign w:val="top"/>
          </w:tcPr>
          <w:p>
            <w:pPr>
              <w:pStyle w:val="TableText"/>
              <w:jc w:val="left"/>
            </w:pPr>
            <w:r>
              <w:t xml:space="preserve">VETC</w:t>
            </w:r>
          </w:p>
        </w:tc>
        <w:tc>
          <w:tcPr>
            <w:tcW w:w="2111" w:type="dxa"/>
            <w:shd w:val="clear" w:color="auto" w:fill="F4F7FB"/>
            <w:vAlign w:val="top"/>
          </w:tcPr>
          <w:p>
            <w:pPr>
              <w:pStyle w:val="TableText"/>
              <w:jc w:val="left"/>
            </w:pPr>
            <w:r>
              <w:t xml:space="preserve">Reach to about 6 million drivers, push</w:t>
            </w:r>
          </w:p>
        </w:tc>
        <w:tc>
          <w:tcPr>
            <w:tcW w:w="2181" w:type="dxa"/>
            <w:shd w:val="clear" w:color="auto" w:fill="F4F7FB"/>
            <w:vAlign w:val="top"/>
          </w:tcPr>
          <w:p>
            <w:pPr>
              <w:pStyle w:val="TableText"/>
              <w:jc w:val="left"/>
            </w:pPr>
            <w:r>
              <w:t xml:space="preserve">Web view with signed links; push for reminders; single sign-on later</w:t>
            </w:r>
          </w:p>
        </w:tc>
        <w:tc>
          <w:tcPr>
            <w:tcW w:w="1371" w:type="dxa"/>
            <w:shd w:val="clear" w:color="auto" w:fill="F4F7FB"/>
            <w:vAlign w:val="top"/>
          </w:tcPr>
          <w:p>
            <w:pPr>
              <w:pStyle w:val="TableText"/>
              <w:jc w:val="left"/>
            </w:pPr>
            <w:r>
              <w:t xml:space="preserve">Yes</w:t>
            </w:r>
          </w:p>
        </w:tc>
      </w:tr>
      <w:tr>
        <w:trPr>
          <w:cantSplit/>
        </w:trPr>
        <w:tc>
          <w:tcPr>
            <w:tcW w:w="2514" w:type="dxa"/>
            <w:vAlign w:val="top"/>
          </w:tcPr>
          <w:p>
            <w:pPr>
              <w:pStyle w:val="TableText"/>
              <w:jc w:val="left"/>
            </w:pPr>
            <w:r>
              <w:t xml:space="preserve">VETC wallet</w:t>
            </w:r>
          </w:p>
        </w:tc>
        <w:tc>
          <w:tcPr>
            <w:tcW w:w="850" w:type="dxa"/>
            <w:vAlign w:val="top"/>
          </w:tcPr>
          <w:p>
            <w:pPr>
              <w:pStyle w:val="TableText"/>
              <w:jc w:val="left"/>
            </w:pPr>
            <w:r>
              <w:t xml:space="preserve">VETC</w:t>
            </w:r>
          </w:p>
        </w:tc>
        <w:tc>
          <w:tcPr>
            <w:tcW w:w="2111" w:type="dxa"/>
            <w:vAlign w:val="top"/>
          </w:tcPr>
          <w:p>
            <w:pPr>
              <w:pStyle w:val="TableText"/>
              <w:jc w:val="left"/>
            </w:pPr>
            <w:r>
              <w:t xml:space="preserve">Card-free payment</w:t>
            </w:r>
          </w:p>
        </w:tc>
        <w:tc>
          <w:tcPr>
            <w:tcW w:w="2181" w:type="dxa"/>
            <w:vAlign w:val="top"/>
          </w:tcPr>
          <w:p>
            <w:pPr>
              <w:pStyle w:val="TableText"/>
              <w:jc w:val="left"/>
            </w:pPr>
            <w:r>
              <w:t xml:space="preserve">Debit, refund and daily reconciliation</w:t>
            </w:r>
          </w:p>
        </w:tc>
        <w:tc>
          <w:tcPr>
            <w:tcW w:w="1371" w:type="dxa"/>
            <w:vAlign w:val="top"/>
          </w:tcPr>
          <w:p>
            <w:pPr>
              <w:pStyle w:val="TableText"/>
              <w:jc w:val="left"/>
            </w:pPr>
            <w:r>
              <w:t xml:space="preserve">Yes</w:t>
            </w:r>
          </w:p>
        </w:tc>
      </w:tr>
      <w:tr>
        <w:trPr>
          <w:cantSplit/>
        </w:trPr>
        <w:tc>
          <w:tcPr>
            <w:tcW w:w="2514" w:type="dxa"/>
            <w:shd w:val="clear" w:color="auto" w:fill="F4F7FB"/>
            <w:vAlign w:val="top"/>
          </w:tcPr>
          <w:p>
            <w:pPr>
              <w:pStyle w:val="TableText"/>
              <w:jc w:val="left"/>
            </w:pPr>
            <w:r>
              <w:t xml:space="preserve">VETC data and events</w:t>
            </w:r>
          </w:p>
        </w:tc>
        <w:tc>
          <w:tcPr>
            <w:tcW w:w="850" w:type="dxa"/>
            <w:shd w:val="clear" w:color="auto" w:fill="F4F7FB"/>
            <w:vAlign w:val="top"/>
          </w:tcPr>
          <w:p>
            <w:pPr>
              <w:pStyle w:val="TableText"/>
              <w:jc w:val="left"/>
            </w:pPr>
            <w:r>
              <w:t xml:space="preserve">VETC</w:t>
            </w:r>
          </w:p>
        </w:tc>
        <w:tc>
          <w:tcPr>
            <w:tcW w:w="2111" w:type="dxa"/>
            <w:shd w:val="clear" w:color="auto" w:fill="F4F7FB"/>
            <w:vAlign w:val="top"/>
          </w:tcPr>
          <w:p>
            <w:pPr>
              <w:pStyle w:val="TableText"/>
              <w:jc w:val="left"/>
            </w:pPr>
            <w:r>
              <w:t xml:space="preserve">Vehicles, owners, tag activation</w:t>
            </w:r>
          </w:p>
        </w:tc>
        <w:tc>
          <w:tcPr>
            <w:tcW w:w="2181" w:type="dxa"/>
            <w:shd w:val="clear" w:color="auto" w:fill="F4F7FB"/>
            <w:vAlign w:val="top"/>
          </w:tcPr>
          <w:p>
            <w:pPr>
              <w:pStyle w:val="TableText"/>
              <w:jc w:val="left"/>
            </w:pPr>
            <w:r>
              <w:t xml:space="preserve">Initial file, daily changes, activation events</w:t>
            </w:r>
          </w:p>
        </w:tc>
        <w:tc>
          <w:tcPr>
            <w:tcW w:w="1371" w:type="dxa"/>
            <w:shd w:val="clear" w:color="auto" w:fill="F4F7FB"/>
            <w:vAlign w:val="top"/>
          </w:tcPr>
          <w:p>
            <w:pPr>
              <w:pStyle w:val="TableText"/>
              <w:jc w:val="left"/>
            </w:pPr>
            <w:r>
              <w:t xml:space="preserve">Yes</w:t>
            </w:r>
          </w:p>
        </w:tc>
      </w:tr>
    </w:tbl>
    <w:p xmlns:a="http://schemas.openxmlformats.org/drawingml/2006/main" xmlns:pic="http://schemas.openxmlformats.org/drawingml/2006/picture">
      <w:pPr>
        <w:pStyle w:val="Figure"/>
        <w:spacing w:before="160"/>
      </w:pPr>
      <w:r>
        <w:drawing>
          <wp:inline>
            <wp:extent cx="5727700" cy="2926334"/>
            <wp:effectExtent b="0" l="0" r="0" t="0"/>
            <wp:docPr descr="One set of customer services behind every front door" title="" id="5030" name="Picture"/>
            <a:graphic>
              <a:graphicData uri="http://schemas.openxmlformats.org/drawingml/2006/picture">
                <pic:pic>
                  <pic:nvPicPr>
                    <pic:cNvPr descr="/tmp/claude-0/-home-user-TASCO/19e5534d-12b5-5956-9b60-3e77efde0f49/scratchpad/gen/.cache/mermaid/8f9c214542f4ce95.png" id="146" name="Picture"/>
                    <pic:cNvPicPr>
                      <a:picLocks noChangeArrowheads="1" noChangeAspect="1"/>
                    </pic:cNvPicPr>
                  </pic:nvPicPr>
                  <pic:blipFill>
                    <a:blip r:embed="rIdG30"/>
                    <a:stretch>
                      <a:fillRect/>
                    </a:stretch>
                  </pic:blipFill>
                  <pic:spPr bwMode="auto">
                    <a:xfrm>
                      <a:off x="0" y="0"/>
                      <a:ext cx="5727700" cy="2926334"/>
                    </a:xfrm>
                    <a:prstGeom prst="rect">
                      <a:avLst/>
                    </a:prstGeom>
                    <a:noFill/>
                    <a:ln w="9525">
                      <a:noFill/>
                      <a:headEnd/>
                      <a:tailEnd/>
                    </a:ln>
                  </pic:spPr>
                </pic:pic>
              </a:graphicData>
            </a:graphic>
          </wp:inline>
        </w:drawing>
      </w:r>
    </w:p>
    <w:p>
      <w:pPr>
        <w:pStyle w:val="Caption"/>
      </w:pPr>
      <w:r>
        <w:t xml:space="preserve">Figure 29 – One set of customer services behind every front door</w:t>
      </w:r>
    </w:p>
    <w:p>
      <w:pPr>
        <w:pStyle w:val="BodyText"/>
      </w:pPr>
      <w:r>
        <w:t xml:space="preserve">Each customer session records which front door it came from. Quotes, orders and reporting carry that channel, and the payment step uses the right method for it: the VETC wallet inside the VETC app, and TASCO’s own payment gateway inside TASCO’s app or website. Adding a new front door is a configuration and integration task, not a new build.</w:t>
      </w:r>
    </w:p>
    <w:p>
      <w:pPr>
        <w:pStyle w:val="Heading2"/>
      </w:pPr>
      <w:bookmarkStart w:id="48" w:name="_Toc300000044"/>
      <w:r>
        <w:t xml:space="preserve">Integration standards</w:t>
      </w:r>
      <w:bookmarkEnd w:id="48"/>
    </w:p>
    <w:p>
      <w:pPr>
        <w:pStyle w:val="FirstParagraph"/>
      </w:pPr>
      <w:r>
        <w:t xml:space="preserve">All synchronous calls use TLS 1.2 or higher and OAuth 2.0, with mutual TLS available where TASCO requires it. Every call has a timeout, a bounded retry and a circuit breaker, so a slow partner system cannot slow down the platform. Calls that change state carry an idempotency key. Events are published through a transactional outbox, so they are never lost and never sent twice. Every integration has a daily reconciliation report, and differences raise an alert.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9" w:name="_Toc300000045"/>
      <w:r>
        <w:rPr>
          <w:rStyle w:val="BookTitle"/>
          <w:bCs w:val="0"/>
          <w:i w:val="0"/>
          <w:iCs w:val="0"/>
          <w:spacing w:val="0"/>
        </w:rPr>
        <w:t xml:space="preserve">Deployment and infrastructure</w:t>
      </w:r>
      <w:bookmarkEnd w:id="49"/>
    </w:p>
    <w:p>
      <w:pPr>
        <w:pStyle w:val="Heading2"/>
      </w:pPr>
      <w:bookmarkStart w:id="50" w:name="_Toc300000046"/>
      <w:r>
        <w:t xml:space="preserve">Hosting</w:t>
      </w:r>
      <w:bookmarkEnd w:id="50"/>
    </w:p>
    <w:p>
      <w:pPr>
        <w:pStyle w:val="FirstParagraph"/>
      </w:pPr>
      <w:r>
        <w:t xml:space="preserve">We propose production hosting</w:t>
      </w:r>
      <w:r>
        <w:t xml:space="preserve"> </w:t>
      </w:r>
      <w:r>
        <w:rPr>
          <w:b/>
          <w:bCs/>
        </w:rPr>
        <w:t xml:space="preserve">in Vietnam</w:t>
      </w:r>
      <w:r>
        <w:t xml:space="preserve"> </w:t>
      </w:r>
      <w:r>
        <w:t xml:space="preserve">on a managed Kubernetes and managed PostgreSQL service from a local cloud provider (for example Viettel IDC, VNG Cloud or FPT Cloud), or on TASCO’s or Tasco group’s existing private cloud if preferred. The choice will be confirmed in discovery against TASCO’s data-residency position and existing contracts. The platform is containerised and portable, so it is not tied to any provider.</w:t>
      </w:r>
    </w:p>
    <w:p xmlns:a="http://schemas.openxmlformats.org/drawingml/2006/main" xmlns:pic="http://schemas.openxmlformats.org/drawingml/2006/picture">
      <w:pPr>
        <w:pStyle w:val="Figure"/>
      </w:pPr>
      <w:r>
        <w:drawing>
          <wp:inline>
            <wp:extent cx="5727700" cy="5640916"/>
            <wp:effectExtent b="0" l="0" r="0" t="0"/>
            <wp:docPr descr="Production hosting in a Vietnam region" title="" id="5031" name="Picture"/>
            <a:graphic>
              <a:graphicData uri="http://schemas.openxmlformats.org/drawingml/2006/picture">
                <pic:pic>
                  <pic:nvPicPr>
                    <pic:cNvPr descr="/tmp/claude-0/-home-user-TASCO/19e5534d-12b5-5956-9b60-3e77efde0f49/scratchpad/gen/.cache/mermaid/47bad3e4f8ff9d54.png" id="152" name="Picture"/>
                    <pic:cNvPicPr>
                      <a:picLocks noChangeArrowheads="1" noChangeAspect="1"/>
                    </pic:cNvPicPr>
                  </pic:nvPicPr>
                  <pic:blipFill>
                    <a:blip r:embed="rIdG31"/>
                    <a:stretch>
                      <a:fillRect/>
                    </a:stretch>
                  </pic:blipFill>
                  <pic:spPr bwMode="auto">
                    <a:xfrm>
                      <a:off x="0" y="0"/>
                      <a:ext cx="5727700" cy="5640916"/>
                    </a:xfrm>
                    <a:prstGeom prst="rect">
                      <a:avLst/>
                    </a:prstGeom>
                    <a:noFill/>
                    <a:ln w="9525">
                      <a:noFill/>
                      <a:headEnd/>
                      <a:tailEnd/>
                    </a:ln>
                  </pic:spPr>
                </pic:pic>
              </a:graphicData>
            </a:graphic>
          </wp:inline>
        </w:drawing>
      </w:r>
    </w:p>
    <w:p>
      <w:pPr>
        <w:pStyle w:val="Caption"/>
      </w:pPr>
      <w:r>
        <w:t xml:space="preserve">Figure 30 – Production hosting in a Vietnam region</w:t>
      </w:r>
    </w:p>
    <w:p>
      <w:pPr>
        <w:pStyle w:val="Heading2"/>
      </w:pPr>
      <w:bookmarkStart w:id="51" w:name="_Toc300000047"/>
      <w:r>
        <w:t xml:space="preserve">Environments</w:t>
      </w:r>
      <w:bookmarkEnd w:id="5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92"/>
        <w:gridCol w:w="5147"/>
        <w:gridCol w:w="1988"/>
      </w:tblGrid>
      <w:tr>
        <w:trPr>
          <w:cantSplit/>
          <w:tblHeader/>
        </w:trPr>
        <w:tc>
          <w:tcPr>
            <w:tcW w:w="1892" w:type="dxa"/>
            <w:shd w:val="clear" w:color="auto" w:fill="0F4761"/>
            <w:vAlign w:val="center"/>
          </w:tcPr>
          <w:p>
            <w:pPr>
              <w:pStyle w:val="TableHeading"/>
              <w:jc w:val="left"/>
            </w:pPr>
            <w:r>
              <w:rPr>
                <w:color w:val="FFFFFF"/>
              </w:rPr>
              <w:t xml:space="preserve">Environment</w:t>
            </w:r>
          </w:p>
        </w:tc>
        <w:tc>
          <w:tcPr>
            <w:tcW w:w="5147" w:type="dxa"/>
            <w:shd w:val="clear" w:color="auto" w:fill="0F4761"/>
            <w:vAlign w:val="center"/>
          </w:tcPr>
          <w:p>
            <w:pPr>
              <w:pStyle w:val="TableHeading"/>
              <w:jc w:val="left"/>
            </w:pPr>
            <w:r>
              <w:rPr>
                <w:color w:val="FFFFFF"/>
              </w:rPr>
              <w:t xml:space="preserve">Purpose</w:t>
            </w:r>
          </w:p>
        </w:tc>
        <w:tc>
          <w:tcPr>
            <w:tcW w:w="1988" w:type="dxa"/>
            <w:shd w:val="clear" w:color="auto" w:fill="0F4761"/>
            <w:vAlign w:val="center"/>
          </w:tcPr>
          <w:p>
            <w:pPr>
              <w:pStyle w:val="TableHeading"/>
              <w:jc w:val="left"/>
            </w:pPr>
            <w:r>
              <w:rPr>
                <w:color w:val="FFFFFF"/>
              </w:rPr>
              <w:t xml:space="preserve">Data</w:t>
            </w:r>
          </w:p>
        </w:tc>
      </w:tr>
      <w:tr>
        <w:trPr>
          <w:cantSplit/>
        </w:trPr>
        <w:tc>
          <w:tcPr>
            <w:tcW w:w="1892" w:type="dxa"/>
            <w:vAlign w:val="top"/>
          </w:tcPr>
          <w:p>
            <w:pPr>
              <w:pStyle w:val="TableText"/>
              <w:jc w:val="left"/>
            </w:pPr>
            <w:r>
              <w:t xml:space="preserve">Development</w:t>
            </w:r>
          </w:p>
        </w:tc>
        <w:tc>
          <w:tcPr>
            <w:tcW w:w="5147" w:type="dxa"/>
            <w:vAlign w:val="top"/>
          </w:tcPr>
          <w:p>
            <w:pPr>
              <w:pStyle w:val="TableText"/>
              <w:jc w:val="left"/>
            </w:pPr>
            <w:r>
              <w:t xml:space="preserve">Daily engineering</w:t>
            </w:r>
          </w:p>
        </w:tc>
        <w:tc>
          <w:tcPr>
            <w:tcW w:w="1988" w:type="dxa"/>
            <w:vAlign w:val="top"/>
          </w:tcPr>
          <w:p>
            <w:pPr>
              <w:pStyle w:val="TableText"/>
              <w:jc w:val="left"/>
            </w:pPr>
            <w:r>
              <w:t xml:space="preserve">Synthetic only</w:t>
            </w:r>
          </w:p>
        </w:tc>
      </w:tr>
      <w:tr>
        <w:trPr>
          <w:cantSplit/>
        </w:trPr>
        <w:tc>
          <w:tcPr>
            <w:tcW w:w="1892" w:type="dxa"/>
            <w:shd w:val="clear" w:color="auto" w:fill="F4F7FB"/>
            <w:vAlign w:val="top"/>
          </w:tcPr>
          <w:p>
            <w:pPr>
              <w:pStyle w:val="TableText"/>
              <w:jc w:val="left"/>
            </w:pPr>
            <w:r>
              <w:t xml:space="preserve">SIT and UAT</w:t>
            </w:r>
          </w:p>
        </w:tc>
        <w:tc>
          <w:tcPr>
            <w:tcW w:w="5147" w:type="dxa"/>
            <w:shd w:val="clear" w:color="auto" w:fill="F4F7FB"/>
            <w:vAlign w:val="top"/>
          </w:tcPr>
          <w:p>
            <w:pPr>
              <w:pStyle w:val="TableText"/>
              <w:jc w:val="left"/>
            </w:pPr>
            <w:r>
              <w:t xml:space="preserve">Integration testing with TASCO and VETC sandboxes; user acceptance</w:t>
            </w:r>
          </w:p>
        </w:tc>
        <w:tc>
          <w:tcPr>
            <w:tcW w:w="1988" w:type="dxa"/>
            <w:shd w:val="clear" w:color="auto" w:fill="F4F7FB"/>
            <w:vAlign w:val="top"/>
          </w:tcPr>
          <w:p>
            <w:pPr>
              <w:pStyle w:val="TableText"/>
              <w:jc w:val="left"/>
            </w:pPr>
            <w:r>
              <w:t xml:space="preserve">Synthetic or masked</w:t>
            </w:r>
          </w:p>
        </w:tc>
      </w:tr>
      <w:tr>
        <w:trPr>
          <w:cantSplit/>
        </w:trPr>
        <w:tc>
          <w:tcPr>
            <w:tcW w:w="1892" w:type="dxa"/>
            <w:vAlign w:val="top"/>
          </w:tcPr>
          <w:p>
            <w:pPr>
              <w:pStyle w:val="TableText"/>
              <w:jc w:val="left"/>
            </w:pPr>
            <w:r>
              <w:t xml:space="preserve">Pre-production</w:t>
            </w:r>
          </w:p>
        </w:tc>
        <w:tc>
          <w:tcPr>
            <w:tcW w:w="5147" w:type="dxa"/>
            <w:vAlign w:val="top"/>
          </w:tcPr>
          <w:p>
            <w:pPr>
              <w:pStyle w:val="TableText"/>
              <w:jc w:val="left"/>
            </w:pPr>
            <w:r>
              <w:t xml:space="preserve">Performance and security testing, release rehearsal</w:t>
            </w:r>
          </w:p>
        </w:tc>
        <w:tc>
          <w:tcPr>
            <w:tcW w:w="1988" w:type="dxa"/>
            <w:vAlign w:val="top"/>
          </w:tcPr>
          <w:p>
            <w:pPr>
              <w:pStyle w:val="TableText"/>
              <w:jc w:val="left"/>
            </w:pPr>
            <w:r>
              <w:t xml:space="preserve">Masked</w:t>
            </w:r>
          </w:p>
        </w:tc>
      </w:tr>
      <w:tr>
        <w:trPr>
          <w:cantSplit/>
        </w:trPr>
        <w:tc>
          <w:tcPr>
            <w:tcW w:w="1892" w:type="dxa"/>
            <w:shd w:val="clear" w:color="auto" w:fill="F4F7FB"/>
            <w:vAlign w:val="top"/>
          </w:tcPr>
          <w:p>
            <w:pPr>
              <w:pStyle w:val="TableText"/>
              <w:jc w:val="left"/>
            </w:pPr>
            <w:r>
              <w:t xml:space="preserve">Production</w:t>
            </w:r>
          </w:p>
        </w:tc>
        <w:tc>
          <w:tcPr>
            <w:tcW w:w="5147" w:type="dxa"/>
            <w:shd w:val="clear" w:color="auto" w:fill="F4F7FB"/>
            <w:vAlign w:val="top"/>
          </w:tcPr>
          <w:p>
            <w:pPr>
              <w:pStyle w:val="TableText"/>
              <w:jc w:val="left"/>
            </w:pPr>
            <w:r>
              <w:t xml:space="preserve">Live service</w:t>
            </w:r>
          </w:p>
        </w:tc>
        <w:tc>
          <w:tcPr>
            <w:tcW w:w="1988" w:type="dxa"/>
            <w:shd w:val="clear" w:color="auto" w:fill="F4F7FB"/>
            <w:vAlign w:val="top"/>
          </w:tcPr>
          <w:p>
            <w:pPr>
              <w:pStyle w:val="TableText"/>
              <w:jc w:val="left"/>
            </w:pPr>
            <w:r>
              <w:t xml:space="preserve">Real, encrypted</w:t>
            </w:r>
          </w:p>
        </w:tc>
      </w:tr>
    </w:tbl>
    <w:p>
      <w:pPr>
        <w:pStyle w:val="BodyText"/>
        <w:spacing w:before="160"/>
      </w:pPr>
      <w:r>
        <w:t xml:space="preserve">Releases move through a CI/CD pipeline that runs lint, all automated tests, coverage gates, dependency and secret scanning, container scanning, static analysis and a dynamic security scan before deployment. Database changes are versioned migrations applied automatically before each release.</w:t>
      </w:r>
    </w:p>
    <w:p>
      <w:pPr>
        <w:pStyle w:val="Heading2"/>
      </w:pPr>
      <w:bookmarkStart w:id="52" w:name="_Toc300000048"/>
      <w:r>
        <w:t xml:space="preserve">Resilience and recovery</w:t>
      </w:r>
      <w:bookmarkEnd w:id="5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196"/>
        <w:gridCol w:w="5831"/>
      </w:tblGrid>
      <w:tr>
        <w:trPr>
          <w:cantSplit/>
          <w:tblHeader/>
        </w:trPr>
        <w:tc>
          <w:tcPr>
            <w:tcW w:w="3196" w:type="dxa"/>
            <w:shd w:val="clear" w:color="auto" w:fill="0F4761"/>
            <w:vAlign w:val="center"/>
          </w:tcPr>
          <w:p>
            <w:pPr>
              <w:pStyle w:val="TableHeading"/>
              <w:jc w:val="left"/>
            </w:pPr>
            <w:r>
              <w:rPr>
                <w:color w:val="FFFFFF"/>
              </w:rPr>
              <w:t xml:space="preserve">Measure</w:t>
            </w:r>
          </w:p>
        </w:tc>
        <w:tc>
          <w:tcPr>
            <w:tcW w:w="5831" w:type="dxa"/>
            <w:shd w:val="clear" w:color="auto" w:fill="0F4761"/>
            <w:vAlign w:val="center"/>
          </w:tcPr>
          <w:p>
            <w:pPr>
              <w:pStyle w:val="TableHeading"/>
              <w:jc w:val="left"/>
            </w:pPr>
            <w:r>
              <w:rPr>
                <w:color w:val="FFFFFF"/>
              </w:rPr>
              <w:t xml:space="preserve">Target</w:t>
            </w:r>
          </w:p>
        </w:tc>
      </w:tr>
      <w:tr>
        <w:trPr>
          <w:cantSplit/>
        </w:trPr>
        <w:tc>
          <w:tcPr>
            <w:tcW w:w="3196" w:type="dxa"/>
            <w:vAlign w:val="top"/>
          </w:tcPr>
          <w:p>
            <w:pPr>
              <w:pStyle w:val="TableText"/>
              <w:jc w:val="left"/>
            </w:pPr>
            <w:r>
              <w:t xml:space="preserve">Availability of customer purchase path</w:t>
            </w:r>
          </w:p>
        </w:tc>
        <w:tc>
          <w:tcPr>
            <w:tcW w:w="5831" w:type="dxa"/>
            <w:vAlign w:val="top"/>
          </w:tcPr>
          <w:p>
            <w:pPr>
              <w:pStyle w:val="TableText"/>
              <w:jc w:val="left"/>
            </w:pPr>
            <w:r>
              <w:t xml:space="preserve">99.9% monthly</w:t>
            </w:r>
          </w:p>
        </w:tc>
      </w:tr>
      <w:tr>
        <w:trPr>
          <w:cantSplit/>
        </w:trPr>
        <w:tc>
          <w:tcPr>
            <w:tcW w:w="3196" w:type="dxa"/>
            <w:shd w:val="clear" w:color="auto" w:fill="F4F7FB"/>
            <w:vAlign w:val="top"/>
          </w:tcPr>
          <w:p>
            <w:pPr>
              <w:pStyle w:val="TableText"/>
              <w:jc w:val="left"/>
            </w:pPr>
            <w:r>
              <w:t xml:space="preserve">Recovery point objective</w:t>
            </w:r>
          </w:p>
        </w:tc>
        <w:tc>
          <w:tcPr>
            <w:tcW w:w="5831" w:type="dxa"/>
            <w:shd w:val="clear" w:color="auto" w:fill="F4F7FB"/>
            <w:vAlign w:val="top"/>
          </w:tcPr>
          <w:p>
            <w:pPr>
              <w:pStyle w:val="TableText"/>
              <w:jc w:val="left"/>
            </w:pPr>
            <w:r>
              <w:t xml:space="preserve">15 minutes or less</w:t>
            </w:r>
          </w:p>
        </w:tc>
      </w:tr>
      <w:tr>
        <w:trPr>
          <w:cantSplit/>
        </w:trPr>
        <w:tc>
          <w:tcPr>
            <w:tcW w:w="3196" w:type="dxa"/>
            <w:vAlign w:val="top"/>
          </w:tcPr>
          <w:p>
            <w:pPr>
              <w:pStyle w:val="TableText"/>
              <w:jc w:val="left"/>
            </w:pPr>
            <w:r>
              <w:t xml:space="preserve">Recovery time objective</w:t>
            </w:r>
          </w:p>
        </w:tc>
        <w:tc>
          <w:tcPr>
            <w:tcW w:w="5831" w:type="dxa"/>
            <w:vAlign w:val="top"/>
          </w:tcPr>
          <w:p>
            <w:pPr>
              <w:pStyle w:val="TableText"/>
              <w:jc w:val="left"/>
            </w:pPr>
            <w:r>
              <w:t xml:space="preserve">4 hours or less</w:t>
            </w:r>
          </w:p>
        </w:tc>
      </w:tr>
      <w:tr>
        <w:trPr>
          <w:cantSplit/>
        </w:trPr>
        <w:tc>
          <w:tcPr>
            <w:tcW w:w="3196" w:type="dxa"/>
            <w:shd w:val="clear" w:color="auto" w:fill="F4F7FB"/>
            <w:vAlign w:val="top"/>
          </w:tcPr>
          <w:p>
            <w:pPr>
              <w:pStyle w:val="TableText"/>
              <w:jc w:val="left"/>
            </w:pPr>
            <w:r>
              <w:t xml:space="preserve">Backups</w:t>
            </w:r>
          </w:p>
        </w:tc>
        <w:tc>
          <w:tcPr>
            <w:tcW w:w="5831" w:type="dxa"/>
            <w:shd w:val="clear" w:color="auto" w:fill="F4F7FB"/>
            <w:vAlign w:val="top"/>
          </w:tcPr>
          <w:p>
            <w:pPr>
              <w:pStyle w:val="TableText"/>
              <w:jc w:val="left"/>
            </w:pPr>
            <w:r>
              <w:t xml:space="preserve">Encrypted, point-in-time recovery for 35 days, restore tested quarterly</w:t>
            </w:r>
          </w:p>
        </w:tc>
      </w:tr>
      <w:tr>
        <w:trPr>
          <w:cantSplit/>
        </w:trPr>
        <w:tc>
          <w:tcPr>
            <w:tcW w:w="3196" w:type="dxa"/>
            <w:vAlign w:val="top"/>
          </w:tcPr>
          <w:p>
            <w:pPr>
              <w:pStyle w:val="TableText"/>
              <w:jc w:val="left"/>
            </w:pPr>
            <w:r>
              <w:t xml:space="preserve">Application</w:t>
            </w:r>
          </w:p>
        </w:tc>
        <w:tc>
          <w:tcPr>
            <w:tcW w:w="5831" w:type="dxa"/>
            <w:vAlign w:val="top"/>
          </w:tcPr>
          <w:p>
            <w:pPr>
              <w:pStyle w:val="TableText"/>
              <w:jc w:val="left"/>
            </w:pPr>
            <w:r>
              <w:t xml:space="preserve">At least two replicas across zones, rolling deployments, pod disruption budgets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3" w:name="_Toc300000049"/>
      <w:r>
        <w:rPr>
          <w:rStyle w:val="BookTitle"/>
          <w:bCs w:val="0"/>
          <w:i w:val="0"/>
          <w:iCs w:val="0"/>
          <w:spacing w:val="0"/>
        </w:rPr>
        <w:t xml:space="preserve">Security and privacy</w:t>
      </w:r>
      <w:bookmarkEnd w:id="53"/>
    </w:p>
    <w:p>
      <w:pPr>
        <w:pStyle w:val="FirstParagraph"/>
      </w:pPr>
      <w:r>
        <w:t xml:space="preserve">Insurance platforms hold exactly the kind of data that attackers and regulators care about. We have built security into every layer, aligned to OWASP ASVS Level 2 and zero-trust principles.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87"/>
        <w:gridCol w:w="7340"/>
      </w:tblGrid>
      <w:tr>
        <w:trPr>
          <w:cantSplit/>
          <w:tblHeader/>
        </w:trPr>
        <w:tc>
          <w:tcPr>
            <w:tcW w:w="1687" w:type="dxa"/>
            <w:shd w:val="clear" w:color="auto" w:fill="0F4761"/>
            <w:vAlign w:val="center"/>
          </w:tcPr>
          <w:p>
            <w:pPr>
              <w:pStyle w:val="TableHeading"/>
              <w:jc w:val="left"/>
            </w:pPr>
            <w:r>
              <w:rPr>
                <w:color w:val="FFFFFF"/>
              </w:rPr>
              <w:t xml:space="preserve">Area</w:t>
            </w:r>
          </w:p>
        </w:tc>
        <w:tc>
          <w:tcPr>
            <w:tcW w:w="7340" w:type="dxa"/>
            <w:shd w:val="clear" w:color="auto" w:fill="0F4761"/>
            <w:vAlign w:val="center"/>
          </w:tcPr>
          <w:p>
            <w:pPr>
              <w:pStyle w:val="TableHeading"/>
              <w:jc w:val="left"/>
            </w:pPr>
            <w:r>
              <w:rPr>
                <w:color w:val="FFFFFF"/>
              </w:rPr>
              <w:t xml:space="preserve">Controls in place</w:t>
            </w:r>
          </w:p>
        </w:tc>
      </w:tr>
      <w:tr>
        <w:trPr>
          <w:cantSplit/>
        </w:trPr>
        <w:tc>
          <w:tcPr>
            <w:tcW w:w="1687" w:type="dxa"/>
            <w:vAlign w:val="top"/>
          </w:tcPr>
          <w:p>
            <w:pPr>
              <w:pStyle w:val="TableText"/>
              <w:jc w:val="left"/>
            </w:pPr>
            <w:r>
              <w:t xml:space="preserve">Identity and access</w:t>
            </w:r>
          </w:p>
        </w:tc>
        <w:tc>
          <w:tcPr>
            <w:tcW w:w="7340" w:type="dxa"/>
            <w:vAlign w:val="top"/>
          </w:tcPr>
          <w:p>
            <w:pPr>
              <w:pStyle w:val="TableText"/>
              <w:jc w:val="left"/>
            </w:pPr>
            <w:r>
              <w:t xml:space="preserve">Role-based and attribute-based access control across 13 roles; two-factor authentication for privileged users; separation of duties (for example, the author of a rule cannot approve it); account lockout; forced password change; token revocation</w:t>
            </w:r>
          </w:p>
        </w:tc>
      </w:tr>
      <w:tr>
        <w:trPr>
          <w:cantSplit/>
        </w:trPr>
        <w:tc>
          <w:tcPr>
            <w:tcW w:w="1687" w:type="dxa"/>
            <w:shd w:val="clear" w:color="auto" w:fill="F4F7FB"/>
            <w:vAlign w:val="top"/>
          </w:tcPr>
          <w:p>
            <w:pPr>
              <w:pStyle w:val="TableText"/>
              <w:jc w:val="left"/>
            </w:pPr>
            <w:r>
              <w:t xml:space="preserve">Data protection</w:t>
            </w:r>
          </w:p>
        </w:tc>
        <w:tc>
          <w:tcPr>
            <w:tcW w:w="7340" w:type="dxa"/>
            <w:shd w:val="clear" w:color="auto" w:fill="F4F7FB"/>
            <w:vAlign w:val="top"/>
          </w:tcPr>
          <w:p>
            <w:pPr>
              <w:pStyle w:val="TableText"/>
              <w:jc w:val="left"/>
            </w:pPr>
            <w:r>
              <w:t xml:space="preserve">AES-256-GCM encryption of personal fields with key rotation; blind indexes so encrypted data can still be searched; TLS everywhere; data minimisation on ingestion</w:t>
            </w:r>
          </w:p>
        </w:tc>
      </w:tr>
      <w:tr>
        <w:trPr>
          <w:cantSplit/>
        </w:trPr>
        <w:tc>
          <w:tcPr>
            <w:tcW w:w="1687" w:type="dxa"/>
            <w:vAlign w:val="top"/>
          </w:tcPr>
          <w:p>
            <w:pPr>
              <w:pStyle w:val="TableText"/>
              <w:jc w:val="left"/>
            </w:pPr>
            <w:r>
              <w:t xml:space="preserve">Application security</w:t>
            </w:r>
          </w:p>
        </w:tc>
        <w:tc>
          <w:tcPr>
            <w:tcW w:w="7340" w:type="dxa"/>
            <w:vAlign w:val="top"/>
          </w:tcPr>
          <w:p>
            <w:pPr>
              <w:pStyle w:val="TableText"/>
              <w:jc w:val="left"/>
            </w:pPr>
            <w:r>
              <w:t xml:space="preserve">Parameterised queries only; strict content security policy; output encoding; rate limiting; idempotency on payments; request size limits; trusted-proxy handling</w:t>
            </w:r>
          </w:p>
        </w:tc>
      </w:tr>
      <w:tr>
        <w:trPr>
          <w:cantSplit/>
        </w:trPr>
        <w:tc>
          <w:tcPr>
            <w:tcW w:w="1687" w:type="dxa"/>
            <w:shd w:val="clear" w:color="auto" w:fill="F4F7FB"/>
            <w:vAlign w:val="top"/>
          </w:tcPr>
          <w:p>
            <w:pPr>
              <w:pStyle w:val="TableText"/>
              <w:jc w:val="left"/>
            </w:pPr>
            <w:r>
              <w:t xml:space="preserve">Secrets</w:t>
            </w:r>
          </w:p>
        </w:tc>
        <w:tc>
          <w:tcPr>
            <w:tcW w:w="7340" w:type="dxa"/>
            <w:shd w:val="clear" w:color="auto" w:fill="F4F7FB"/>
            <w:vAlign w:val="top"/>
          </w:tcPr>
          <w:p>
            <w:pPr>
              <w:pStyle w:val="TableText"/>
              <w:jc w:val="left"/>
            </w:pPr>
            <w:r>
              <w:t xml:space="preserve">No secrets in code; injected from a secrets manager; separate keys per environment</w:t>
            </w:r>
          </w:p>
        </w:tc>
      </w:tr>
      <w:tr>
        <w:trPr>
          <w:cantSplit/>
        </w:trPr>
        <w:tc>
          <w:tcPr>
            <w:tcW w:w="1687" w:type="dxa"/>
            <w:vAlign w:val="top"/>
          </w:tcPr>
          <w:p>
            <w:pPr>
              <w:pStyle w:val="TableText"/>
              <w:jc w:val="left"/>
            </w:pPr>
            <w:r>
              <w:t xml:space="preserve">Audit</w:t>
            </w:r>
          </w:p>
        </w:tc>
        <w:tc>
          <w:tcPr>
            <w:tcW w:w="7340" w:type="dxa"/>
            <w:vAlign w:val="top"/>
          </w:tcPr>
          <w:p>
            <w:pPr>
              <w:pStyle w:val="TableText"/>
              <w:jc w:val="left"/>
            </w:pPr>
            <w:r>
              <w:t xml:space="preserve">Append-only, hash-chained audit trail protected by database triggers; daily verification</w:t>
            </w:r>
          </w:p>
        </w:tc>
      </w:tr>
      <w:tr>
        <w:trPr>
          <w:cantSplit/>
        </w:trPr>
        <w:tc>
          <w:tcPr>
            <w:tcW w:w="1687" w:type="dxa"/>
            <w:shd w:val="clear" w:color="auto" w:fill="F4F7FB"/>
            <w:vAlign w:val="top"/>
          </w:tcPr>
          <w:p>
            <w:pPr>
              <w:pStyle w:val="TableText"/>
              <w:jc w:val="left"/>
            </w:pPr>
            <w:r>
              <w:t xml:space="preserve">Privacy</w:t>
            </w:r>
          </w:p>
        </w:tc>
        <w:tc>
          <w:tcPr>
            <w:tcW w:w="7340" w:type="dxa"/>
            <w:shd w:val="clear" w:color="auto" w:fill="F4F7FB"/>
            <w:vAlign w:val="top"/>
          </w:tcPr>
          <w:p>
            <w:pPr>
              <w:pStyle w:val="TableText"/>
              <w:jc w:val="left"/>
            </w:pPr>
            <w:r>
              <w:t xml:space="preserve">Purpose-based consent; consent centre for customers; data-subject access, correction and erasure; retention rules; data lineage</w:t>
            </w:r>
          </w:p>
        </w:tc>
      </w:tr>
      <w:tr>
        <w:trPr>
          <w:cantSplit/>
        </w:trPr>
        <w:tc>
          <w:tcPr>
            <w:tcW w:w="1687" w:type="dxa"/>
            <w:vAlign w:val="top"/>
          </w:tcPr>
          <w:p>
            <w:pPr>
              <w:pStyle w:val="TableText"/>
              <w:jc w:val="left"/>
            </w:pPr>
            <w:r>
              <w:t xml:space="preserve">AI governance</w:t>
            </w:r>
          </w:p>
        </w:tc>
        <w:tc>
          <w:tcPr>
            <w:tcW w:w="7340" w:type="dxa"/>
            <w:vAlign w:val="top"/>
          </w:tcPr>
          <w:p>
            <w:pPr>
              <w:pStyle w:val="TableText"/>
              <w:jc w:val="left"/>
            </w:pPr>
            <w:r>
              <w:t xml:space="preserve">The voice assistant’s script is versioned and approved; it discloses that it is automated; scores are explainable; humans make the final sales contact</w:t>
            </w:r>
          </w:p>
        </w:tc>
      </w:tr>
      <w:tr>
        <w:trPr>
          <w:cantSplit/>
        </w:trPr>
        <w:tc>
          <w:tcPr>
            <w:tcW w:w="1687" w:type="dxa"/>
            <w:shd w:val="clear" w:color="auto" w:fill="F4F7FB"/>
            <w:vAlign w:val="top"/>
          </w:tcPr>
          <w:p>
            <w:pPr>
              <w:pStyle w:val="TableText"/>
              <w:jc w:val="left"/>
            </w:pPr>
            <w:r>
              <w:t xml:space="preserve">Assurance</w:t>
            </w:r>
          </w:p>
        </w:tc>
        <w:tc>
          <w:tcPr>
            <w:tcW w:w="7340" w:type="dxa"/>
            <w:shd w:val="clear" w:color="auto" w:fill="F4F7FB"/>
            <w:vAlign w:val="top"/>
          </w:tcPr>
          <w:p>
            <w:pPr>
              <w:pStyle w:val="TableText"/>
              <w:jc w:val="left"/>
            </w:pPr>
            <w:r>
              <w:t xml:space="preserve">Static analysis, dependency and container scanning, secret scanning, dynamic scanning in CI; independent penetration test before go-live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4" w:name="_Toc300000050"/>
      <w:r>
        <w:rPr>
          <w:rStyle w:val="BookTitle"/>
          <w:bCs w:val="0"/>
          <w:i w:val="0"/>
          <w:iCs w:val="0"/>
          <w:spacing w:val="0"/>
        </w:rPr>
        <w:t xml:space="preserve">Scalability and performance</w:t>
      </w:r>
      <w:bookmarkEnd w:id="54"/>
    </w:p>
    <w:p>
      <w:pPr>
        <w:pStyle w:val="FirstParagraph"/>
      </w:pPr>
      <w:r>
        <w:t xml:space="preserve">The platform is stateless at the application tier, so capacity grows by adding pods. The database is the main scaling concern, and we have designed for it: indexed columns for every query path, paging for large result sets, batch ingestion in chunks, background workers for journeys and events, and a read replica for reporting at full scale.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60"/>
        <w:gridCol w:w="2331"/>
        <w:gridCol w:w="1796"/>
        <w:gridCol w:w="2640"/>
      </w:tblGrid>
      <w:tr>
        <w:trPr>
          <w:cantSplit/>
          <w:tblHeader/>
        </w:trPr>
        <w:tc>
          <w:tcPr>
            <w:tcW w:w="2260" w:type="dxa"/>
            <w:shd w:val="clear" w:color="auto" w:fill="0F4761"/>
            <w:vAlign w:val="center"/>
          </w:tcPr>
          <w:p>
            <w:pPr>
              <w:pStyle w:val="TableHeading"/>
              <w:jc w:val="left"/>
            </w:pPr>
            <w:r>
              <w:rPr>
                <w:color w:val="FFFFFF"/>
              </w:rPr>
              <w:t xml:space="preserve">Measure</w:t>
            </w:r>
          </w:p>
        </w:tc>
        <w:tc>
          <w:tcPr>
            <w:tcW w:w="2331" w:type="dxa"/>
            <w:shd w:val="clear" w:color="auto" w:fill="0F4761"/>
            <w:vAlign w:val="center"/>
          </w:tcPr>
          <w:p>
            <w:pPr>
              <w:pStyle w:val="TableHeading"/>
              <w:jc w:val="left"/>
            </w:pPr>
            <w:r>
              <w:rPr>
                <w:color w:val="FFFFFF"/>
              </w:rPr>
              <w:t xml:space="preserve">Today (single instance, test environment)</w:t>
            </w:r>
          </w:p>
        </w:tc>
        <w:tc>
          <w:tcPr>
            <w:tcW w:w="1796" w:type="dxa"/>
            <w:shd w:val="clear" w:color="auto" w:fill="0F4761"/>
            <w:vAlign w:val="center"/>
          </w:tcPr>
          <w:p>
            <w:pPr>
              <w:pStyle w:val="TableHeading"/>
              <w:jc w:val="left"/>
            </w:pPr>
            <w:r>
              <w:rPr>
                <w:color w:val="FFFFFF"/>
              </w:rPr>
              <w:t xml:space="preserve">Pilot target</w:t>
            </w:r>
          </w:p>
        </w:tc>
        <w:tc>
          <w:tcPr>
            <w:tcW w:w="2640" w:type="dxa"/>
            <w:shd w:val="clear" w:color="auto" w:fill="0F4761"/>
            <w:vAlign w:val="center"/>
          </w:tcPr>
          <w:p>
            <w:pPr>
              <w:pStyle w:val="TableHeading"/>
              <w:jc w:val="left"/>
            </w:pPr>
            <w:r>
              <w:rPr>
                <w:color w:val="FFFFFF"/>
              </w:rPr>
              <w:t xml:space="preserve">Full-scale target</w:t>
            </w:r>
          </w:p>
        </w:tc>
      </w:tr>
      <w:tr>
        <w:trPr>
          <w:cantSplit/>
        </w:trPr>
        <w:tc>
          <w:tcPr>
            <w:tcW w:w="2260" w:type="dxa"/>
            <w:vAlign w:val="top"/>
          </w:tcPr>
          <w:p>
            <w:pPr>
              <w:pStyle w:val="TableText"/>
              <w:jc w:val="left"/>
            </w:pPr>
            <w:r>
              <w:t xml:space="preserve">API throughput</w:t>
            </w:r>
          </w:p>
        </w:tc>
        <w:tc>
          <w:tcPr>
            <w:tcW w:w="2331" w:type="dxa"/>
            <w:vAlign w:val="top"/>
          </w:tcPr>
          <w:p>
            <w:pPr>
              <w:pStyle w:val="TableText"/>
              <w:jc w:val="left"/>
            </w:pPr>
            <w:r>
              <w:t xml:space="preserve">About 337 requests per second</w:t>
            </w:r>
          </w:p>
        </w:tc>
        <w:tc>
          <w:tcPr>
            <w:tcW w:w="1796" w:type="dxa"/>
            <w:vAlign w:val="top"/>
          </w:tcPr>
          <w:p>
            <w:pPr>
              <w:pStyle w:val="TableText"/>
              <w:jc w:val="left"/>
            </w:pPr>
            <w:r>
              <w:t xml:space="preserve">50 per second sustained</w:t>
            </w:r>
          </w:p>
        </w:tc>
        <w:tc>
          <w:tcPr>
            <w:tcW w:w="2640" w:type="dxa"/>
            <w:vAlign w:val="top"/>
          </w:tcPr>
          <w:p>
            <w:pPr>
              <w:pStyle w:val="TableText"/>
              <w:jc w:val="left"/>
            </w:pPr>
            <w:r>
              <w:t xml:space="preserve">300 per second sustained</w:t>
            </w:r>
          </w:p>
        </w:tc>
      </w:tr>
      <w:tr>
        <w:trPr>
          <w:cantSplit/>
        </w:trPr>
        <w:tc>
          <w:tcPr>
            <w:tcW w:w="2260" w:type="dxa"/>
            <w:shd w:val="clear" w:color="auto" w:fill="F4F7FB"/>
            <w:vAlign w:val="top"/>
          </w:tcPr>
          <w:p>
            <w:pPr>
              <w:pStyle w:val="TableText"/>
              <w:jc w:val="left"/>
            </w:pPr>
            <w:r>
              <w:t xml:space="preserve">API response time (95th percentile)</w:t>
            </w:r>
          </w:p>
        </w:tc>
        <w:tc>
          <w:tcPr>
            <w:tcW w:w="2331" w:type="dxa"/>
            <w:shd w:val="clear" w:color="auto" w:fill="F4F7FB"/>
            <w:vAlign w:val="top"/>
          </w:tcPr>
          <w:p>
            <w:pPr>
              <w:pStyle w:val="TableText"/>
              <w:jc w:val="left"/>
            </w:pPr>
            <w:r>
              <w:t xml:space="preserve">About 103 ms</w:t>
            </w:r>
          </w:p>
        </w:tc>
        <w:tc>
          <w:tcPr>
            <w:tcW w:w="1796" w:type="dxa"/>
            <w:shd w:val="clear" w:color="auto" w:fill="F4F7FB"/>
            <w:vAlign w:val="top"/>
          </w:tcPr>
          <w:p>
            <w:pPr>
              <w:pStyle w:val="TableText"/>
              <w:jc w:val="left"/>
            </w:pPr>
            <w:r>
              <w:t xml:space="preserve">Under 300 ms</w:t>
            </w:r>
          </w:p>
        </w:tc>
        <w:tc>
          <w:tcPr>
            <w:tcW w:w="2640" w:type="dxa"/>
            <w:shd w:val="clear" w:color="auto" w:fill="F4F7FB"/>
            <w:vAlign w:val="top"/>
          </w:tcPr>
          <w:p>
            <w:pPr>
              <w:pStyle w:val="TableText"/>
              <w:jc w:val="left"/>
            </w:pPr>
            <w:r>
              <w:t xml:space="preserve">Under 300 ms</w:t>
            </w:r>
          </w:p>
        </w:tc>
      </w:tr>
      <w:tr>
        <w:trPr>
          <w:cantSplit/>
        </w:trPr>
        <w:tc>
          <w:tcPr>
            <w:tcW w:w="2260" w:type="dxa"/>
            <w:vAlign w:val="top"/>
          </w:tcPr>
          <w:p>
            <w:pPr>
              <w:pStyle w:val="TableText"/>
              <w:jc w:val="left"/>
            </w:pPr>
            <w:r>
              <w:t xml:space="preserve">Vehicles under management</w:t>
            </w:r>
          </w:p>
        </w:tc>
        <w:tc>
          <w:tcPr>
            <w:tcW w:w="2331" w:type="dxa"/>
            <w:vAlign w:val="top"/>
          </w:tcPr>
          <w:p>
            <w:pPr>
              <w:pStyle w:val="TableText"/>
              <w:jc w:val="left"/>
            </w:pPr>
            <w:r>
              <w:t xml:space="preserve">Synthetic test set</w:t>
            </w:r>
          </w:p>
        </w:tc>
        <w:tc>
          <w:tcPr>
            <w:tcW w:w="1796" w:type="dxa"/>
            <w:vAlign w:val="top"/>
          </w:tcPr>
          <w:p>
            <w:pPr>
              <w:pStyle w:val="TableText"/>
              <w:jc w:val="left"/>
            </w:pPr>
            <w:r>
              <w:t xml:space="preserve">100,000</w:t>
            </w:r>
          </w:p>
        </w:tc>
        <w:tc>
          <w:tcPr>
            <w:tcW w:w="2640" w:type="dxa"/>
            <w:vAlign w:val="top"/>
          </w:tcPr>
          <w:p>
            <w:pPr>
              <w:pStyle w:val="TableText"/>
              <w:jc w:val="left"/>
            </w:pPr>
            <w:r>
              <w:t xml:space="preserve">6 million</w:t>
            </w:r>
          </w:p>
        </w:tc>
      </w:tr>
      <w:tr>
        <w:trPr>
          <w:cantSplit/>
        </w:trPr>
        <w:tc>
          <w:tcPr>
            <w:tcW w:w="2260" w:type="dxa"/>
            <w:shd w:val="clear" w:color="auto" w:fill="F4F7FB"/>
            <w:vAlign w:val="top"/>
          </w:tcPr>
          <w:p>
            <w:pPr>
              <w:pStyle w:val="TableText"/>
              <w:jc w:val="left"/>
            </w:pPr>
            <w:r>
              <w:t xml:space="preserve">Daily journey evaluations</w:t>
            </w:r>
          </w:p>
        </w:tc>
        <w:tc>
          <w:tcPr>
            <w:tcW w:w="2331" w:type="dxa"/>
            <w:shd w:val="clear" w:color="auto" w:fill="F4F7FB"/>
            <w:vAlign w:val="top"/>
          </w:tcPr>
          <w:p>
            <w:pPr>
              <w:pStyle w:val="TableText"/>
            </w:pPr>
          </w:p>
        </w:tc>
        <w:tc>
          <w:tcPr>
            <w:tcW w:w="1796" w:type="dxa"/>
            <w:shd w:val="clear" w:color="auto" w:fill="F4F7FB"/>
            <w:vAlign w:val="top"/>
          </w:tcPr>
          <w:p>
            <w:pPr>
              <w:pStyle w:val="TableText"/>
              <w:jc w:val="left"/>
            </w:pPr>
            <w:r>
              <w:t xml:space="preserve">100,000</w:t>
            </w:r>
          </w:p>
        </w:tc>
        <w:tc>
          <w:tcPr>
            <w:tcW w:w="2640" w:type="dxa"/>
            <w:shd w:val="clear" w:color="auto" w:fill="F4F7FB"/>
            <w:vAlign w:val="top"/>
          </w:tcPr>
          <w:p>
            <w:pPr>
              <w:pStyle w:val="TableText"/>
              <w:jc w:val="left"/>
            </w:pPr>
            <w:r>
              <w:t xml:space="preserve">6 million</w:t>
            </w:r>
          </w:p>
        </w:tc>
      </w:tr>
      <w:tr>
        <w:trPr>
          <w:cantSplit/>
        </w:trPr>
        <w:tc>
          <w:tcPr>
            <w:tcW w:w="2260" w:type="dxa"/>
            <w:vAlign w:val="top"/>
          </w:tcPr>
          <w:p>
            <w:pPr>
              <w:pStyle w:val="TableText"/>
              <w:jc w:val="left"/>
            </w:pPr>
            <w:r>
              <w:t xml:space="preserve">Ingestion</w:t>
            </w:r>
          </w:p>
        </w:tc>
        <w:tc>
          <w:tcPr>
            <w:tcW w:w="2331" w:type="dxa"/>
            <w:vAlign w:val="top"/>
          </w:tcPr>
          <w:p>
            <w:pPr>
              <w:pStyle w:val="TableText"/>
              <w:jc w:val="left"/>
            </w:pPr>
            <w:r>
              <w:t xml:space="preserve">5,000 records per batch</w:t>
            </w:r>
          </w:p>
        </w:tc>
        <w:tc>
          <w:tcPr>
            <w:tcW w:w="1796" w:type="dxa"/>
            <w:vAlign w:val="top"/>
          </w:tcPr>
          <w:p>
            <w:pPr>
              <w:pStyle w:val="TableText"/>
              <w:jc w:val="left"/>
            </w:pPr>
            <w:r>
              <w:t xml:space="preserve">Initial load within one day</w:t>
            </w:r>
          </w:p>
        </w:tc>
        <w:tc>
          <w:tcPr>
            <w:tcW w:w="2640" w:type="dxa"/>
            <w:vAlign w:val="top"/>
          </w:tcPr>
          <w:p>
            <w:pPr>
              <w:pStyle w:val="TableText"/>
              <w:jc w:val="left"/>
            </w:pPr>
            <w:r>
              <w:t xml:space="preserve">Full base within one weekend; daily changes within one hour</w:t>
            </w:r>
          </w:p>
        </w:tc>
      </w:tr>
    </w:tbl>
    <w:p>
      <w:pPr>
        <w:pStyle w:val="BodyText"/>
        <w:spacing w:before="160"/>
      </w:pPr>
      <w:r>
        <w:t xml:space="preserve">Full-scale capacity will be proven by load tests in pre-production during the scale phase, before the base is extended beyond the pilot.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5" w:name="_Toc300000051"/>
      <w:r>
        <w:rPr>
          <w:rStyle w:val="BookTitle"/>
          <w:bCs w:val="0"/>
          <w:i w:val="0"/>
          <w:iCs w:val="0"/>
          <w:spacing w:val="0"/>
        </w:rPr>
        <w:t xml:space="preserve">Implementation approach</w:t>
      </w:r>
      <w:bookmarkEnd w:id="55"/>
    </w:p>
    <w:p>
      <w:pPr>
        <w:pStyle w:val="Heading2"/>
      </w:pPr>
      <w:bookmarkStart w:id="56" w:name="_Toc300000052"/>
      <w:r>
        <w:t xml:space="preserve">How we will work</w:t>
      </w:r>
      <w:bookmarkEnd w:id="56"/>
    </w:p>
    <w:p>
      <w:pPr>
        <w:pStyle w:val="FirstParagraph"/>
      </w:pPr>
      <w:r>
        <w:t xml:space="preserve">We will deliver in four stages, each with a clear exit. Discovery confirms the decisions that only TASCO and VETC can make: the core integration path, data sharing, legal positions and pilot design. Build and integrate runs in four two-week sprints, each ending in a demonstration on the integration sandboxes. Test and go-live covers system integration testing, user acceptance, security testing and a rehearsed cut-over. Hypercare keeps the delivery team on hand for the first four weeks of live operation.</w:t>
      </w:r>
    </w:p>
    <w:p>
      <w:pPr>
        <w:pStyle w:val="BodyText"/>
      </w:pPr>
      <w:r>
        <w:rPr>
          <w:b/>
          <w:bCs/>
        </w:rPr>
        <w:t xml:space="preserve">Reuse first.</w:t>
      </w:r>
      <w:r>
        <w:t xml:space="preserve"> </w:t>
      </w:r>
      <w:r>
        <w:t xml:space="preserve">Discovery starts with an inventory of what TASCO and VETC already run: the TASCO core interfaces, TASCO’s verified Zalo Official Account and its approved ZNS templates, TASCO’s payment gateway, the e.baohiemtasco.vn and Tasco360 interfaces, and VETC’s web view, push and wallet. For each one we agree whether the MVP reuses it as it is, connects to it, or leaves it for later, and we record the decision in the discovery report. We build only what is missing.</w:t>
      </w:r>
    </w:p>
    <w:p>
      <w:pPr>
        <w:pStyle w:val="BodyText"/>
      </w:pPr>
      <w:r>
        <w:t xml:space="preserve">Because the platform already exists, sprints are spent on adapters, data, configuration and hardening rather than on building screens. Business rules such as scoring weights, journey timings, message wording and benefits are configured with TASCO’s product team in the rules studio during the sprints, not specified on paper and handed over.</w:t>
      </w:r>
    </w:p>
    <w:p>
      <w:pPr>
        <w:pStyle w:val="Heading2"/>
      </w:pPr>
      <w:bookmarkStart w:id="57" w:name="_Toc300000053"/>
      <w:r>
        <w:t xml:space="preserve">MVP scope</w:t>
      </w:r>
      <w:bookmarkEnd w:id="5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440"/>
        <w:gridCol w:w="3587"/>
      </w:tblGrid>
      <w:tr>
        <w:trPr>
          <w:cantSplit/>
          <w:tblHeader/>
        </w:trPr>
        <w:tc>
          <w:tcPr>
            <w:tcW w:w="5440" w:type="dxa"/>
            <w:shd w:val="clear" w:color="auto" w:fill="0F4761"/>
            <w:vAlign w:val="center"/>
          </w:tcPr>
          <w:p>
            <w:pPr>
              <w:pStyle w:val="TableHeading"/>
              <w:jc w:val="left"/>
            </w:pPr>
            <w:r>
              <w:rPr>
                <w:color w:val="FFFFFF"/>
              </w:rPr>
              <w:t xml:space="preserve">In scope for the MVP</w:t>
            </w:r>
          </w:p>
        </w:tc>
        <w:tc>
          <w:tcPr>
            <w:tcW w:w="3587" w:type="dxa"/>
            <w:shd w:val="clear" w:color="auto" w:fill="0F4761"/>
            <w:vAlign w:val="center"/>
          </w:tcPr>
          <w:p>
            <w:pPr>
              <w:pStyle w:val="TableHeading"/>
              <w:jc w:val="left"/>
            </w:pPr>
            <w:r>
              <w:rPr>
                <w:color w:val="FFFFFF"/>
              </w:rPr>
              <w:t xml:space="preserve">Not in the MVP (scale phase or later)</w:t>
            </w:r>
          </w:p>
        </w:tc>
      </w:tr>
      <w:tr>
        <w:trPr>
          <w:cantSplit/>
        </w:trPr>
        <w:tc>
          <w:tcPr>
            <w:tcW w:w="5440" w:type="dxa"/>
            <w:vAlign w:val="top"/>
          </w:tcPr>
          <w:p>
            <w:pPr>
              <w:pStyle w:val="TableText"/>
              <w:jc w:val="left"/>
            </w:pPr>
            <w:r>
              <w:t xml:space="preserve">Integration with TASCO core: catalogue sync, live rating, bind and issue, daily policy extract</w:t>
            </w:r>
          </w:p>
        </w:tc>
        <w:tc>
          <w:tcPr>
            <w:tcW w:w="3587" w:type="dxa"/>
            <w:vAlign w:val="top"/>
          </w:tcPr>
          <w:p>
            <w:pPr>
              <w:pStyle w:val="TableText"/>
              <w:jc w:val="left"/>
            </w:pPr>
            <w:r>
              <w:t xml:space="preserve">Claims system-to-system integration (first notice handled by queue in the MVP)</w:t>
            </w:r>
          </w:p>
        </w:tc>
      </w:tr>
      <w:tr>
        <w:trPr>
          <w:cantSplit/>
        </w:trPr>
        <w:tc>
          <w:tcPr>
            <w:tcW w:w="5440" w:type="dxa"/>
            <w:shd w:val="clear" w:color="auto" w:fill="F4F7FB"/>
            <w:vAlign w:val="top"/>
          </w:tcPr>
          <w:p>
            <w:pPr>
              <w:pStyle w:val="TableText"/>
              <w:jc w:val="left"/>
            </w:pPr>
            <w:r>
              <w:t xml:space="preserve">VETC: initial data load and daily changes, tag-activation events, app web view with signed links, push, wallet debit and refund, reconciliation</w:t>
            </w:r>
          </w:p>
        </w:tc>
        <w:tc>
          <w:tcPr>
            <w:tcW w:w="3587" w:type="dxa"/>
            <w:shd w:val="clear" w:color="auto" w:fill="F4F7FB"/>
            <w:vAlign w:val="top"/>
          </w:tcPr>
          <w:p>
            <w:pPr>
              <w:pStyle w:val="TableText"/>
              <w:jc w:val="left"/>
            </w:pPr>
            <w:r>
              <w:t xml:space="preserve">VETC single sign-on and live feed of all VETC events (S2)</w:t>
            </w:r>
          </w:p>
        </w:tc>
      </w:tr>
      <w:tr>
        <w:trPr>
          <w:cantSplit/>
        </w:trPr>
        <w:tc>
          <w:tcPr>
            <w:tcW w:w="5440" w:type="dxa"/>
            <w:vAlign w:val="top"/>
          </w:tcPr>
          <w:p>
            <w:pPr>
              <w:pStyle w:val="TableText"/>
              <w:jc w:val="left"/>
            </w:pPr>
            <w:r>
              <w:t xml:space="preserve">Zalo ZNS from TASCO’s existing verified Official Account, and SMS brandname, for approved templates</w:t>
            </w:r>
          </w:p>
        </w:tc>
        <w:tc>
          <w:tcPr>
            <w:tcW w:w="3587" w:type="dxa"/>
            <w:vAlign w:val="top"/>
          </w:tcPr>
          <w:p>
            <w:pPr>
              <w:pStyle w:val="TableText"/>
              <w:jc w:val="left"/>
            </w:pPr>
            <w:r>
              <w:t xml:space="preserve">Additional messaging channels</w:t>
            </w:r>
          </w:p>
        </w:tc>
      </w:tr>
      <w:tr>
        <w:trPr>
          <w:cantSplit/>
        </w:trPr>
        <w:tc>
          <w:tcPr>
            <w:tcW w:w="5440" w:type="dxa"/>
            <w:shd w:val="clear" w:color="auto" w:fill="F4F7FB"/>
            <w:vAlign w:val="top"/>
          </w:tcPr>
          <w:p>
            <w:pPr>
              <w:pStyle w:val="TableText"/>
              <w:jc w:val="left"/>
            </w:pPr>
            <w:r>
              <w:t xml:space="preserve">One voice AI vendor, Vietnamese script, plate-first verification, telesales handoff</w:t>
            </w:r>
          </w:p>
        </w:tc>
        <w:tc>
          <w:tcPr>
            <w:tcW w:w="3587" w:type="dxa"/>
            <w:shd w:val="clear" w:color="auto" w:fill="F4F7FB"/>
            <w:vAlign w:val="top"/>
          </w:tcPr>
          <w:p>
            <w:pPr>
              <w:pStyle w:val="TableText"/>
              <w:jc w:val="left"/>
            </w:pPr>
            <w:r>
              <w:t xml:space="preserve">Multiple voice vendors, outbound voice at full scale</w:t>
            </w:r>
          </w:p>
        </w:tc>
      </w:tr>
      <w:tr>
        <w:trPr>
          <w:cantSplit/>
        </w:trPr>
        <w:tc>
          <w:tcPr>
            <w:tcW w:w="5440" w:type="dxa"/>
            <w:vAlign w:val="top"/>
          </w:tcPr>
          <w:p>
            <w:pPr>
              <w:pStyle w:val="TableText"/>
              <w:jc w:val="left"/>
            </w:pPr>
            <w:r>
              <w:t xml:space="preserve">Journeys: renewal, conquest, new vehicle, lapsed recovery, cross-sell</w:t>
            </w:r>
          </w:p>
        </w:tc>
        <w:tc>
          <w:tcPr>
            <w:tcW w:w="3587" w:type="dxa"/>
            <w:vAlign w:val="top"/>
          </w:tcPr>
          <w:p>
            <w:pPr>
              <w:pStyle w:val="TableText"/>
              <w:jc w:val="left"/>
            </w:pPr>
            <w:r>
              <w:t xml:space="preserve">A/B testing framework, machine-learning score calibration</w:t>
            </w:r>
          </w:p>
        </w:tc>
      </w:tr>
      <w:tr>
        <w:trPr>
          <w:cantSplit/>
        </w:trPr>
        <w:tc>
          <w:tcPr>
            <w:tcW w:w="5440" w:type="dxa"/>
            <w:shd w:val="clear" w:color="auto" w:fill="F4F7FB"/>
            <w:vAlign w:val="top"/>
          </w:tcPr>
          <w:p>
            <w:pPr>
              <w:pStyle w:val="TableText"/>
              <w:jc w:val="left"/>
            </w:pPr>
            <w:r>
              <w:t xml:space="preserve">Products: TNDS (one to three years), personal accident per seat, physical damage with inspection</w:t>
            </w:r>
          </w:p>
        </w:tc>
        <w:tc>
          <w:tcPr>
            <w:tcW w:w="3587" w:type="dxa"/>
            <w:shd w:val="clear" w:color="auto" w:fill="F4F7FB"/>
            <w:vAlign w:val="top"/>
          </w:tcPr>
          <w:p>
            <w:pPr>
              <w:pStyle w:val="TableText"/>
              <w:jc w:val="left"/>
            </w:pPr>
            <w:r>
              <w:t xml:space="preserve">Further products</w:t>
            </w:r>
          </w:p>
        </w:tc>
      </w:tr>
      <w:tr>
        <w:trPr>
          <w:cantSplit/>
        </w:trPr>
        <w:tc>
          <w:tcPr>
            <w:tcW w:w="5440" w:type="dxa"/>
            <w:vAlign w:val="top"/>
          </w:tcPr>
          <w:p>
            <w:pPr>
              <w:pStyle w:val="TableText"/>
              <w:jc w:val="left"/>
            </w:pPr>
            <w:r>
              <w:t xml:space="preserve">Tasco360 live on the partner API as the first partner (or another partner chosen in discovery)</w:t>
            </w:r>
          </w:p>
        </w:tc>
        <w:tc>
          <w:tcPr>
            <w:tcW w:w="3587" w:type="dxa"/>
            <w:vAlign w:val="top"/>
          </w:tcPr>
          <w:p>
            <w:pPr>
              <w:pStyle w:val="TableText"/>
              <w:jc w:val="left"/>
            </w:pPr>
            <w:r>
              <w:t xml:space="preserve">Further partners and partner self-onboarding (S7)</w:t>
            </w:r>
          </w:p>
        </w:tc>
      </w:tr>
      <w:tr>
        <w:trPr>
          <w:cantSplit/>
        </w:trPr>
        <w:tc>
          <w:tcPr>
            <w:tcW w:w="5440" w:type="dxa"/>
            <w:shd w:val="clear" w:color="auto" w:fill="F4F7FB"/>
            <w:vAlign w:val="top"/>
          </w:tcPr>
          <w:p>
            <w:pPr>
              <w:pStyle w:val="TableText"/>
              <w:jc w:val="left"/>
            </w:pPr>
            <w:r>
              <w:t xml:space="preserve">Staff console (Vietnamese and English) and customer app (Vietnamese) in TASCO’s brand, with TASCO’s hotline, Zalo, Facebook and Messenger contacts</w:t>
            </w:r>
          </w:p>
        </w:tc>
        <w:tc>
          <w:tcPr>
            <w:tcW w:w="3587" w:type="dxa"/>
            <w:shd w:val="clear" w:color="auto" w:fill="F4F7FB"/>
            <w:vAlign w:val="top"/>
          </w:tcPr>
          <w:p>
            <w:pPr>
              <w:pStyle w:val="TableText"/>
              <w:jc w:val="left"/>
            </w:pPr>
            <w:r>
              <w:t xml:space="preserve">Fleet portal and consolidated invoicing (S6)</w:t>
            </w:r>
          </w:p>
        </w:tc>
      </w:tr>
      <w:tr>
        <w:trPr>
          <w:cantSplit/>
        </w:trPr>
        <w:tc>
          <w:tcPr>
            <w:tcW w:w="5440" w:type="dxa"/>
            <w:vAlign w:val="top"/>
          </w:tcPr>
          <w:p>
            <w:pPr>
              <w:pStyle w:val="TableText"/>
              <w:jc w:val="left"/>
            </w:pPr>
            <w:r>
              <w:t xml:space="preserve">Customer journeys ready for TASCO’s app and website, tested against a sandbox of TASCO’s payment gateway</w:t>
            </w:r>
          </w:p>
        </w:tc>
        <w:tc>
          <w:tcPr>
            <w:tcW w:w="3587" w:type="dxa"/>
            <w:vAlign w:val="top"/>
          </w:tcPr>
          <w:p>
            <w:pPr>
              <w:pStyle w:val="TableText"/>
              <w:jc w:val="left"/>
            </w:pPr>
            <w:r>
              <w:t xml:space="preserve">Live in TASCO’s app and website (S3) and as a Zalo Mini App (S4)</w:t>
            </w:r>
          </w:p>
        </w:tc>
      </w:tr>
      <w:tr>
        <w:trPr>
          <w:cantSplit/>
        </w:trPr>
        <w:tc>
          <w:tcPr>
            <w:tcW w:w="5440" w:type="dxa"/>
            <w:shd w:val="clear" w:color="auto" w:fill="F4F7FB"/>
            <w:vAlign w:val="top"/>
          </w:tcPr>
          <w:p>
            <w:pPr>
              <w:pStyle w:val="TableText"/>
              <w:jc w:val="left"/>
            </w:pPr>
            <w:r>
              <w:t xml:space="preserve">Production hardening, security testing, runbooks, training, cut-over and 4 weeks of hypercare</w:t>
            </w:r>
          </w:p>
        </w:tc>
        <w:tc>
          <w:tcPr>
            <w:tcW w:w="3587" w:type="dxa"/>
            <w:shd w:val="clear" w:color="auto" w:fill="F4F7FB"/>
            <w:vAlign w:val="top"/>
          </w:tcPr>
          <w:p>
            <w:pPr>
              <w:pStyle w:val="TableText"/>
              <w:jc w:val="left"/>
            </w:pPr>
            <w:r>
              <w:t xml:space="preserve">Data warehouse feed</w:t>
            </w:r>
          </w:p>
        </w:tc>
      </w:tr>
      <w:tr>
        <w:trPr>
          <w:cantSplit/>
        </w:trPr>
        <w:tc>
          <w:tcPr>
            <w:tcW w:w="5440" w:type="dxa"/>
            <w:vAlign w:val="top"/>
          </w:tcPr>
          <w:p>
            <w:pPr>
              <w:pStyle w:val="TableText"/>
              <w:jc w:val="left"/>
            </w:pPr>
            <w:r>
              <w:t xml:space="preserve">Pilot cohort of 50,000 to 100,000 vehicles with a control group</w:t>
            </w:r>
          </w:p>
        </w:tc>
        <w:tc>
          <w:tcPr>
            <w:tcW w:w="3587" w:type="dxa"/>
            <w:vAlign w:val="top"/>
          </w:tcPr>
          <w:p>
            <w:pPr>
              <w:pStyle w:val="TableText"/>
              <w:jc w:val="left"/>
            </w:pPr>
            <w:r>
              <w:t xml:space="preserve">Full 6 million vehicle base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8" w:name="_Toc300000054"/>
      <w:r>
        <w:rPr>
          <w:rStyle w:val="BookTitle"/>
          <w:bCs w:val="0"/>
          <w:i w:val="0"/>
          <w:iCs w:val="0"/>
          <w:spacing w:val="0"/>
        </w:rPr>
        <w:t xml:space="preserve">Timeline</w:t>
      </w:r>
      <w:bookmarkEnd w:id="58"/>
    </w:p>
    <w:p>
      <w:pPr>
        <w:pStyle w:val="FirstParagraph"/>
      </w:pPr>
      <w:r>
        <w:t xml:space="preserve">The plan below assumes contract signature by 30 October 2026 and work starting on 2 November 2026. Week 13 falls in late January 2027, just before Tết. Drivers travel home for the holiday, and this is when vehicles are inspected and insurance is checked at the roadside, which makes it a good moment to launch. It is also a period when staff are scarce. We therefore propose a controlled soft launch to the first part of the cohort on 27 January 2027, the day after acceptance and the go/no-go decision, a change freeze over the holiday with 24-hour on-call cover, and a ramp-up to the full pilot cohort after Tết.</w:t>
      </w:r>
    </w:p>
    <w:p xmlns:a="http://schemas.openxmlformats.org/drawingml/2006/main" xmlns:pic="http://schemas.openxmlformats.org/drawingml/2006/picture">
      <w:pPr>
        <w:pStyle w:val="Figure"/>
      </w:pPr>
      <w:r>
        <w:drawing>
          <wp:inline>
            <wp:extent cx="5727700" cy="3106843"/>
            <wp:effectExtent b="0" l="0" r="0" t="0"/>
            <wp:docPr descr="MVP plan (indicative), from discovery to the pilot ramp-up after Tết" title="" id="5032" name="Picture"/>
            <a:graphic>
              <a:graphicData uri="http://schemas.openxmlformats.org/drawingml/2006/picture">
                <pic:pic>
                  <pic:nvPicPr>
                    <pic:cNvPr descr="/tmp/claude-0/-home-user-TASCO/19e5534d-12b5-5956-9b60-3e77efde0f49/scratchpad/gen/.cache/mermaid/1042f3abd8f2bb17.png" id="164" name="Picture"/>
                    <pic:cNvPicPr>
                      <a:picLocks noChangeArrowheads="1" noChangeAspect="1"/>
                    </pic:cNvPicPr>
                  </pic:nvPicPr>
                  <pic:blipFill>
                    <a:blip r:embed="rIdG32"/>
                    <a:stretch>
                      <a:fillRect/>
                    </a:stretch>
                  </pic:blipFill>
                  <pic:spPr bwMode="auto">
                    <a:xfrm>
                      <a:off x="0" y="0"/>
                      <a:ext cx="5727700" cy="3106843"/>
                    </a:xfrm>
                    <a:prstGeom prst="rect">
                      <a:avLst/>
                    </a:prstGeom>
                    <a:noFill/>
                    <a:ln w="9525">
                      <a:noFill/>
                      <a:headEnd/>
                      <a:tailEnd/>
                    </a:ln>
                  </pic:spPr>
                </pic:pic>
              </a:graphicData>
            </a:graphic>
          </wp:inline>
        </w:drawing>
      </w:r>
    </w:p>
    <w:p>
      <w:pPr>
        <w:pStyle w:val="Caption"/>
      </w:pPr>
      <w:r>
        <w:t xml:space="preserve">Figure 31 – MVP plan (indicative), from discovery to the pilot ramp-up after Tết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25"/>
        <w:gridCol w:w="728"/>
        <w:gridCol w:w="1863"/>
        <w:gridCol w:w="4211"/>
      </w:tblGrid>
      <w:tr>
        <w:trPr>
          <w:cantSplit/>
          <w:tblHeader/>
        </w:trPr>
        <w:tc>
          <w:tcPr>
            <w:tcW w:w="2225" w:type="dxa"/>
            <w:shd w:val="clear" w:color="auto" w:fill="0F4761"/>
            <w:vAlign w:val="center"/>
          </w:tcPr>
          <w:p>
            <w:pPr>
              <w:pStyle w:val="TableHeading"/>
              <w:jc w:val="left"/>
            </w:pPr>
            <w:r>
              <w:rPr>
                <w:color w:val="FFFFFF"/>
              </w:rPr>
              <w:t xml:space="preserve">Milestone</w:t>
            </w:r>
          </w:p>
        </w:tc>
        <w:tc>
          <w:tcPr>
            <w:tcW w:w="728" w:type="dxa"/>
            <w:shd w:val="clear" w:color="auto" w:fill="0F4761"/>
            <w:vAlign w:val="center"/>
          </w:tcPr>
          <w:p>
            <w:pPr>
              <w:pStyle w:val="TableHeading"/>
              <w:jc w:val="left"/>
            </w:pPr>
            <w:r>
              <w:rPr>
                <w:color w:val="FFFFFF"/>
              </w:rPr>
              <w:t xml:space="preserve">Week</w:t>
            </w:r>
          </w:p>
        </w:tc>
        <w:tc>
          <w:tcPr>
            <w:tcW w:w="1863" w:type="dxa"/>
            <w:shd w:val="clear" w:color="auto" w:fill="0F4761"/>
            <w:vAlign w:val="center"/>
          </w:tcPr>
          <w:p>
            <w:pPr>
              <w:pStyle w:val="TableHeading"/>
              <w:jc w:val="left"/>
            </w:pPr>
            <w:r>
              <w:rPr>
                <w:color w:val="FFFFFF"/>
              </w:rPr>
              <w:t xml:space="preserve">Date (indicative)</w:t>
            </w:r>
          </w:p>
        </w:tc>
        <w:tc>
          <w:tcPr>
            <w:tcW w:w="4211" w:type="dxa"/>
            <w:shd w:val="clear" w:color="auto" w:fill="0F4761"/>
            <w:vAlign w:val="center"/>
          </w:tcPr>
          <w:p>
            <w:pPr>
              <w:pStyle w:val="TableHeading"/>
              <w:jc w:val="left"/>
            </w:pPr>
            <w:r>
              <w:rPr>
                <w:color w:val="FFFFFF"/>
              </w:rPr>
              <w:t xml:space="preserve">Evidence</w:t>
            </w:r>
          </w:p>
        </w:tc>
      </w:tr>
      <w:tr>
        <w:trPr>
          <w:cantSplit/>
        </w:trPr>
        <w:tc>
          <w:tcPr>
            <w:tcW w:w="2225" w:type="dxa"/>
            <w:vAlign w:val="top"/>
          </w:tcPr>
          <w:p>
            <w:pPr>
              <w:pStyle w:val="TableText"/>
              <w:jc w:val="left"/>
            </w:pPr>
            <w:r>
              <w:t xml:space="preserve">M0 Mobilisation</w:t>
            </w:r>
          </w:p>
        </w:tc>
        <w:tc>
          <w:tcPr>
            <w:tcW w:w="728" w:type="dxa"/>
            <w:vAlign w:val="top"/>
          </w:tcPr>
          <w:p>
            <w:pPr>
              <w:pStyle w:val="TableText"/>
              <w:jc w:val="left"/>
            </w:pPr>
            <w:r>
              <w:t xml:space="preserve">0</w:t>
            </w:r>
          </w:p>
        </w:tc>
        <w:tc>
          <w:tcPr>
            <w:tcW w:w="1863" w:type="dxa"/>
            <w:vAlign w:val="top"/>
          </w:tcPr>
          <w:p>
            <w:pPr>
              <w:pStyle w:val="TableText"/>
              <w:jc w:val="left"/>
            </w:pPr>
            <w:r>
              <w:t xml:space="preserve">30 October 2026</w:t>
            </w:r>
          </w:p>
        </w:tc>
        <w:tc>
          <w:tcPr>
            <w:tcW w:w="4211" w:type="dxa"/>
            <w:vAlign w:val="top"/>
          </w:tcPr>
          <w:p>
            <w:pPr>
              <w:pStyle w:val="TableText"/>
              <w:jc w:val="left"/>
            </w:pPr>
            <w:r>
              <w:t xml:space="preserve">Contract signed; team onboarded</w:t>
            </w:r>
          </w:p>
        </w:tc>
      </w:tr>
      <w:tr>
        <w:trPr>
          <w:cantSplit/>
        </w:trPr>
        <w:tc>
          <w:tcPr>
            <w:tcW w:w="2225" w:type="dxa"/>
            <w:shd w:val="clear" w:color="auto" w:fill="F4F7FB"/>
            <w:vAlign w:val="top"/>
          </w:tcPr>
          <w:p>
            <w:pPr>
              <w:pStyle w:val="TableText"/>
              <w:jc w:val="left"/>
            </w:pPr>
            <w:r>
              <w:t xml:space="preserve">M1 Discovery complete</w:t>
            </w:r>
          </w:p>
        </w:tc>
        <w:tc>
          <w:tcPr>
            <w:tcW w:w="728" w:type="dxa"/>
            <w:shd w:val="clear" w:color="auto" w:fill="F4F7FB"/>
            <w:vAlign w:val="top"/>
          </w:tcPr>
          <w:p>
            <w:pPr>
              <w:pStyle w:val="TableText"/>
              <w:jc w:val="left"/>
            </w:pPr>
            <w:r>
              <w:t xml:space="preserve">2</w:t>
            </w:r>
          </w:p>
        </w:tc>
        <w:tc>
          <w:tcPr>
            <w:tcW w:w="1863" w:type="dxa"/>
            <w:shd w:val="clear" w:color="auto" w:fill="F4F7FB"/>
            <w:vAlign w:val="top"/>
          </w:tcPr>
          <w:p>
            <w:pPr>
              <w:pStyle w:val="TableText"/>
              <w:jc w:val="left"/>
            </w:pPr>
            <w:r>
              <w:t xml:space="preserve">13 November 2026</w:t>
            </w:r>
          </w:p>
        </w:tc>
        <w:tc>
          <w:tcPr>
            <w:tcW w:w="4211" w:type="dxa"/>
            <w:shd w:val="clear" w:color="auto" w:fill="F4F7FB"/>
            <w:vAlign w:val="top"/>
          </w:tcPr>
          <w:p>
            <w:pPr>
              <w:pStyle w:val="TableText"/>
              <w:jc w:val="left"/>
            </w:pPr>
            <w:r>
              <w:t xml:space="preserve">Discovery report, integration specifications and pilot design signed off</w:t>
            </w:r>
          </w:p>
        </w:tc>
      </w:tr>
      <w:tr>
        <w:trPr>
          <w:cantSplit/>
        </w:trPr>
        <w:tc>
          <w:tcPr>
            <w:tcW w:w="2225" w:type="dxa"/>
            <w:vAlign w:val="top"/>
          </w:tcPr>
          <w:p>
            <w:pPr>
              <w:pStyle w:val="TableText"/>
              <w:jc w:val="left"/>
            </w:pPr>
            <w:r>
              <w:t xml:space="preserve">M2 Integrated build</w:t>
            </w:r>
          </w:p>
        </w:tc>
        <w:tc>
          <w:tcPr>
            <w:tcW w:w="728" w:type="dxa"/>
            <w:vAlign w:val="top"/>
          </w:tcPr>
          <w:p>
            <w:pPr>
              <w:pStyle w:val="TableText"/>
              <w:jc w:val="left"/>
            </w:pPr>
            <w:r>
              <w:t xml:space="preserve">10</w:t>
            </w:r>
          </w:p>
        </w:tc>
        <w:tc>
          <w:tcPr>
            <w:tcW w:w="1863" w:type="dxa"/>
            <w:vAlign w:val="top"/>
          </w:tcPr>
          <w:p>
            <w:pPr>
              <w:pStyle w:val="TableText"/>
              <w:jc w:val="left"/>
            </w:pPr>
            <w:r>
              <w:t xml:space="preserve">8 January 2027</w:t>
            </w:r>
          </w:p>
        </w:tc>
        <w:tc>
          <w:tcPr>
            <w:tcW w:w="4211" w:type="dxa"/>
            <w:vAlign w:val="top"/>
          </w:tcPr>
          <w:p>
            <w:pPr>
              <w:pStyle w:val="TableText"/>
              <w:jc w:val="left"/>
            </w:pPr>
            <w:r>
              <w:t xml:space="preserve">End-to-end demonstration on sandboxes: core rating and issue, wallet debit, Zalo message, voice call</w:t>
            </w:r>
          </w:p>
        </w:tc>
      </w:tr>
      <w:tr>
        <w:trPr>
          <w:cantSplit/>
        </w:trPr>
        <w:tc>
          <w:tcPr>
            <w:tcW w:w="2225" w:type="dxa"/>
            <w:shd w:val="clear" w:color="auto" w:fill="F4F7FB"/>
            <w:vAlign w:val="top"/>
          </w:tcPr>
          <w:p>
            <w:pPr>
              <w:pStyle w:val="TableText"/>
              <w:jc w:val="left"/>
            </w:pPr>
            <w:r>
              <w:t xml:space="preserve">M3 Acceptance</w:t>
            </w:r>
          </w:p>
        </w:tc>
        <w:tc>
          <w:tcPr>
            <w:tcW w:w="728" w:type="dxa"/>
            <w:shd w:val="clear" w:color="auto" w:fill="F4F7FB"/>
            <w:vAlign w:val="top"/>
          </w:tcPr>
          <w:p>
            <w:pPr>
              <w:pStyle w:val="TableText"/>
              <w:jc w:val="left"/>
            </w:pPr>
            <w:r>
              <w:t xml:space="preserve">13</w:t>
            </w:r>
          </w:p>
        </w:tc>
        <w:tc>
          <w:tcPr>
            <w:tcW w:w="1863" w:type="dxa"/>
            <w:shd w:val="clear" w:color="auto" w:fill="F4F7FB"/>
            <w:vAlign w:val="top"/>
          </w:tcPr>
          <w:p>
            <w:pPr>
              <w:pStyle w:val="TableText"/>
              <w:jc w:val="left"/>
            </w:pPr>
            <w:r>
              <w:t xml:space="preserve">26 January 2027</w:t>
            </w:r>
          </w:p>
        </w:tc>
        <w:tc>
          <w:tcPr>
            <w:tcW w:w="4211" w:type="dxa"/>
            <w:shd w:val="clear" w:color="auto" w:fill="F4F7FB"/>
            <w:vAlign w:val="top"/>
          </w:tcPr>
          <w:p>
            <w:pPr>
              <w:pStyle w:val="TableText"/>
              <w:jc w:val="left"/>
            </w:pPr>
            <w:r>
              <w:t xml:space="preserve">UAT signed off; no open critical or high security findings</w:t>
            </w:r>
          </w:p>
        </w:tc>
      </w:tr>
      <w:tr>
        <w:trPr>
          <w:cantSplit/>
        </w:trPr>
        <w:tc>
          <w:tcPr>
            <w:tcW w:w="2225" w:type="dxa"/>
            <w:vAlign w:val="top"/>
          </w:tcPr>
          <w:p>
            <w:pPr>
              <w:pStyle w:val="TableText"/>
              <w:jc w:val="left"/>
            </w:pPr>
            <w:r>
              <w:t xml:space="preserve">M4 Pilot live and hypercare complete</w:t>
            </w:r>
          </w:p>
        </w:tc>
        <w:tc>
          <w:tcPr>
            <w:tcW w:w="728" w:type="dxa"/>
            <w:vAlign w:val="top"/>
          </w:tcPr>
          <w:p>
            <w:pPr>
              <w:pStyle w:val="TableText"/>
              <w:jc w:val="left"/>
            </w:pPr>
            <w:r>
              <w:t xml:space="preserve">17</w:t>
            </w:r>
          </w:p>
        </w:tc>
        <w:tc>
          <w:tcPr>
            <w:tcW w:w="1863" w:type="dxa"/>
            <w:vAlign w:val="top"/>
          </w:tcPr>
          <w:p>
            <w:pPr>
              <w:pStyle w:val="TableText"/>
              <w:jc w:val="left"/>
            </w:pPr>
            <w:r>
              <w:t xml:space="preserve">26 February 2027</w:t>
            </w:r>
          </w:p>
        </w:tc>
        <w:tc>
          <w:tcPr>
            <w:tcW w:w="4211" w:type="dxa"/>
            <w:vAlign w:val="top"/>
          </w:tcPr>
          <w:p>
            <w:pPr>
              <w:pStyle w:val="TableText"/>
              <w:jc w:val="left"/>
            </w:pPr>
            <w:r>
              <w:t xml:space="preserve">Pilot live; four weeks within service levels</w:t>
            </w:r>
          </w:p>
        </w:tc>
      </w:tr>
    </w:tbl>
    <w:p>
      <w:pPr>
        <w:pStyle w:val="BodyText"/>
        <w:spacing w:before="160"/>
      </w:pPr>
      <w:r>
        <w:t xml:space="preserve">The pilot read-out, with conversion measured against the control group, is planned about 12 weeks after go-live (early May 2027). That is long enough to cover a full renewal cycle of 45 days and to measure the conquest and new-vehicle journeys properly.</w:t>
      </w:r>
    </w:p>
    <w:p>
      <w:pPr>
        <w:pStyle w:val="BodyText"/>
      </w:pPr>
      <w:r>
        <w:t xml:space="preserve">After go-live, the roadmap opens further front doors on the same journeys and connects the remaining systems. The modules (S1 to S10) are priced in section 27.3.</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57"/>
        <w:gridCol w:w="1686"/>
        <w:gridCol w:w="5184"/>
      </w:tblGrid>
      <w:tr>
        <w:trPr>
          <w:cantSplit/>
          <w:tblHeader/>
        </w:trPr>
        <w:tc>
          <w:tcPr>
            <w:tcW w:w="2157" w:type="dxa"/>
            <w:shd w:val="clear" w:color="auto" w:fill="0F4761"/>
            <w:vAlign w:val="center"/>
          </w:tcPr>
          <w:p>
            <w:pPr>
              <w:pStyle w:val="TableHeading"/>
              <w:jc w:val="left"/>
            </w:pPr>
            <w:r>
              <w:rPr>
                <w:color w:val="FFFFFF"/>
              </w:rPr>
              <w:t xml:space="preserve">Period (indicative)</w:t>
            </w:r>
          </w:p>
        </w:tc>
        <w:tc>
          <w:tcPr>
            <w:tcW w:w="1686" w:type="dxa"/>
            <w:shd w:val="clear" w:color="auto" w:fill="0F4761"/>
            <w:vAlign w:val="center"/>
          </w:tcPr>
          <w:p>
            <w:pPr>
              <w:pStyle w:val="TableHeading"/>
              <w:jc w:val="left"/>
            </w:pPr>
            <w:r>
              <w:rPr>
                <w:color w:val="FFFFFF"/>
              </w:rPr>
              <w:t xml:space="preserve">Release</w:t>
            </w:r>
          </w:p>
        </w:tc>
        <w:tc>
          <w:tcPr>
            <w:tcW w:w="5184" w:type="dxa"/>
            <w:shd w:val="clear" w:color="auto" w:fill="0F4761"/>
            <w:vAlign w:val="center"/>
          </w:tcPr>
          <w:p>
            <w:pPr>
              <w:pStyle w:val="TableHeading"/>
              <w:jc w:val="left"/>
            </w:pPr>
            <w:r>
              <w:rPr>
                <w:color w:val="FFFFFF"/>
              </w:rPr>
              <w:t xml:space="preserve">Content</w:t>
            </w:r>
          </w:p>
        </w:tc>
      </w:tr>
      <w:tr>
        <w:trPr>
          <w:cantSplit/>
        </w:trPr>
        <w:tc>
          <w:tcPr>
            <w:tcW w:w="2157" w:type="dxa"/>
            <w:vAlign w:val="top"/>
          </w:tcPr>
          <w:p>
            <w:pPr>
              <w:pStyle w:val="TableText"/>
              <w:jc w:val="left"/>
            </w:pPr>
            <w:r>
              <w:t xml:space="preserve">27 January to 26 February 2027</w:t>
            </w:r>
          </w:p>
        </w:tc>
        <w:tc>
          <w:tcPr>
            <w:tcW w:w="1686" w:type="dxa"/>
            <w:vAlign w:val="top"/>
          </w:tcPr>
          <w:p>
            <w:pPr>
              <w:pStyle w:val="TableText"/>
              <w:jc w:val="left"/>
            </w:pPr>
            <w:r>
              <w:t xml:space="preserve">MVP live, hypercare</w:t>
            </w:r>
          </w:p>
        </w:tc>
        <w:tc>
          <w:tcPr>
            <w:tcW w:w="5184" w:type="dxa"/>
            <w:vAlign w:val="top"/>
          </w:tcPr>
          <w:p>
            <w:pPr>
              <w:pStyle w:val="TableText"/>
              <w:jc w:val="left"/>
            </w:pPr>
            <w:r>
              <w:t xml:space="preserve">Pilot in the VETC app; Zalo ZNS from TASCO’s Official Account; voice assistant; Tasco360 on the partner API</w:t>
            </w:r>
          </w:p>
        </w:tc>
      </w:tr>
      <w:tr>
        <w:trPr>
          <w:cantSplit/>
        </w:trPr>
        <w:tc>
          <w:tcPr>
            <w:tcW w:w="2157" w:type="dxa"/>
            <w:shd w:val="clear" w:color="auto" w:fill="F4F7FB"/>
            <w:vAlign w:val="top"/>
          </w:tcPr>
          <w:p>
            <w:pPr>
              <w:pStyle w:val="TableText"/>
              <w:jc w:val="left"/>
            </w:pPr>
            <w:r>
              <w:t xml:space="preserve">March 2027 (optional)</w:t>
            </w:r>
          </w:p>
        </w:tc>
        <w:tc>
          <w:tcPr>
            <w:tcW w:w="1686" w:type="dxa"/>
            <w:shd w:val="clear" w:color="auto" w:fill="F4F7FB"/>
            <w:vAlign w:val="top"/>
          </w:tcPr>
          <w:p>
            <w:pPr>
              <w:pStyle w:val="TableText"/>
              <w:jc w:val="left"/>
            </w:pPr>
            <w:r>
              <w:t xml:space="preserve">S3 TASCO app and website</w:t>
            </w:r>
          </w:p>
        </w:tc>
        <w:tc>
          <w:tcPr>
            <w:tcW w:w="5184" w:type="dxa"/>
            <w:shd w:val="clear" w:color="auto" w:fill="F4F7FB"/>
            <w:vAlign w:val="top"/>
          </w:tcPr>
          <w:p>
            <w:pPr>
              <w:pStyle w:val="TableText"/>
              <w:jc w:val="left"/>
            </w:pPr>
            <w:r>
              <w:t xml:space="preserve">The same journeys in TASCO’s app and website with TASCO’s payment gateway</w:t>
            </w:r>
          </w:p>
        </w:tc>
      </w:tr>
      <w:tr>
        <w:trPr>
          <w:cantSplit/>
        </w:trPr>
        <w:tc>
          <w:tcPr>
            <w:tcW w:w="2157" w:type="dxa"/>
            <w:vAlign w:val="top"/>
          </w:tcPr>
          <w:p>
            <w:pPr>
              <w:pStyle w:val="TableText"/>
              <w:jc w:val="left"/>
            </w:pPr>
            <w:r>
              <w:t xml:space="preserve">Early May 2027</w:t>
            </w:r>
          </w:p>
        </w:tc>
        <w:tc>
          <w:tcPr>
            <w:tcW w:w="1686" w:type="dxa"/>
            <w:vAlign w:val="top"/>
          </w:tcPr>
          <w:p>
            <w:pPr>
              <w:pStyle w:val="TableText"/>
              <w:jc w:val="left"/>
            </w:pPr>
            <w:r>
              <w:t xml:space="preserve">Pilot read-out</w:t>
            </w:r>
          </w:p>
        </w:tc>
        <w:tc>
          <w:tcPr>
            <w:tcW w:w="5184" w:type="dxa"/>
            <w:vAlign w:val="top"/>
          </w:tcPr>
          <w:p>
            <w:pPr>
              <w:pStyle w:val="TableText"/>
              <w:jc w:val="left"/>
            </w:pPr>
            <w:r>
              <w:t xml:space="preserve">Conversion against the control group; decision to scale</w:t>
            </w:r>
          </w:p>
        </w:tc>
      </w:tr>
      <w:tr>
        <w:trPr>
          <w:cantSplit/>
        </w:trPr>
        <w:tc>
          <w:tcPr>
            <w:tcW w:w="2157" w:type="dxa"/>
            <w:shd w:val="clear" w:color="auto" w:fill="F4F7FB"/>
            <w:vAlign w:val="top"/>
          </w:tcPr>
          <w:p>
            <w:pPr>
              <w:pStyle w:val="TableText"/>
              <w:jc w:val="left"/>
            </w:pPr>
            <w:r>
              <w:t xml:space="preserve">May to July 2027</w:t>
            </w:r>
          </w:p>
        </w:tc>
        <w:tc>
          <w:tcPr>
            <w:tcW w:w="1686" w:type="dxa"/>
            <w:shd w:val="clear" w:color="auto" w:fill="F4F7FB"/>
            <w:vAlign w:val="top"/>
          </w:tcPr>
          <w:p>
            <w:pPr>
              <w:pStyle w:val="TableText"/>
              <w:jc w:val="left"/>
            </w:pPr>
            <w:r>
              <w:t xml:space="preserve">Scale wave 1</w:t>
            </w:r>
          </w:p>
        </w:tc>
        <w:tc>
          <w:tcPr>
            <w:tcW w:w="5184" w:type="dxa"/>
            <w:shd w:val="clear" w:color="auto" w:fill="F4F7FB"/>
            <w:vAlign w:val="top"/>
          </w:tcPr>
          <w:p>
            <w:pPr>
              <w:pStyle w:val="TableText"/>
              <w:jc w:val="left"/>
            </w:pPr>
            <w:r>
              <w:t xml:space="preserve">Full base in province waves (S1); VETC sign-on and live events (S2); Zalo Mini App (S4); score calibration (S9)</w:t>
            </w:r>
          </w:p>
        </w:tc>
      </w:tr>
      <w:tr>
        <w:trPr>
          <w:cantSplit/>
        </w:trPr>
        <w:tc>
          <w:tcPr>
            <w:tcW w:w="2157" w:type="dxa"/>
            <w:vAlign w:val="top"/>
          </w:tcPr>
          <w:p>
            <w:pPr>
              <w:pStyle w:val="TableText"/>
              <w:jc w:val="left"/>
            </w:pPr>
            <w:r>
              <w:t xml:space="preserve">August to October 2027</w:t>
            </w:r>
          </w:p>
        </w:tc>
        <w:tc>
          <w:tcPr>
            <w:tcW w:w="1686" w:type="dxa"/>
            <w:vAlign w:val="top"/>
          </w:tcPr>
          <w:p>
            <w:pPr>
              <w:pStyle w:val="TableText"/>
              <w:jc w:val="left"/>
            </w:pPr>
            <w:r>
              <w:t xml:space="preserve">Scale wave 2</w:t>
            </w:r>
          </w:p>
        </w:tc>
        <w:tc>
          <w:tcPr>
            <w:tcW w:w="5184" w:type="dxa"/>
            <w:vAlign w:val="top"/>
          </w:tcPr>
          <w:p>
            <w:pPr>
              <w:pStyle w:val="TableText"/>
              <w:jc w:val="left"/>
            </w:pPr>
            <w:r>
              <w:t xml:space="preserve">Claims integration (S5); inspection booking and fleet portal (S6); further partners (S7); data warehouse (S8); full-scale assurance (S10)</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9" w:name="_Toc300000055"/>
      <w:r>
        <w:rPr>
          <w:rStyle w:val="BookTitle"/>
          <w:bCs w:val="0"/>
          <w:i w:val="0"/>
          <w:iCs w:val="0"/>
          <w:spacing w:val="0"/>
        </w:rPr>
        <w:t xml:space="preserve">Strategy for adoption and roll-out</w:t>
      </w:r>
      <w:bookmarkEnd w:id="59"/>
    </w:p>
    <w:p>
      <w:pPr>
        <w:pStyle w:val="FirstParagraph"/>
      </w:pPr>
      <w:r>
        <w:t xml:space="preserve">Technology alone will not move own-channel sales. The pilot is designed to answer three questions with evidence: does the platform increase policies sold, does it repair data, and do customers trust it?</w:t>
      </w:r>
    </w:p>
    <w:p>
      <w:pPr>
        <w:pStyle w:val="BodyText"/>
      </w:pPr>
      <w:r>
        <w:rPr>
          <w:b/>
          <w:bCs/>
        </w:rPr>
        <w:t xml:space="preserve">Pilot design.</w:t>
      </w:r>
      <w:r>
        <w:t xml:space="preserve"> </w:t>
      </w:r>
      <w:r>
        <w:t xml:space="preserve">We recommend one or two provinces with a mix of urban and inter-provincial drivers, for example Hà Nội and Bình Dương. Within the cohort, a randomly selected control group of around 10% receives business as usual, so that the effect of the platform can be separated from seasonality and partner activity.</w:t>
      </w:r>
    </w:p>
    <w:p>
      <w:pPr>
        <w:pStyle w:val="BodyText"/>
      </w:pPr>
      <w:r>
        <w:rPr>
          <w:b/>
          <w:bCs/>
        </w:rPr>
        <w:t xml:space="preserve">Success criteria.</w:t>
      </w:r>
      <w:r>
        <w:t xml:space="preserve"> </w:t>
      </w:r>
      <w:r>
        <w:t xml:space="preserve">We propose the following, to be confirmed in discovery.</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444"/>
        <w:gridCol w:w="4583"/>
      </w:tblGrid>
      <w:tr>
        <w:trPr>
          <w:cantSplit/>
          <w:tblHeader/>
        </w:trPr>
        <w:tc>
          <w:tcPr>
            <w:tcW w:w="4444" w:type="dxa"/>
            <w:shd w:val="clear" w:color="auto" w:fill="0F4761"/>
            <w:vAlign w:val="center"/>
          </w:tcPr>
          <w:p>
            <w:pPr>
              <w:pStyle w:val="TableHeading"/>
              <w:jc w:val="left"/>
            </w:pPr>
            <w:r>
              <w:rPr>
                <w:color w:val="FFFFFF"/>
              </w:rPr>
              <w:t xml:space="preserve">Measure</w:t>
            </w:r>
          </w:p>
        </w:tc>
        <w:tc>
          <w:tcPr>
            <w:tcW w:w="4583" w:type="dxa"/>
            <w:shd w:val="clear" w:color="auto" w:fill="0F4761"/>
            <w:vAlign w:val="center"/>
          </w:tcPr>
          <w:p>
            <w:pPr>
              <w:pStyle w:val="TableHeading"/>
              <w:jc w:val="left"/>
            </w:pPr>
            <w:r>
              <w:rPr>
                <w:color w:val="FFFFFF"/>
              </w:rPr>
              <w:t xml:space="preserve">Pilot target</w:t>
            </w:r>
          </w:p>
        </w:tc>
      </w:tr>
      <w:tr>
        <w:trPr>
          <w:cantSplit/>
        </w:trPr>
        <w:tc>
          <w:tcPr>
            <w:tcW w:w="4444" w:type="dxa"/>
            <w:vAlign w:val="top"/>
          </w:tcPr>
          <w:p>
            <w:pPr>
              <w:pStyle w:val="TableText"/>
              <w:jc w:val="left"/>
            </w:pPr>
            <w:r>
              <w:t xml:space="preserve">Vehicles with a usable expiry date</w:t>
            </w:r>
          </w:p>
        </w:tc>
        <w:tc>
          <w:tcPr>
            <w:tcW w:w="4583" w:type="dxa"/>
            <w:vAlign w:val="top"/>
          </w:tcPr>
          <w:p>
            <w:pPr>
              <w:pStyle w:val="TableText"/>
              <w:jc w:val="left"/>
            </w:pPr>
            <w:r>
              <w:t xml:space="preserve">From about 10% to at least 35% of the cohort</w:t>
            </w:r>
          </w:p>
        </w:tc>
      </w:tr>
      <w:tr>
        <w:trPr>
          <w:cantSplit/>
        </w:trPr>
        <w:tc>
          <w:tcPr>
            <w:tcW w:w="4444" w:type="dxa"/>
            <w:shd w:val="clear" w:color="auto" w:fill="F4F7FB"/>
            <w:vAlign w:val="top"/>
          </w:tcPr>
          <w:p>
            <w:pPr>
              <w:pStyle w:val="TableText"/>
              <w:jc w:val="left"/>
            </w:pPr>
            <w:r>
              <w:t xml:space="preserve">Own-channel TNDS conversion</w:t>
            </w:r>
          </w:p>
        </w:tc>
        <w:tc>
          <w:tcPr>
            <w:tcW w:w="4583" w:type="dxa"/>
            <w:shd w:val="clear" w:color="auto" w:fill="F4F7FB"/>
            <w:vAlign w:val="top"/>
          </w:tcPr>
          <w:p>
            <w:pPr>
              <w:pStyle w:val="TableText"/>
              <w:jc w:val="left"/>
            </w:pPr>
            <w:r>
              <w:t xml:space="preserve">Significantly above the control group (statistically tested)</w:t>
            </w:r>
          </w:p>
        </w:tc>
      </w:tr>
      <w:tr>
        <w:trPr>
          <w:cantSplit/>
        </w:trPr>
        <w:tc>
          <w:tcPr>
            <w:tcW w:w="4444" w:type="dxa"/>
            <w:vAlign w:val="top"/>
          </w:tcPr>
          <w:p>
            <w:pPr>
              <w:pStyle w:val="TableText"/>
              <w:jc w:val="left"/>
            </w:pPr>
            <w:r>
              <w:t xml:space="preserve">Policies bought in the app</w:t>
            </w:r>
          </w:p>
        </w:tc>
        <w:tc>
          <w:tcPr>
            <w:tcW w:w="4583" w:type="dxa"/>
            <w:vAlign w:val="top"/>
          </w:tcPr>
          <w:p>
            <w:pPr>
              <w:pStyle w:val="TableText"/>
              <w:jc w:val="left"/>
            </w:pPr>
            <w:r>
              <w:t xml:space="preserve">At least 60% of own-channel sales</w:t>
            </w:r>
          </w:p>
        </w:tc>
      </w:tr>
      <w:tr>
        <w:trPr>
          <w:cantSplit/>
        </w:trPr>
        <w:tc>
          <w:tcPr>
            <w:tcW w:w="4444" w:type="dxa"/>
            <w:shd w:val="clear" w:color="auto" w:fill="F4F7FB"/>
            <w:vAlign w:val="top"/>
          </w:tcPr>
          <w:p>
            <w:pPr>
              <w:pStyle w:val="TableText"/>
              <w:jc w:val="left"/>
            </w:pPr>
            <w:r>
              <w:t xml:space="preserve">Time from tapping</w:t>
            </w:r>
            <w:r>
              <w:t xml:space="preserve"> </w:t>
            </w:r>
            <w:r>
              <w:t xml:space="preserve">“</w:t>
            </w:r>
            <w:r>
              <w:t xml:space="preserve">Confirm and pay</w:t>
            </w:r>
            <w:r>
              <w:t xml:space="preserve">”</w:t>
            </w:r>
            <w:r>
              <w:t xml:space="preserve"> </w:t>
            </w:r>
            <w:r>
              <w:t xml:space="preserve">to e-certificate</w:t>
            </w:r>
          </w:p>
        </w:tc>
        <w:tc>
          <w:tcPr>
            <w:tcW w:w="4583" w:type="dxa"/>
            <w:shd w:val="clear" w:color="auto" w:fill="F4F7FB"/>
            <w:vAlign w:val="top"/>
          </w:tcPr>
          <w:p>
            <w:pPr>
              <w:pStyle w:val="TableText"/>
              <w:jc w:val="left"/>
            </w:pPr>
            <w:r>
              <w:t xml:space="preserve">Under 60 seconds for 95% of purchases</w:t>
            </w:r>
          </w:p>
        </w:tc>
      </w:tr>
      <w:tr>
        <w:trPr>
          <w:cantSplit/>
        </w:trPr>
        <w:tc>
          <w:tcPr>
            <w:tcW w:w="4444" w:type="dxa"/>
            <w:vAlign w:val="top"/>
          </w:tcPr>
          <w:p>
            <w:pPr>
              <w:pStyle w:val="TableText"/>
              <w:jc w:val="left"/>
            </w:pPr>
            <w:r>
              <w:t xml:space="preserve">Complaints about contact</w:t>
            </w:r>
          </w:p>
        </w:tc>
        <w:tc>
          <w:tcPr>
            <w:tcW w:w="4583" w:type="dxa"/>
            <w:vAlign w:val="top"/>
          </w:tcPr>
          <w:p>
            <w:pPr>
              <w:pStyle w:val="TableText"/>
              <w:jc w:val="left"/>
            </w:pPr>
            <w:r>
              <w:t xml:space="preserve">Fewer than 1 per 1,000 customers contacted</w:t>
            </w:r>
          </w:p>
        </w:tc>
      </w:tr>
      <w:tr>
        <w:trPr>
          <w:cantSplit/>
        </w:trPr>
        <w:tc>
          <w:tcPr>
            <w:tcW w:w="4444" w:type="dxa"/>
            <w:shd w:val="clear" w:color="auto" w:fill="F4F7FB"/>
            <w:vAlign w:val="top"/>
          </w:tcPr>
          <w:p>
            <w:pPr>
              <w:pStyle w:val="TableText"/>
              <w:jc w:val="left"/>
            </w:pPr>
            <w:r>
              <w:t xml:space="preserve">Compliance breaches (copy, consent, contact window)</w:t>
            </w:r>
          </w:p>
        </w:tc>
        <w:tc>
          <w:tcPr>
            <w:tcW w:w="4583" w:type="dxa"/>
            <w:shd w:val="clear" w:color="auto" w:fill="F4F7FB"/>
            <w:vAlign w:val="top"/>
          </w:tcPr>
          <w:p>
            <w:pPr>
              <w:pStyle w:val="TableText"/>
              <w:jc w:val="left"/>
            </w:pPr>
            <w:r>
              <w:t xml:space="preserve">Zero</w:t>
            </w:r>
          </w:p>
        </w:tc>
      </w:tr>
      <w:tr>
        <w:trPr>
          <w:cantSplit/>
        </w:trPr>
        <w:tc>
          <w:tcPr>
            <w:tcW w:w="4444" w:type="dxa"/>
            <w:vAlign w:val="top"/>
          </w:tcPr>
          <w:p>
            <w:pPr>
              <w:pStyle w:val="TableText"/>
              <w:jc w:val="left"/>
            </w:pPr>
            <w:r>
              <w:t xml:space="preserve">Availability of the purchase path</w:t>
            </w:r>
          </w:p>
        </w:tc>
        <w:tc>
          <w:tcPr>
            <w:tcW w:w="4583" w:type="dxa"/>
            <w:vAlign w:val="top"/>
          </w:tcPr>
          <w:p>
            <w:pPr>
              <w:pStyle w:val="TableText"/>
              <w:jc w:val="left"/>
            </w:pPr>
            <w:r>
              <w:t xml:space="preserve">99.9%</w:t>
            </w:r>
          </w:p>
        </w:tc>
      </w:tr>
    </w:tbl>
    <w:p>
      <w:pPr>
        <w:pStyle w:val="BodyText"/>
        <w:spacing w:before="160"/>
      </w:pPr>
      <w:r>
        <w:rPr>
          <w:b/>
          <w:bCs/>
        </w:rPr>
        <w:t xml:space="preserve">Channel sequencing.</w:t>
      </w:r>
      <w:r>
        <w:t xml:space="preserve"> </w:t>
      </w:r>
      <w:r>
        <w:t xml:space="preserve">We recommend opening the front doors in order of control and measurability. The VETC app comes first, because the pilot cohort and its control group live there. Tasco360 follows as the first partner, because TASCO owns it and its users already sell TASCO policies. TASCO’s own app and website can follow from March on the same journeys and TASCO’s payment gateway; their sales are recorded against their own channel, so they do not blur the pilot measurement. The Zalo Mini App and further partners follow the decision to scale. TASCO’s existing followers on Zalo and Facebook are the cheapest audience to tell about the new service.</w:t>
      </w:r>
    </w:p>
    <w:p>
      <w:pPr>
        <w:pStyle w:val="BodyText"/>
      </w:pPr>
      <w:r>
        <w:rPr>
          <w:b/>
          <w:bCs/>
        </w:rPr>
        <w:t xml:space="preserve">Roll-out after the pilot.</w:t>
      </w:r>
      <w:r>
        <w:t xml:space="preserve"> </w:t>
      </w:r>
      <w:r>
        <w:t xml:space="preserve">If the targets are met, the base is extended province by province, with capacity tests before each step. Partners are brought onto the API in waves, starting with those whose customers overlap least with VETC’s own channels.</w:t>
      </w:r>
    </w:p>
    <w:p>
      <w:pPr>
        <w:pStyle w:val="BodyText"/>
      </w:pPr>
      <w:r>
        <w:rPr>
          <w:b/>
          <w:bCs/>
        </w:rPr>
        <w:t xml:space="preserve">Marketing and communications.</w:t>
      </w:r>
      <w:r>
        <w:t xml:space="preserve"> </w:t>
      </w:r>
      <w:r>
        <w:t xml:space="preserve">TASCO and VETC own customer communications. We will provide the message templates, the copy guard and the measurement, and we recommend launching with a simple promise:</w:t>
      </w:r>
      <w:r>
        <w:t xml:space="preserve"> </w:t>
      </w:r>
      <w:r>
        <w:t xml:space="preserve">“</w:t>
      </w:r>
      <w:r>
        <w:t xml:space="preserve">Renew in the VETC app in one minute, with roadside help included.</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60" w:name="_Toc300000056"/>
      <w:r>
        <w:rPr>
          <w:rStyle w:val="BookTitle"/>
          <w:bCs w:val="0"/>
          <w:i w:val="0"/>
          <w:iCs w:val="0"/>
          <w:spacing w:val="0"/>
        </w:rPr>
        <w:t xml:space="preserve">Training and change management</w:t>
      </w:r>
      <w:bookmarkEnd w:id="6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301"/>
        <w:gridCol w:w="2388"/>
        <w:gridCol w:w="3359"/>
        <w:gridCol w:w="979"/>
      </w:tblGrid>
      <w:tr>
        <w:trPr>
          <w:cantSplit/>
          <w:tblHeader/>
        </w:trPr>
        <w:tc>
          <w:tcPr>
            <w:tcW w:w="2301" w:type="dxa"/>
            <w:shd w:val="clear" w:color="auto" w:fill="0F4761"/>
            <w:vAlign w:val="center"/>
          </w:tcPr>
          <w:p>
            <w:pPr>
              <w:pStyle w:val="TableHeading"/>
              <w:jc w:val="left"/>
            </w:pPr>
            <w:r>
              <w:rPr>
                <w:color w:val="FFFFFF"/>
              </w:rPr>
              <w:t xml:space="preserve">Audience</w:t>
            </w:r>
          </w:p>
        </w:tc>
        <w:tc>
          <w:tcPr>
            <w:tcW w:w="2388" w:type="dxa"/>
            <w:shd w:val="clear" w:color="auto" w:fill="0F4761"/>
            <w:vAlign w:val="center"/>
          </w:tcPr>
          <w:p>
            <w:pPr>
              <w:pStyle w:val="TableHeading"/>
              <w:jc w:val="left"/>
            </w:pPr>
            <w:r>
              <w:rPr>
                <w:color w:val="FFFFFF"/>
              </w:rPr>
              <w:t xml:space="preserve">Format</w:t>
            </w:r>
          </w:p>
        </w:tc>
        <w:tc>
          <w:tcPr>
            <w:tcW w:w="3359" w:type="dxa"/>
            <w:shd w:val="clear" w:color="auto" w:fill="0F4761"/>
            <w:vAlign w:val="center"/>
          </w:tcPr>
          <w:p>
            <w:pPr>
              <w:pStyle w:val="TableHeading"/>
              <w:jc w:val="left"/>
            </w:pPr>
            <w:r>
              <w:rPr>
                <w:color w:val="FFFFFF"/>
              </w:rPr>
              <w:t xml:space="preserve">Content</w:t>
            </w:r>
          </w:p>
        </w:tc>
        <w:tc>
          <w:tcPr>
            <w:tcW w:w="979" w:type="dxa"/>
            <w:shd w:val="clear" w:color="auto" w:fill="0F4761"/>
            <w:vAlign w:val="center"/>
          </w:tcPr>
          <w:p>
            <w:pPr>
              <w:pStyle w:val="TableHeading"/>
              <w:jc w:val="left"/>
            </w:pPr>
            <w:r>
              <w:rPr>
                <w:color w:val="FFFFFF"/>
              </w:rPr>
              <w:t xml:space="preserve">When</w:t>
            </w:r>
          </w:p>
        </w:tc>
      </w:tr>
      <w:tr>
        <w:trPr>
          <w:cantSplit/>
        </w:trPr>
        <w:tc>
          <w:tcPr>
            <w:tcW w:w="2301" w:type="dxa"/>
            <w:vAlign w:val="top"/>
          </w:tcPr>
          <w:p>
            <w:pPr>
              <w:pStyle w:val="TableText"/>
              <w:jc w:val="left"/>
            </w:pPr>
            <w:r>
              <w:t xml:space="preserve">Telesales agents and supervisors</w:t>
            </w:r>
          </w:p>
        </w:tc>
        <w:tc>
          <w:tcPr>
            <w:tcW w:w="2388" w:type="dxa"/>
            <w:vAlign w:val="top"/>
          </w:tcPr>
          <w:p>
            <w:pPr>
              <w:pStyle w:val="TableText"/>
              <w:jc w:val="left"/>
            </w:pPr>
            <w:r>
              <w:t xml:space="preserve">Classroom and practice in UAT, half a day</w:t>
            </w:r>
          </w:p>
        </w:tc>
        <w:tc>
          <w:tcPr>
            <w:tcW w:w="3359" w:type="dxa"/>
            <w:vAlign w:val="top"/>
          </w:tcPr>
          <w:p>
            <w:pPr>
              <w:pStyle w:val="TableText"/>
              <w:jc w:val="left"/>
            </w:pPr>
            <w:r>
              <w:t xml:space="preserve">Handoff inbox, customer 360 view, sending quotes to the app, scripts that respect the no-discount rule</w:t>
            </w:r>
          </w:p>
        </w:tc>
        <w:tc>
          <w:tcPr>
            <w:tcW w:w="979" w:type="dxa"/>
            <w:vAlign w:val="top"/>
          </w:tcPr>
          <w:p>
            <w:pPr>
              <w:pStyle w:val="TableText"/>
              <w:jc w:val="left"/>
            </w:pPr>
            <w:r>
              <w:t xml:space="preserve">Week 12</w:t>
            </w:r>
          </w:p>
        </w:tc>
      </w:tr>
      <w:tr>
        <w:trPr>
          <w:cantSplit/>
        </w:trPr>
        <w:tc>
          <w:tcPr>
            <w:tcW w:w="2301" w:type="dxa"/>
            <w:shd w:val="clear" w:color="auto" w:fill="F4F7FB"/>
            <w:vAlign w:val="top"/>
          </w:tcPr>
          <w:p>
            <w:pPr>
              <w:pStyle w:val="TableText"/>
              <w:jc w:val="left"/>
            </w:pPr>
            <w:r>
              <w:t xml:space="preserve">Campaign managers</w:t>
            </w:r>
          </w:p>
        </w:tc>
        <w:tc>
          <w:tcPr>
            <w:tcW w:w="2388" w:type="dxa"/>
            <w:shd w:val="clear" w:color="auto" w:fill="F4F7FB"/>
            <w:vAlign w:val="top"/>
          </w:tcPr>
          <w:p>
            <w:pPr>
              <w:pStyle w:val="TableText"/>
              <w:jc w:val="left"/>
            </w:pPr>
            <w:r>
              <w:t xml:space="preserve">Workshop, one day</w:t>
            </w:r>
          </w:p>
        </w:tc>
        <w:tc>
          <w:tcPr>
            <w:tcW w:w="3359" w:type="dxa"/>
            <w:shd w:val="clear" w:color="auto" w:fill="F4F7FB"/>
            <w:vAlign w:val="top"/>
          </w:tcPr>
          <w:p>
            <w:pPr>
              <w:pStyle w:val="TableText"/>
              <w:jc w:val="left"/>
            </w:pPr>
            <w:r>
              <w:t xml:space="preserve">Leads, journeys, voice campaigns, dashboards</w:t>
            </w:r>
          </w:p>
        </w:tc>
        <w:tc>
          <w:tcPr>
            <w:tcW w:w="979" w:type="dxa"/>
            <w:shd w:val="clear" w:color="auto" w:fill="F4F7FB"/>
            <w:vAlign w:val="top"/>
          </w:tcPr>
          <w:p>
            <w:pPr>
              <w:pStyle w:val="TableText"/>
              <w:jc w:val="left"/>
            </w:pPr>
            <w:r>
              <w:t xml:space="preserve">Week 11</w:t>
            </w:r>
          </w:p>
        </w:tc>
      </w:tr>
      <w:tr>
        <w:trPr>
          <w:cantSplit/>
        </w:trPr>
        <w:tc>
          <w:tcPr>
            <w:tcW w:w="2301" w:type="dxa"/>
            <w:vAlign w:val="top"/>
          </w:tcPr>
          <w:p>
            <w:pPr>
              <w:pStyle w:val="TableText"/>
              <w:jc w:val="left"/>
            </w:pPr>
            <w:r>
              <w:t xml:space="preserve">Product rule authors and compliance approvers</w:t>
            </w:r>
          </w:p>
        </w:tc>
        <w:tc>
          <w:tcPr>
            <w:tcW w:w="2388" w:type="dxa"/>
            <w:vAlign w:val="top"/>
          </w:tcPr>
          <w:p>
            <w:pPr>
              <w:pStyle w:val="TableText"/>
              <w:jc w:val="left"/>
            </w:pPr>
            <w:r>
              <w:t xml:space="preserve">Workshop, one day</w:t>
            </w:r>
          </w:p>
        </w:tc>
        <w:tc>
          <w:tcPr>
            <w:tcW w:w="3359" w:type="dxa"/>
            <w:vAlign w:val="top"/>
          </w:tcPr>
          <w:p>
            <w:pPr>
              <w:pStyle w:val="TableText"/>
              <w:jc w:val="left"/>
            </w:pPr>
            <w:r>
              <w:t xml:space="preserve">Rules studio: drafting, simulation, approval, rollback</w:t>
            </w:r>
          </w:p>
        </w:tc>
        <w:tc>
          <w:tcPr>
            <w:tcW w:w="979" w:type="dxa"/>
            <w:vAlign w:val="top"/>
          </w:tcPr>
          <w:p>
            <w:pPr>
              <w:pStyle w:val="TableText"/>
              <w:jc w:val="left"/>
            </w:pPr>
            <w:r>
              <w:t xml:space="preserve">Weeks 9 to 11</w:t>
            </w:r>
          </w:p>
        </w:tc>
      </w:tr>
      <w:tr>
        <w:trPr>
          <w:cantSplit/>
        </w:trPr>
        <w:tc>
          <w:tcPr>
            <w:tcW w:w="2301" w:type="dxa"/>
            <w:shd w:val="clear" w:color="auto" w:fill="F4F7FB"/>
            <w:vAlign w:val="top"/>
          </w:tcPr>
          <w:p>
            <w:pPr>
              <w:pStyle w:val="TableText"/>
              <w:jc w:val="left"/>
            </w:pPr>
            <w:r>
              <w:t xml:space="preserve">Data stewards</w:t>
            </w:r>
          </w:p>
        </w:tc>
        <w:tc>
          <w:tcPr>
            <w:tcW w:w="2388" w:type="dxa"/>
            <w:shd w:val="clear" w:color="auto" w:fill="F4F7FB"/>
            <w:vAlign w:val="top"/>
          </w:tcPr>
          <w:p>
            <w:pPr>
              <w:pStyle w:val="TableText"/>
              <w:jc w:val="left"/>
            </w:pPr>
            <w:r>
              <w:t xml:space="preserve">Workshop, half a day</w:t>
            </w:r>
          </w:p>
        </w:tc>
        <w:tc>
          <w:tcPr>
            <w:tcW w:w="3359" w:type="dxa"/>
            <w:shd w:val="clear" w:color="auto" w:fill="F4F7FB"/>
            <w:vAlign w:val="top"/>
          </w:tcPr>
          <w:p>
            <w:pPr>
              <w:pStyle w:val="TableText"/>
              <w:jc w:val="left"/>
            </w:pPr>
            <w:r>
              <w:t xml:space="preserve">Data-quality queue, corrections with evidence, lineage</w:t>
            </w:r>
          </w:p>
        </w:tc>
        <w:tc>
          <w:tcPr>
            <w:tcW w:w="979" w:type="dxa"/>
            <w:shd w:val="clear" w:color="auto" w:fill="F4F7FB"/>
            <w:vAlign w:val="top"/>
          </w:tcPr>
          <w:p>
            <w:pPr>
              <w:pStyle w:val="TableText"/>
              <w:jc w:val="left"/>
            </w:pPr>
            <w:r>
              <w:t xml:space="preserve">Week 11</w:t>
            </w:r>
          </w:p>
        </w:tc>
      </w:tr>
      <w:tr>
        <w:trPr>
          <w:cantSplit/>
        </w:trPr>
        <w:tc>
          <w:tcPr>
            <w:tcW w:w="2301" w:type="dxa"/>
            <w:vAlign w:val="top"/>
          </w:tcPr>
          <w:p>
            <w:pPr>
              <w:pStyle w:val="TableText"/>
              <w:jc w:val="left"/>
            </w:pPr>
            <w:r>
              <w:t xml:space="preserve">Claims handlers and partner managers</w:t>
            </w:r>
          </w:p>
        </w:tc>
        <w:tc>
          <w:tcPr>
            <w:tcW w:w="2388" w:type="dxa"/>
            <w:vAlign w:val="top"/>
          </w:tcPr>
          <w:p>
            <w:pPr>
              <w:pStyle w:val="TableText"/>
              <w:jc w:val="left"/>
            </w:pPr>
            <w:r>
              <w:t xml:space="preserve">Session, two hours each</w:t>
            </w:r>
          </w:p>
        </w:tc>
        <w:tc>
          <w:tcPr>
            <w:tcW w:w="3359" w:type="dxa"/>
            <w:vAlign w:val="top"/>
          </w:tcPr>
          <w:p>
            <w:pPr>
              <w:pStyle w:val="TableText"/>
              <w:jc w:val="left"/>
            </w:pPr>
            <w:r>
              <w:t xml:space="preserve">Claims queue; partner onboarding, keys and statements</w:t>
            </w:r>
          </w:p>
        </w:tc>
        <w:tc>
          <w:tcPr>
            <w:tcW w:w="979" w:type="dxa"/>
            <w:vAlign w:val="top"/>
          </w:tcPr>
          <w:p>
            <w:pPr>
              <w:pStyle w:val="TableText"/>
              <w:jc w:val="left"/>
            </w:pPr>
            <w:r>
              <w:t xml:space="preserve">Week 12</w:t>
            </w:r>
          </w:p>
        </w:tc>
      </w:tr>
      <w:tr>
        <w:trPr>
          <w:cantSplit/>
        </w:trPr>
        <w:tc>
          <w:tcPr>
            <w:tcW w:w="2301" w:type="dxa"/>
            <w:shd w:val="clear" w:color="auto" w:fill="F4F7FB"/>
            <w:vAlign w:val="top"/>
          </w:tcPr>
          <w:p>
            <w:pPr>
              <w:pStyle w:val="TableText"/>
              <w:jc w:val="left"/>
            </w:pPr>
            <w:r>
              <w:t xml:space="preserve">TASCO IT and support</w:t>
            </w:r>
          </w:p>
        </w:tc>
        <w:tc>
          <w:tcPr>
            <w:tcW w:w="2388" w:type="dxa"/>
            <w:shd w:val="clear" w:color="auto" w:fill="F4F7FB"/>
            <w:vAlign w:val="top"/>
          </w:tcPr>
          <w:p>
            <w:pPr>
              <w:pStyle w:val="TableText"/>
              <w:jc w:val="left"/>
            </w:pPr>
            <w:r>
              <w:t xml:space="preserve">Technical handover, two days</w:t>
            </w:r>
          </w:p>
        </w:tc>
        <w:tc>
          <w:tcPr>
            <w:tcW w:w="3359" w:type="dxa"/>
            <w:shd w:val="clear" w:color="auto" w:fill="F4F7FB"/>
            <w:vAlign w:val="top"/>
          </w:tcPr>
          <w:p>
            <w:pPr>
              <w:pStyle w:val="TableText"/>
              <w:jc w:val="left"/>
            </w:pPr>
            <w:r>
              <w:t xml:space="preserve">Architecture, deployment, monitoring, runbooks, incident handling</w:t>
            </w:r>
          </w:p>
        </w:tc>
        <w:tc>
          <w:tcPr>
            <w:tcW w:w="979" w:type="dxa"/>
            <w:shd w:val="clear" w:color="auto" w:fill="F4F7FB"/>
            <w:vAlign w:val="top"/>
          </w:tcPr>
          <w:p>
            <w:pPr>
              <w:pStyle w:val="TableText"/>
              <w:jc w:val="left"/>
            </w:pPr>
            <w:r>
              <w:t xml:space="preserve">Weeks 12 to 13</w:t>
            </w:r>
          </w:p>
        </w:tc>
      </w:tr>
      <w:tr>
        <w:trPr>
          <w:cantSplit/>
        </w:trPr>
        <w:tc>
          <w:tcPr>
            <w:tcW w:w="2301" w:type="dxa"/>
            <w:vAlign w:val="top"/>
          </w:tcPr>
          <w:p>
            <w:pPr>
              <w:pStyle w:val="TableText"/>
              <w:jc w:val="left"/>
            </w:pPr>
            <w:r>
              <w:t xml:space="preserve">Tasco360 users and partner staff</w:t>
            </w:r>
          </w:p>
        </w:tc>
        <w:tc>
          <w:tcPr>
            <w:tcW w:w="2388" w:type="dxa"/>
            <w:vAlign w:val="top"/>
          </w:tcPr>
          <w:p>
            <w:pPr>
              <w:pStyle w:val="TableText"/>
              <w:jc w:val="left"/>
            </w:pPr>
            <w:r>
              <w:t xml:space="preserve">Integration guide, sandbox and a short demonstration</w:t>
            </w:r>
          </w:p>
        </w:tc>
        <w:tc>
          <w:tcPr>
            <w:tcW w:w="3359" w:type="dxa"/>
            <w:vAlign w:val="top"/>
          </w:tcPr>
          <w:p>
            <w:pPr>
              <w:pStyle w:val="TableText"/>
              <w:jc w:val="left"/>
            </w:pPr>
            <w:r>
              <w:t xml:space="preserve">Quote by plate, instant certificate, commission statement</w:t>
            </w:r>
          </w:p>
        </w:tc>
        <w:tc>
          <w:tcPr>
            <w:tcW w:w="979" w:type="dxa"/>
            <w:vAlign w:val="top"/>
          </w:tcPr>
          <w:p>
            <w:pPr>
              <w:pStyle w:val="TableText"/>
              <w:jc w:val="left"/>
            </w:pPr>
            <w:r>
              <w:t xml:space="preserve">From week 8</w:t>
            </w:r>
          </w:p>
        </w:tc>
      </w:tr>
      <w:tr>
        <w:trPr>
          <w:cantSplit/>
        </w:trPr>
        <w:tc>
          <w:tcPr>
            <w:tcW w:w="2301" w:type="dxa"/>
            <w:shd w:val="clear" w:color="auto" w:fill="F4F7FB"/>
            <w:vAlign w:val="top"/>
          </w:tcPr>
          <w:p>
            <w:pPr>
              <w:pStyle w:val="TableText"/>
              <w:jc w:val="left"/>
            </w:pPr>
            <w:r>
              <w:t xml:space="preserve">TASCO digital team (TASCO app, website, Zalo OA, Tasco360)</w:t>
            </w:r>
          </w:p>
        </w:tc>
        <w:tc>
          <w:tcPr>
            <w:tcW w:w="2388" w:type="dxa"/>
            <w:shd w:val="clear" w:color="auto" w:fill="F4F7FB"/>
            <w:vAlign w:val="top"/>
          </w:tcPr>
          <w:p>
            <w:pPr>
              <w:pStyle w:val="TableText"/>
              <w:jc w:val="left"/>
            </w:pPr>
            <w:r>
              <w:t xml:space="preserve">Technical session, half a day</w:t>
            </w:r>
          </w:p>
        </w:tc>
        <w:tc>
          <w:tcPr>
            <w:tcW w:w="3359" w:type="dxa"/>
            <w:shd w:val="clear" w:color="auto" w:fill="F4F7FB"/>
            <w:vAlign w:val="top"/>
          </w:tcPr>
          <w:p>
            <w:pPr>
              <w:pStyle w:val="TableText"/>
              <w:jc w:val="left"/>
            </w:pPr>
            <w:r>
              <w:t xml:space="preserve">Embedding the journeys, partner API keys, shared wording and contacts</w:t>
            </w:r>
          </w:p>
        </w:tc>
        <w:tc>
          <w:tcPr>
            <w:tcW w:w="979" w:type="dxa"/>
            <w:shd w:val="clear" w:color="auto" w:fill="F4F7FB"/>
            <w:vAlign w:val="top"/>
          </w:tcPr>
          <w:p>
            <w:pPr>
              <w:pStyle w:val="TableText"/>
              <w:jc w:val="left"/>
            </w:pPr>
            <w:r>
              <w:t xml:space="preserve">Week 12</w:t>
            </w:r>
          </w:p>
        </w:tc>
      </w:tr>
    </w:tbl>
    <w:p>
      <w:pPr>
        <w:pStyle w:val="BodyText"/>
        <w:spacing w:before="160"/>
      </w:pPr>
      <w:r>
        <w:t xml:space="preserve">Training is supported by the Staff Console User Manual, which has a chapter for each role, the Customer App Guide, short how-to videos recorded during UAT, and in-app help. We train a group of super users at TASCO who then support their colleagues. Change management covers clear communication of the new ways of working, especially for telesales: their role shifts from cold calling to closing warm, verified leads.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61" w:name="_Toc300000057"/>
      <w:r>
        <w:rPr>
          <w:rStyle w:val="BookTitle"/>
          <w:bCs w:val="0"/>
          <w:i w:val="0"/>
          <w:iCs w:val="0"/>
          <w:spacing w:val="0"/>
        </w:rPr>
        <w:t xml:space="preserve">Testing and quality assurance</w:t>
      </w:r>
      <w:bookmarkEnd w:id="61"/>
    </w:p>
    <w:p>
      <w:pPr>
        <w:pStyle w:val="FirstParagraph"/>
      </w:pPr>
      <w:r>
        <w:t xml:space="preserve">Quality is built into the platform. Today it has more than 250 automated tests, covering unit, integration, API, security and functional tests, with over 99% line coverage. There is also a functional test for every user-story scenario. For the MVP we add the following.</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75"/>
        <w:gridCol w:w="3021"/>
        <w:gridCol w:w="1832"/>
        <w:gridCol w:w="2299"/>
      </w:tblGrid>
      <w:tr>
        <w:trPr>
          <w:cantSplit/>
          <w:tblHeader/>
        </w:trPr>
        <w:tc>
          <w:tcPr>
            <w:tcW w:w="1875" w:type="dxa"/>
            <w:shd w:val="clear" w:color="auto" w:fill="0F4761"/>
            <w:vAlign w:val="center"/>
          </w:tcPr>
          <w:p>
            <w:pPr>
              <w:pStyle w:val="TableHeading"/>
              <w:jc w:val="left"/>
            </w:pPr>
            <w:r>
              <w:rPr>
                <w:color w:val="FFFFFF"/>
              </w:rPr>
              <w:t xml:space="preserve">Test stage</w:t>
            </w:r>
          </w:p>
        </w:tc>
        <w:tc>
          <w:tcPr>
            <w:tcW w:w="3021" w:type="dxa"/>
            <w:shd w:val="clear" w:color="auto" w:fill="0F4761"/>
            <w:vAlign w:val="center"/>
          </w:tcPr>
          <w:p>
            <w:pPr>
              <w:pStyle w:val="TableHeading"/>
              <w:jc w:val="left"/>
            </w:pPr>
            <w:r>
              <w:rPr>
                <w:color w:val="FFFFFF"/>
              </w:rPr>
              <w:t xml:space="preserve">What it covers</w:t>
            </w:r>
          </w:p>
        </w:tc>
        <w:tc>
          <w:tcPr>
            <w:tcW w:w="1832" w:type="dxa"/>
            <w:shd w:val="clear" w:color="auto" w:fill="0F4761"/>
            <w:vAlign w:val="center"/>
          </w:tcPr>
          <w:p>
            <w:pPr>
              <w:pStyle w:val="TableHeading"/>
              <w:jc w:val="left"/>
            </w:pPr>
            <w:r>
              <w:rPr>
                <w:color w:val="FFFFFF"/>
              </w:rPr>
              <w:t xml:space="preserve">Owner</w:t>
            </w:r>
          </w:p>
        </w:tc>
        <w:tc>
          <w:tcPr>
            <w:tcW w:w="2299" w:type="dxa"/>
            <w:shd w:val="clear" w:color="auto" w:fill="0F4761"/>
            <w:vAlign w:val="center"/>
          </w:tcPr>
          <w:p>
            <w:pPr>
              <w:pStyle w:val="TableHeading"/>
              <w:jc w:val="left"/>
            </w:pPr>
            <w:r>
              <w:rPr>
                <w:color w:val="FFFFFF"/>
              </w:rPr>
              <w:t xml:space="preserve">Exit criterion</w:t>
            </w:r>
          </w:p>
        </w:tc>
      </w:tr>
      <w:tr>
        <w:trPr>
          <w:cantSplit/>
        </w:trPr>
        <w:tc>
          <w:tcPr>
            <w:tcW w:w="1875" w:type="dxa"/>
            <w:vAlign w:val="top"/>
          </w:tcPr>
          <w:p>
            <w:pPr>
              <w:pStyle w:val="TableText"/>
              <w:jc w:val="left"/>
            </w:pPr>
            <w:r>
              <w:t xml:space="preserve">Unit and component</w:t>
            </w:r>
          </w:p>
        </w:tc>
        <w:tc>
          <w:tcPr>
            <w:tcW w:w="3021" w:type="dxa"/>
            <w:vAlign w:val="top"/>
          </w:tcPr>
          <w:p>
            <w:pPr>
              <w:pStyle w:val="TableText"/>
              <w:jc w:val="left"/>
            </w:pPr>
            <w:r>
              <w:t xml:space="preserve">New adapters and configuration</w:t>
            </w:r>
          </w:p>
        </w:tc>
        <w:tc>
          <w:tcPr>
            <w:tcW w:w="1832" w:type="dxa"/>
            <w:vAlign w:val="top"/>
          </w:tcPr>
          <w:p>
            <w:pPr>
              <w:pStyle w:val="TableText"/>
              <w:jc w:val="left"/>
            </w:pPr>
            <w:r>
              <w:t xml:space="preserve">iorta TechNXT</w:t>
            </w:r>
          </w:p>
        </w:tc>
        <w:tc>
          <w:tcPr>
            <w:tcW w:w="2299" w:type="dxa"/>
            <w:vAlign w:val="top"/>
          </w:tcPr>
          <w:p>
            <w:pPr>
              <w:pStyle w:val="TableText"/>
              <w:jc w:val="left"/>
            </w:pPr>
            <w:r>
              <w:t xml:space="preserve">Coverage gates met (at least 80%; currently above 99%)</w:t>
            </w:r>
          </w:p>
        </w:tc>
      </w:tr>
      <w:tr>
        <w:trPr>
          <w:cantSplit/>
        </w:trPr>
        <w:tc>
          <w:tcPr>
            <w:tcW w:w="1875" w:type="dxa"/>
            <w:shd w:val="clear" w:color="auto" w:fill="F4F7FB"/>
            <w:vAlign w:val="top"/>
          </w:tcPr>
          <w:p>
            <w:pPr>
              <w:pStyle w:val="TableText"/>
              <w:jc w:val="left"/>
            </w:pPr>
            <w:r>
              <w:t xml:space="preserve">Contract tests</w:t>
            </w:r>
          </w:p>
        </w:tc>
        <w:tc>
          <w:tcPr>
            <w:tcW w:w="3021" w:type="dxa"/>
            <w:shd w:val="clear" w:color="auto" w:fill="F4F7FB"/>
            <w:vAlign w:val="top"/>
          </w:tcPr>
          <w:p>
            <w:pPr>
              <w:pStyle w:val="TableText"/>
              <w:jc w:val="left"/>
            </w:pPr>
            <w:r>
              <w:t xml:space="preserve">Each TASCO core and VETC interface against its specification</w:t>
            </w:r>
          </w:p>
        </w:tc>
        <w:tc>
          <w:tcPr>
            <w:tcW w:w="1832" w:type="dxa"/>
            <w:shd w:val="clear" w:color="auto" w:fill="F4F7FB"/>
            <w:vAlign w:val="top"/>
          </w:tcPr>
          <w:p>
            <w:pPr>
              <w:pStyle w:val="TableText"/>
              <w:jc w:val="left"/>
            </w:pPr>
            <w:r>
              <w:t xml:space="preserve">iorta TechNXT with TASCO and VETC IT</w:t>
            </w:r>
          </w:p>
        </w:tc>
        <w:tc>
          <w:tcPr>
            <w:tcW w:w="2299" w:type="dxa"/>
            <w:shd w:val="clear" w:color="auto" w:fill="F4F7FB"/>
            <w:vAlign w:val="top"/>
          </w:tcPr>
          <w:p>
            <w:pPr>
              <w:pStyle w:val="TableText"/>
              <w:jc w:val="left"/>
            </w:pPr>
            <w:r>
              <w:t xml:space="preserve">All contracts pass in the sandboxes</w:t>
            </w:r>
          </w:p>
        </w:tc>
      </w:tr>
      <w:tr>
        <w:trPr>
          <w:cantSplit/>
        </w:trPr>
        <w:tc>
          <w:tcPr>
            <w:tcW w:w="1875" w:type="dxa"/>
            <w:vAlign w:val="top"/>
          </w:tcPr>
          <w:p>
            <w:pPr>
              <w:pStyle w:val="TableText"/>
              <w:jc w:val="left"/>
            </w:pPr>
            <w:r>
              <w:t xml:space="preserve">System integration (SIT)</w:t>
            </w:r>
          </w:p>
        </w:tc>
        <w:tc>
          <w:tcPr>
            <w:tcW w:w="3021" w:type="dxa"/>
            <w:vAlign w:val="top"/>
          </w:tcPr>
          <w:p>
            <w:pPr>
              <w:pStyle w:val="TableText"/>
              <w:jc w:val="left"/>
            </w:pPr>
            <w:r>
              <w:t xml:space="preserve">End-to-end flows across core, wallet, push, Zalo, SMS and voice</w:t>
            </w:r>
          </w:p>
        </w:tc>
        <w:tc>
          <w:tcPr>
            <w:tcW w:w="1832" w:type="dxa"/>
            <w:vAlign w:val="top"/>
          </w:tcPr>
          <w:p>
            <w:pPr>
              <w:pStyle w:val="TableText"/>
              <w:jc w:val="left"/>
            </w:pPr>
            <w:r>
              <w:t xml:space="preserve">iorta TechNXT</w:t>
            </w:r>
          </w:p>
        </w:tc>
        <w:tc>
          <w:tcPr>
            <w:tcW w:w="2299" w:type="dxa"/>
            <w:vAlign w:val="top"/>
          </w:tcPr>
          <w:p>
            <w:pPr>
              <w:pStyle w:val="TableText"/>
              <w:jc w:val="left"/>
            </w:pPr>
            <w:r>
              <w:t xml:space="preserve">All critical flows pass; reconciliation clean</w:t>
            </w:r>
          </w:p>
        </w:tc>
      </w:tr>
      <w:tr>
        <w:trPr>
          <w:cantSplit/>
        </w:trPr>
        <w:tc>
          <w:tcPr>
            <w:tcW w:w="1875" w:type="dxa"/>
            <w:shd w:val="clear" w:color="auto" w:fill="F4F7FB"/>
            <w:vAlign w:val="top"/>
          </w:tcPr>
          <w:p>
            <w:pPr>
              <w:pStyle w:val="TableText"/>
              <w:jc w:val="left"/>
            </w:pPr>
            <w:r>
              <w:t xml:space="preserve">Performance</w:t>
            </w:r>
          </w:p>
        </w:tc>
        <w:tc>
          <w:tcPr>
            <w:tcW w:w="3021" w:type="dxa"/>
            <w:shd w:val="clear" w:color="auto" w:fill="F4F7FB"/>
            <w:vAlign w:val="top"/>
          </w:tcPr>
          <w:p>
            <w:pPr>
              <w:pStyle w:val="TableText"/>
              <w:jc w:val="left"/>
            </w:pPr>
            <w:r>
              <w:t xml:space="preserve">Pilot volumes with headroom; ingestion of the cohort</w:t>
            </w:r>
          </w:p>
        </w:tc>
        <w:tc>
          <w:tcPr>
            <w:tcW w:w="1832" w:type="dxa"/>
            <w:shd w:val="clear" w:color="auto" w:fill="F4F7FB"/>
            <w:vAlign w:val="top"/>
          </w:tcPr>
          <w:p>
            <w:pPr>
              <w:pStyle w:val="TableText"/>
              <w:jc w:val="left"/>
            </w:pPr>
            <w:r>
              <w:t xml:space="preserve">iorta TechNXT</w:t>
            </w:r>
          </w:p>
        </w:tc>
        <w:tc>
          <w:tcPr>
            <w:tcW w:w="2299" w:type="dxa"/>
            <w:shd w:val="clear" w:color="auto" w:fill="F4F7FB"/>
            <w:vAlign w:val="top"/>
          </w:tcPr>
          <w:p>
            <w:pPr>
              <w:pStyle w:val="TableText"/>
              <w:jc w:val="left"/>
            </w:pPr>
            <w:r>
              <w:t xml:space="preserve">Targets in section 18 met</w:t>
            </w:r>
          </w:p>
        </w:tc>
      </w:tr>
      <w:tr>
        <w:trPr>
          <w:cantSplit/>
        </w:trPr>
        <w:tc>
          <w:tcPr>
            <w:tcW w:w="1875" w:type="dxa"/>
            <w:vAlign w:val="top"/>
          </w:tcPr>
          <w:p>
            <w:pPr>
              <w:pStyle w:val="TableText"/>
              <w:jc w:val="left"/>
            </w:pPr>
            <w:r>
              <w:t xml:space="preserve">Security</w:t>
            </w:r>
          </w:p>
        </w:tc>
        <w:tc>
          <w:tcPr>
            <w:tcW w:w="3021" w:type="dxa"/>
            <w:vAlign w:val="top"/>
          </w:tcPr>
          <w:p>
            <w:pPr>
              <w:pStyle w:val="TableText"/>
              <w:jc w:val="left"/>
            </w:pPr>
            <w:r>
              <w:t xml:space="preserve">Static and dynamic scanning, dependency and container scanning, focused manual testing of authentication, payment and partner API</w:t>
            </w:r>
          </w:p>
        </w:tc>
        <w:tc>
          <w:tcPr>
            <w:tcW w:w="1832" w:type="dxa"/>
            <w:vAlign w:val="top"/>
          </w:tcPr>
          <w:p>
            <w:pPr>
              <w:pStyle w:val="TableText"/>
              <w:jc w:val="left"/>
            </w:pPr>
            <w:r>
              <w:t xml:space="preserve">iorta TechNXT; independent test recommended</w:t>
            </w:r>
          </w:p>
        </w:tc>
        <w:tc>
          <w:tcPr>
            <w:tcW w:w="2299" w:type="dxa"/>
            <w:vAlign w:val="top"/>
          </w:tcPr>
          <w:p>
            <w:pPr>
              <w:pStyle w:val="TableText"/>
              <w:jc w:val="left"/>
            </w:pPr>
            <w:r>
              <w:t xml:space="preserve">No open critical or high findings</w:t>
            </w:r>
          </w:p>
        </w:tc>
      </w:tr>
      <w:tr>
        <w:trPr>
          <w:cantSplit/>
        </w:trPr>
        <w:tc>
          <w:tcPr>
            <w:tcW w:w="1875" w:type="dxa"/>
            <w:shd w:val="clear" w:color="auto" w:fill="F4F7FB"/>
            <w:vAlign w:val="top"/>
          </w:tcPr>
          <w:p>
            <w:pPr>
              <w:pStyle w:val="TableText"/>
              <w:jc w:val="left"/>
            </w:pPr>
            <w:r>
              <w:t xml:space="preserve">Accessibility</w:t>
            </w:r>
          </w:p>
        </w:tc>
        <w:tc>
          <w:tcPr>
            <w:tcW w:w="3021" w:type="dxa"/>
            <w:shd w:val="clear" w:color="auto" w:fill="F4F7FB"/>
            <w:vAlign w:val="top"/>
          </w:tcPr>
          <w:p>
            <w:pPr>
              <w:pStyle w:val="TableText"/>
              <w:jc w:val="left"/>
            </w:pPr>
            <w:r>
              <w:t xml:space="preserve">WCAG 2.2 AA checks on the customer app and console</w:t>
            </w:r>
          </w:p>
        </w:tc>
        <w:tc>
          <w:tcPr>
            <w:tcW w:w="1832" w:type="dxa"/>
            <w:shd w:val="clear" w:color="auto" w:fill="F4F7FB"/>
            <w:vAlign w:val="top"/>
          </w:tcPr>
          <w:p>
            <w:pPr>
              <w:pStyle w:val="TableText"/>
              <w:jc w:val="left"/>
            </w:pPr>
            <w:r>
              <w:t xml:space="preserve">iorta TechNXT</w:t>
            </w:r>
          </w:p>
        </w:tc>
        <w:tc>
          <w:tcPr>
            <w:tcW w:w="2299" w:type="dxa"/>
            <w:shd w:val="clear" w:color="auto" w:fill="F4F7FB"/>
            <w:vAlign w:val="top"/>
          </w:tcPr>
          <w:p>
            <w:pPr>
              <w:pStyle w:val="TableText"/>
              <w:jc w:val="left"/>
            </w:pPr>
            <w:r>
              <w:t xml:space="preserve">No blocking issues</w:t>
            </w:r>
          </w:p>
        </w:tc>
      </w:tr>
      <w:tr>
        <w:trPr>
          <w:cantSplit/>
        </w:trPr>
        <w:tc>
          <w:tcPr>
            <w:tcW w:w="1875" w:type="dxa"/>
            <w:vAlign w:val="top"/>
          </w:tcPr>
          <w:p>
            <w:pPr>
              <w:pStyle w:val="TableText"/>
              <w:jc w:val="left"/>
            </w:pPr>
            <w:r>
              <w:t xml:space="preserve">User acceptance (UAT)</w:t>
            </w:r>
          </w:p>
        </w:tc>
        <w:tc>
          <w:tcPr>
            <w:tcW w:w="3021" w:type="dxa"/>
            <w:vAlign w:val="top"/>
          </w:tcPr>
          <w:p>
            <w:pPr>
              <w:pStyle w:val="TableText"/>
              <w:jc w:val="left"/>
            </w:pPr>
            <w:r>
              <w:t xml:space="preserve">Business scenarios run by TASCO users</w:t>
            </w:r>
          </w:p>
        </w:tc>
        <w:tc>
          <w:tcPr>
            <w:tcW w:w="1832" w:type="dxa"/>
            <w:vAlign w:val="top"/>
          </w:tcPr>
          <w:p>
            <w:pPr>
              <w:pStyle w:val="TableText"/>
              <w:jc w:val="left"/>
            </w:pPr>
            <w:r>
              <w:t xml:space="preserve">TASCO, supported by iorta TechNXT</w:t>
            </w:r>
          </w:p>
        </w:tc>
        <w:tc>
          <w:tcPr>
            <w:tcW w:w="2299" w:type="dxa"/>
            <w:vAlign w:val="top"/>
          </w:tcPr>
          <w:p>
            <w:pPr>
              <w:pStyle w:val="TableText"/>
              <w:jc w:val="left"/>
            </w:pPr>
            <w:r>
              <w:t xml:space="preserve">Sign-off by the TASCO product owner</w:t>
            </w:r>
          </w:p>
        </w:tc>
      </w:tr>
      <w:tr>
        <w:trPr>
          <w:cantSplit/>
        </w:trPr>
        <w:tc>
          <w:tcPr>
            <w:tcW w:w="1875" w:type="dxa"/>
            <w:shd w:val="clear" w:color="auto" w:fill="F4F7FB"/>
            <w:vAlign w:val="top"/>
          </w:tcPr>
          <w:p>
            <w:pPr>
              <w:pStyle w:val="TableText"/>
              <w:jc w:val="left"/>
            </w:pPr>
            <w:r>
              <w:t xml:space="preserve">Operational acceptance</w:t>
            </w:r>
          </w:p>
        </w:tc>
        <w:tc>
          <w:tcPr>
            <w:tcW w:w="3021" w:type="dxa"/>
            <w:shd w:val="clear" w:color="auto" w:fill="F4F7FB"/>
            <w:vAlign w:val="top"/>
          </w:tcPr>
          <w:p>
            <w:pPr>
              <w:pStyle w:val="TableText"/>
              <w:jc w:val="left"/>
            </w:pPr>
            <w:r>
              <w:t xml:space="preserve">Backup and restore, failover, monitoring, runbooks</w:t>
            </w:r>
          </w:p>
        </w:tc>
        <w:tc>
          <w:tcPr>
            <w:tcW w:w="1832" w:type="dxa"/>
            <w:shd w:val="clear" w:color="auto" w:fill="F4F7FB"/>
            <w:vAlign w:val="top"/>
          </w:tcPr>
          <w:p>
            <w:pPr>
              <w:pStyle w:val="TableText"/>
              <w:jc w:val="left"/>
            </w:pPr>
            <w:r>
              <w:t xml:space="preserve">iorta TechNXT with TASCO IT</w:t>
            </w:r>
          </w:p>
        </w:tc>
        <w:tc>
          <w:tcPr>
            <w:tcW w:w="2299" w:type="dxa"/>
            <w:shd w:val="clear" w:color="auto" w:fill="F4F7FB"/>
            <w:vAlign w:val="top"/>
          </w:tcPr>
          <w:p>
            <w:pPr>
              <w:pStyle w:val="TableText"/>
              <w:jc w:val="left"/>
            </w:pPr>
            <w:r>
              <w:t xml:space="preserve">Restore and failover rehearsed</w:t>
            </w:r>
          </w:p>
        </w:tc>
      </w:tr>
    </w:tbl>
    <w:p>
      <w:pPr>
        <w:pStyle w:val="BodyText"/>
        <w:spacing w:before="160"/>
      </w:pPr>
      <w:r>
        <w:t xml:space="preserve">A test-case workbook with conditions, scenarios, expected results and actual results is maintained throughout and handed over at acceptance.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62" w:name="_Toc300000058"/>
      <w:r>
        <w:rPr>
          <w:rStyle w:val="BookTitle"/>
          <w:bCs w:val="0"/>
          <w:i w:val="0"/>
          <w:iCs w:val="0"/>
          <w:spacing w:val="0"/>
        </w:rPr>
        <w:t xml:space="preserve">Production support</w:t>
      </w:r>
      <w:bookmarkEnd w:id="62"/>
    </w:p>
    <w:p>
      <w:pPr>
        <w:pStyle w:val="FirstParagraph"/>
      </w:pPr>
      <w:r>
        <w:t xml:space="preserve">After hypercare, we offer a managed service that keeps the platform healthy and lets TASCO’s business teams keep improving it.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3245"/>
        <w:gridCol w:w="2500"/>
        <w:gridCol w:w="1978"/>
      </w:tblGrid>
      <w:tr>
        <w:trPr>
          <w:cantSplit/>
          <w:tblHeader/>
        </w:trPr>
        <w:tc>
          <w:tcPr>
            <w:tcW w:w="1304" w:type="dxa"/>
            <w:shd w:val="clear" w:color="auto" w:fill="0F4761"/>
            <w:vAlign w:val="center"/>
          </w:tcPr>
          <w:p>
            <w:pPr>
              <w:pStyle w:val="TableHeading"/>
              <w:jc w:val="left"/>
            </w:pPr>
            <w:r>
              <w:rPr>
                <w:color w:val="FFFFFF"/>
              </w:rPr>
              <w:t xml:space="preserve">Priority</w:t>
            </w:r>
          </w:p>
        </w:tc>
        <w:tc>
          <w:tcPr>
            <w:tcW w:w="3245" w:type="dxa"/>
            <w:shd w:val="clear" w:color="auto" w:fill="0F4761"/>
            <w:vAlign w:val="center"/>
          </w:tcPr>
          <w:p>
            <w:pPr>
              <w:pStyle w:val="TableHeading"/>
              <w:jc w:val="left"/>
            </w:pPr>
            <w:r>
              <w:rPr>
                <w:color w:val="FFFFFF"/>
              </w:rPr>
              <w:t xml:space="preserve">Example</w:t>
            </w:r>
          </w:p>
        </w:tc>
        <w:tc>
          <w:tcPr>
            <w:tcW w:w="2500" w:type="dxa"/>
            <w:shd w:val="clear" w:color="auto" w:fill="0F4761"/>
            <w:vAlign w:val="center"/>
          </w:tcPr>
          <w:p>
            <w:pPr>
              <w:pStyle w:val="TableHeading"/>
              <w:jc w:val="left"/>
            </w:pPr>
            <w:r>
              <w:rPr>
                <w:color w:val="FFFFFF"/>
              </w:rPr>
              <w:t xml:space="preserve">Response</w:t>
            </w:r>
          </w:p>
        </w:tc>
        <w:tc>
          <w:tcPr>
            <w:tcW w:w="1978" w:type="dxa"/>
            <w:shd w:val="clear" w:color="auto" w:fill="0F4761"/>
            <w:vAlign w:val="center"/>
          </w:tcPr>
          <w:p>
            <w:pPr>
              <w:pStyle w:val="TableHeading"/>
              <w:jc w:val="left"/>
            </w:pPr>
            <w:r>
              <w:rPr>
                <w:color w:val="FFFFFF"/>
              </w:rPr>
              <w:t xml:space="preserve">Restoration or workaround</w:t>
            </w:r>
          </w:p>
        </w:tc>
      </w:tr>
      <w:tr>
        <w:trPr>
          <w:cantSplit/>
        </w:trPr>
        <w:tc>
          <w:tcPr>
            <w:tcW w:w="1304" w:type="dxa"/>
            <w:vAlign w:val="top"/>
          </w:tcPr>
          <w:p>
            <w:pPr>
              <w:pStyle w:val="TableText"/>
              <w:jc w:val="left"/>
            </w:pPr>
            <w:r>
              <w:t xml:space="preserve">P1 Critical</w:t>
            </w:r>
          </w:p>
        </w:tc>
        <w:tc>
          <w:tcPr>
            <w:tcW w:w="3245" w:type="dxa"/>
            <w:vAlign w:val="top"/>
          </w:tcPr>
          <w:p>
            <w:pPr>
              <w:pStyle w:val="TableText"/>
              <w:jc w:val="left"/>
            </w:pPr>
            <w:r>
              <w:t xml:space="preserve">Customers cannot buy; suspected data breach</w:t>
            </w:r>
          </w:p>
        </w:tc>
        <w:tc>
          <w:tcPr>
            <w:tcW w:w="2500" w:type="dxa"/>
            <w:vAlign w:val="top"/>
          </w:tcPr>
          <w:p>
            <w:pPr>
              <w:pStyle w:val="TableText"/>
              <w:jc w:val="left"/>
            </w:pPr>
            <w:r>
              <w:t xml:space="preserve">30 minutes, 24 hours a day, 7 days a week</w:t>
            </w:r>
          </w:p>
        </w:tc>
        <w:tc>
          <w:tcPr>
            <w:tcW w:w="1978" w:type="dxa"/>
            <w:vAlign w:val="top"/>
          </w:tcPr>
          <w:p>
            <w:pPr>
              <w:pStyle w:val="TableText"/>
              <w:jc w:val="left"/>
            </w:pPr>
            <w:r>
              <w:t xml:space="preserve">4 hours</w:t>
            </w:r>
          </w:p>
        </w:tc>
      </w:tr>
      <w:tr>
        <w:trPr>
          <w:cantSplit/>
        </w:trPr>
        <w:tc>
          <w:tcPr>
            <w:tcW w:w="1304" w:type="dxa"/>
            <w:shd w:val="clear" w:color="auto" w:fill="F4F7FB"/>
            <w:vAlign w:val="top"/>
          </w:tcPr>
          <w:p>
            <w:pPr>
              <w:pStyle w:val="TableText"/>
              <w:jc w:val="left"/>
            </w:pPr>
            <w:r>
              <w:t xml:space="preserve">P2 High</w:t>
            </w:r>
          </w:p>
        </w:tc>
        <w:tc>
          <w:tcPr>
            <w:tcW w:w="3245" w:type="dxa"/>
            <w:shd w:val="clear" w:color="auto" w:fill="F4F7FB"/>
            <w:vAlign w:val="top"/>
          </w:tcPr>
          <w:p>
            <w:pPr>
              <w:pStyle w:val="TableText"/>
              <w:jc w:val="left"/>
            </w:pPr>
            <w:r>
              <w:t xml:space="preserve">A journey run fails; one integration is down</w:t>
            </w:r>
          </w:p>
        </w:tc>
        <w:tc>
          <w:tcPr>
            <w:tcW w:w="2500" w:type="dxa"/>
            <w:shd w:val="clear" w:color="auto" w:fill="F4F7FB"/>
            <w:vAlign w:val="top"/>
          </w:tcPr>
          <w:p>
            <w:pPr>
              <w:pStyle w:val="TableText"/>
              <w:jc w:val="left"/>
            </w:pPr>
            <w:r>
              <w:t xml:space="preserve">2 business hours</w:t>
            </w:r>
          </w:p>
        </w:tc>
        <w:tc>
          <w:tcPr>
            <w:tcW w:w="1978" w:type="dxa"/>
            <w:shd w:val="clear" w:color="auto" w:fill="F4F7FB"/>
            <w:vAlign w:val="top"/>
          </w:tcPr>
          <w:p>
            <w:pPr>
              <w:pStyle w:val="TableText"/>
              <w:jc w:val="left"/>
            </w:pPr>
            <w:r>
              <w:t xml:space="preserve">1 business day</w:t>
            </w:r>
          </w:p>
        </w:tc>
      </w:tr>
      <w:tr>
        <w:trPr>
          <w:cantSplit/>
        </w:trPr>
        <w:tc>
          <w:tcPr>
            <w:tcW w:w="1304" w:type="dxa"/>
            <w:vAlign w:val="top"/>
          </w:tcPr>
          <w:p>
            <w:pPr>
              <w:pStyle w:val="TableText"/>
              <w:jc w:val="left"/>
            </w:pPr>
            <w:r>
              <w:t xml:space="preserve">P3 Medium</w:t>
            </w:r>
          </w:p>
        </w:tc>
        <w:tc>
          <w:tcPr>
            <w:tcW w:w="3245" w:type="dxa"/>
            <w:vAlign w:val="top"/>
          </w:tcPr>
          <w:p>
            <w:pPr>
              <w:pStyle w:val="TableText"/>
              <w:jc w:val="left"/>
            </w:pPr>
            <w:r>
              <w:t xml:space="preserve">A defect with a workaround</w:t>
            </w:r>
          </w:p>
        </w:tc>
        <w:tc>
          <w:tcPr>
            <w:tcW w:w="2500" w:type="dxa"/>
            <w:vAlign w:val="top"/>
          </w:tcPr>
          <w:p>
            <w:pPr>
              <w:pStyle w:val="TableText"/>
              <w:jc w:val="left"/>
            </w:pPr>
            <w:r>
              <w:t xml:space="preserve">Next business day</w:t>
            </w:r>
          </w:p>
        </w:tc>
        <w:tc>
          <w:tcPr>
            <w:tcW w:w="1978" w:type="dxa"/>
            <w:vAlign w:val="top"/>
          </w:tcPr>
          <w:p>
            <w:pPr>
              <w:pStyle w:val="TableText"/>
              <w:jc w:val="left"/>
            </w:pPr>
            <w:r>
              <w:t xml:space="preserve">Next scheduled release</w:t>
            </w:r>
          </w:p>
        </w:tc>
      </w:tr>
      <w:tr>
        <w:trPr>
          <w:cantSplit/>
        </w:trPr>
        <w:tc>
          <w:tcPr>
            <w:tcW w:w="1304" w:type="dxa"/>
            <w:shd w:val="clear" w:color="auto" w:fill="F4F7FB"/>
            <w:vAlign w:val="top"/>
          </w:tcPr>
          <w:p>
            <w:pPr>
              <w:pStyle w:val="TableText"/>
              <w:jc w:val="left"/>
            </w:pPr>
            <w:r>
              <w:t xml:space="preserve">P4 Low</w:t>
            </w:r>
          </w:p>
        </w:tc>
        <w:tc>
          <w:tcPr>
            <w:tcW w:w="3245" w:type="dxa"/>
            <w:shd w:val="clear" w:color="auto" w:fill="F4F7FB"/>
            <w:vAlign w:val="top"/>
          </w:tcPr>
          <w:p>
            <w:pPr>
              <w:pStyle w:val="TableText"/>
              <w:jc w:val="left"/>
            </w:pPr>
            <w:r>
              <w:t xml:space="preserve">A question or small enhancement</w:t>
            </w:r>
          </w:p>
        </w:tc>
        <w:tc>
          <w:tcPr>
            <w:tcW w:w="2500" w:type="dxa"/>
            <w:shd w:val="clear" w:color="auto" w:fill="F4F7FB"/>
            <w:vAlign w:val="top"/>
          </w:tcPr>
          <w:p>
            <w:pPr>
              <w:pStyle w:val="TableText"/>
              <w:jc w:val="left"/>
            </w:pPr>
            <w:r>
              <w:t xml:space="preserve">3 business days</w:t>
            </w:r>
          </w:p>
        </w:tc>
        <w:tc>
          <w:tcPr>
            <w:tcW w:w="1978" w:type="dxa"/>
            <w:shd w:val="clear" w:color="auto" w:fill="F4F7FB"/>
            <w:vAlign w:val="top"/>
          </w:tcPr>
          <w:p>
            <w:pPr>
              <w:pStyle w:val="TableText"/>
              <w:jc w:val="left"/>
            </w:pPr>
            <w:r>
              <w:t xml:space="preserve">Planned</w:t>
            </w:r>
          </w:p>
        </w:tc>
      </w:tr>
    </w:tbl>
    <w:p>
      <w:pPr>
        <w:pStyle w:val="BodyText"/>
        <w:spacing w:before="160"/>
      </w:pPr>
      <w:r>
        <w:t xml:space="preserve">Business hours are 08:00 to 17:30 Vietnam time, Monday to Friday, excluding public holidays. The service includes monitoring and alerting, security patching, monthly releases, support for rule changes, a quarterly restore test, a monthly service report and a quarterly business review with TASCO. Support is provided in English and Vietnamese.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63" w:name="_Toc300000059"/>
      <w:r>
        <w:rPr>
          <w:rStyle w:val="BookTitle"/>
          <w:bCs w:val="0"/>
          <w:i w:val="0"/>
          <w:iCs w:val="0"/>
          <w:spacing w:val="0"/>
        </w:rPr>
        <w:t xml:space="preserve">Governance</w:t>
      </w:r>
      <w:bookmarkEnd w:id="6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36"/>
        <w:gridCol w:w="1294"/>
        <w:gridCol w:w="2903"/>
        <w:gridCol w:w="3094"/>
      </w:tblGrid>
      <w:tr>
        <w:trPr>
          <w:cantSplit/>
          <w:tblHeader/>
        </w:trPr>
        <w:tc>
          <w:tcPr>
            <w:tcW w:w="1736" w:type="dxa"/>
            <w:shd w:val="clear" w:color="auto" w:fill="0F4761"/>
            <w:vAlign w:val="center"/>
          </w:tcPr>
          <w:p>
            <w:pPr>
              <w:pStyle w:val="TableHeading"/>
              <w:jc w:val="left"/>
            </w:pPr>
            <w:r>
              <w:rPr>
                <w:color w:val="FFFFFF"/>
              </w:rPr>
              <w:t xml:space="preserve">Forum</w:t>
            </w:r>
          </w:p>
        </w:tc>
        <w:tc>
          <w:tcPr>
            <w:tcW w:w="1294" w:type="dxa"/>
            <w:shd w:val="clear" w:color="auto" w:fill="0F4761"/>
            <w:vAlign w:val="center"/>
          </w:tcPr>
          <w:p>
            <w:pPr>
              <w:pStyle w:val="TableHeading"/>
              <w:jc w:val="left"/>
            </w:pPr>
            <w:r>
              <w:rPr>
                <w:color w:val="FFFFFF"/>
              </w:rPr>
              <w:t xml:space="preserve">How often</w:t>
            </w:r>
          </w:p>
        </w:tc>
        <w:tc>
          <w:tcPr>
            <w:tcW w:w="2903" w:type="dxa"/>
            <w:shd w:val="clear" w:color="auto" w:fill="0F4761"/>
            <w:vAlign w:val="center"/>
          </w:tcPr>
          <w:p>
            <w:pPr>
              <w:pStyle w:val="TableHeading"/>
              <w:jc w:val="left"/>
            </w:pPr>
            <w:r>
              <w:rPr>
                <w:color w:val="FFFFFF"/>
              </w:rPr>
              <w:t xml:space="preserve">Who attends</w:t>
            </w:r>
          </w:p>
        </w:tc>
        <w:tc>
          <w:tcPr>
            <w:tcW w:w="3094" w:type="dxa"/>
            <w:shd w:val="clear" w:color="auto" w:fill="0F4761"/>
            <w:vAlign w:val="center"/>
          </w:tcPr>
          <w:p>
            <w:pPr>
              <w:pStyle w:val="TableHeading"/>
              <w:jc w:val="left"/>
            </w:pPr>
            <w:r>
              <w:rPr>
                <w:color w:val="FFFFFF"/>
              </w:rPr>
              <w:t xml:space="preserve">Purpose</w:t>
            </w:r>
          </w:p>
        </w:tc>
      </w:tr>
      <w:tr>
        <w:trPr>
          <w:cantSplit/>
        </w:trPr>
        <w:tc>
          <w:tcPr>
            <w:tcW w:w="1736" w:type="dxa"/>
            <w:vAlign w:val="top"/>
          </w:tcPr>
          <w:p>
            <w:pPr>
              <w:pStyle w:val="TableText"/>
              <w:jc w:val="left"/>
            </w:pPr>
            <w:r>
              <w:t xml:space="preserve">Steering committee</w:t>
            </w:r>
          </w:p>
        </w:tc>
        <w:tc>
          <w:tcPr>
            <w:tcW w:w="1294" w:type="dxa"/>
            <w:vAlign w:val="top"/>
          </w:tcPr>
          <w:p>
            <w:pPr>
              <w:pStyle w:val="TableText"/>
              <w:jc w:val="left"/>
            </w:pPr>
            <w:r>
              <w:t xml:space="preserve">Monthly</w:t>
            </w:r>
          </w:p>
        </w:tc>
        <w:tc>
          <w:tcPr>
            <w:tcW w:w="2903" w:type="dxa"/>
            <w:vAlign w:val="top"/>
          </w:tcPr>
          <w:p>
            <w:pPr>
              <w:pStyle w:val="TableText"/>
              <w:jc w:val="left"/>
            </w:pPr>
            <w:r>
              <w:t xml:space="preserve">TASCO and VETC sponsors, iorta TechNXT engagement lead</w:t>
            </w:r>
          </w:p>
        </w:tc>
        <w:tc>
          <w:tcPr>
            <w:tcW w:w="3094" w:type="dxa"/>
            <w:vAlign w:val="top"/>
          </w:tcPr>
          <w:p>
            <w:pPr>
              <w:pStyle w:val="TableText"/>
              <w:jc w:val="left"/>
            </w:pPr>
            <w:r>
              <w:t xml:space="preserve">Direction, budget, milestones, risks, pilot results</w:t>
            </w:r>
          </w:p>
        </w:tc>
      </w:tr>
      <w:tr>
        <w:trPr>
          <w:cantSplit/>
        </w:trPr>
        <w:tc>
          <w:tcPr>
            <w:tcW w:w="1736" w:type="dxa"/>
            <w:shd w:val="clear" w:color="auto" w:fill="F4F7FB"/>
            <w:vAlign w:val="top"/>
          </w:tcPr>
          <w:p>
            <w:pPr>
              <w:pStyle w:val="TableText"/>
              <w:jc w:val="left"/>
            </w:pPr>
            <w:r>
              <w:t xml:space="preserve">Product council</w:t>
            </w:r>
          </w:p>
        </w:tc>
        <w:tc>
          <w:tcPr>
            <w:tcW w:w="1294" w:type="dxa"/>
            <w:shd w:val="clear" w:color="auto" w:fill="F4F7FB"/>
            <w:vAlign w:val="top"/>
          </w:tcPr>
          <w:p>
            <w:pPr>
              <w:pStyle w:val="TableText"/>
              <w:jc w:val="left"/>
            </w:pPr>
            <w:r>
              <w:t xml:space="preserve">Every two weeks</w:t>
            </w:r>
          </w:p>
        </w:tc>
        <w:tc>
          <w:tcPr>
            <w:tcW w:w="2903" w:type="dxa"/>
            <w:shd w:val="clear" w:color="auto" w:fill="F4F7FB"/>
            <w:vAlign w:val="top"/>
          </w:tcPr>
          <w:p>
            <w:pPr>
              <w:pStyle w:val="TableText"/>
              <w:jc w:val="left"/>
            </w:pPr>
            <w:r>
              <w:t xml:space="preserve">TASCO product owner, VETC lead, iorta TechNXT analyst and architect</w:t>
            </w:r>
          </w:p>
        </w:tc>
        <w:tc>
          <w:tcPr>
            <w:tcW w:w="3094" w:type="dxa"/>
            <w:shd w:val="clear" w:color="auto" w:fill="F4F7FB"/>
            <w:vAlign w:val="top"/>
          </w:tcPr>
          <w:p>
            <w:pPr>
              <w:pStyle w:val="TableText"/>
              <w:jc w:val="left"/>
            </w:pPr>
            <w:r>
              <w:t xml:space="preserve">Priorities, rule changes, scope decisions</w:t>
            </w:r>
          </w:p>
        </w:tc>
      </w:tr>
      <w:tr>
        <w:trPr>
          <w:cantSplit/>
        </w:trPr>
        <w:tc>
          <w:tcPr>
            <w:tcW w:w="1736" w:type="dxa"/>
            <w:vAlign w:val="top"/>
          </w:tcPr>
          <w:p>
            <w:pPr>
              <w:pStyle w:val="TableText"/>
              <w:jc w:val="left"/>
            </w:pPr>
            <w:r>
              <w:t xml:space="preserve">Sprint review</w:t>
            </w:r>
          </w:p>
        </w:tc>
        <w:tc>
          <w:tcPr>
            <w:tcW w:w="1294" w:type="dxa"/>
            <w:vAlign w:val="top"/>
          </w:tcPr>
          <w:p>
            <w:pPr>
              <w:pStyle w:val="TableText"/>
              <w:jc w:val="left"/>
            </w:pPr>
            <w:r>
              <w:t xml:space="preserve">Every two weeks</w:t>
            </w:r>
          </w:p>
        </w:tc>
        <w:tc>
          <w:tcPr>
            <w:tcW w:w="2903" w:type="dxa"/>
            <w:vAlign w:val="top"/>
          </w:tcPr>
          <w:p>
            <w:pPr>
              <w:pStyle w:val="TableText"/>
              <w:jc w:val="left"/>
            </w:pPr>
            <w:r>
              <w:t xml:space="preserve">Product owner and key users</w:t>
            </w:r>
          </w:p>
        </w:tc>
        <w:tc>
          <w:tcPr>
            <w:tcW w:w="3094" w:type="dxa"/>
            <w:vAlign w:val="top"/>
          </w:tcPr>
          <w:p>
            <w:pPr>
              <w:pStyle w:val="TableText"/>
              <w:jc w:val="left"/>
            </w:pPr>
            <w:r>
              <w:t xml:space="preserve">Demonstration against acceptance criteria</w:t>
            </w:r>
          </w:p>
        </w:tc>
      </w:tr>
      <w:tr>
        <w:trPr>
          <w:cantSplit/>
        </w:trPr>
        <w:tc>
          <w:tcPr>
            <w:tcW w:w="1736" w:type="dxa"/>
            <w:shd w:val="clear" w:color="auto" w:fill="F4F7FB"/>
            <w:vAlign w:val="top"/>
          </w:tcPr>
          <w:p>
            <w:pPr>
              <w:pStyle w:val="TableText"/>
              <w:jc w:val="left"/>
            </w:pPr>
            <w:r>
              <w:t xml:space="preserve">Change control</w:t>
            </w:r>
          </w:p>
        </w:tc>
        <w:tc>
          <w:tcPr>
            <w:tcW w:w="1294" w:type="dxa"/>
            <w:shd w:val="clear" w:color="auto" w:fill="F4F7FB"/>
            <w:vAlign w:val="top"/>
          </w:tcPr>
          <w:p>
            <w:pPr>
              <w:pStyle w:val="TableText"/>
              <w:jc w:val="left"/>
            </w:pPr>
            <w:r>
              <w:t xml:space="preserve">As needed</w:t>
            </w:r>
          </w:p>
        </w:tc>
        <w:tc>
          <w:tcPr>
            <w:tcW w:w="2903" w:type="dxa"/>
            <w:shd w:val="clear" w:color="auto" w:fill="F4F7FB"/>
            <w:vAlign w:val="top"/>
          </w:tcPr>
          <w:p>
            <w:pPr>
              <w:pStyle w:val="TableText"/>
              <w:jc w:val="left"/>
            </w:pPr>
            <w:r>
              <w:t xml:space="preserve">Product owner and engagement lead</w:t>
            </w:r>
          </w:p>
        </w:tc>
        <w:tc>
          <w:tcPr>
            <w:tcW w:w="3094" w:type="dxa"/>
            <w:shd w:val="clear" w:color="auto" w:fill="F4F7FB"/>
            <w:vAlign w:val="top"/>
          </w:tcPr>
          <w:p>
            <w:pPr>
              <w:pStyle w:val="TableText"/>
              <w:jc w:val="left"/>
            </w:pPr>
            <w:r>
              <w:t xml:space="preserve">Assess and approve changes to scope, price or time</w:t>
            </w:r>
          </w:p>
        </w:tc>
      </w:tr>
      <w:tr>
        <w:trPr>
          <w:cantSplit/>
        </w:trPr>
        <w:tc>
          <w:tcPr>
            <w:tcW w:w="1736" w:type="dxa"/>
            <w:vAlign w:val="top"/>
          </w:tcPr>
          <w:p>
            <w:pPr>
              <w:pStyle w:val="TableText"/>
              <w:jc w:val="left"/>
            </w:pPr>
            <w:r>
              <w:t xml:space="preserve">Compliance checkpoint</w:t>
            </w:r>
          </w:p>
        </w:tc>
        <w:tc>
          <w:tcPr>
            <w:tcW w:w="1294" w:type="dxa"/>
            <w:vAlign w:val="top"/>
          </w:tcPr>
          <w:p>
            <w:pPr>
              <w:pStyle w:val="TableText"/>
              <w:jc w:val="left"/>
            </w:pPr>
            <w:r>
              <w:t xml:space="preserve">Each release</w:t>
            </w:r>
          </w:p>
        </w:tc>
        <w:tc>
          <w:tcPr>
            <w:tcW w:w="2903" w:type="dxa"/>
            <w:vAlign w:val="top"/>
          </w:tcPr>
          <w:p>
            <w:pPr>
              <w:pStyle w:val="TableText"/>
              <w:jc w:val="left"/>
            </w:pPr>
            <w:r>
              <w:t xml:space="preserve">TASCO compliance</w:t>
            </w:r>
          </w:p>
        </w:tc>
        <w:tc>
          <w:tcPr>
            <w:tcW w:w="3094" w:type="dxa"/>
            <w:vAlign w:val="top"/>
          </w:tcPr>
          <w:p>
            <w:pPr>
              <w:pStyle w:val="TableText"/>
              <w:jc w:val="left"/>
            </w:pPr>
            <w:r>
              <w:t xml:space="preserve">Customer wording, consent, privacy, audit evidence</w:t>
            </w:r>
          </w:p>
        </w:tc>
      </w:tr>
    </w:tbl>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64" w:name="_Toc300000060"/>
      <w:r>
        <w:rPr>
          <w:rStyle w:val="BookTitle"/>
          <w:bCs w:val="0"/>
          <w:i w:val="0"/>
          <w:iCs w:val="0"/>
          <w:spacing w:val="0"/>
        </w:rPr>
        <w:t xml:space="preserve">Team and engagement model</w:t>
      </w:r>
      <w:bookmarkEnd w:id="64"/>
    </w:p>
    <w:p>
      <w:pPr>
        <w:pStyle w:val="Heading2"/>
      </w:pPr>
      <w:bookmarkStart w:id="65" w:name="_Toc300000061"/>
      <w:r>
        <w:t xml:space="preserve">Delivery team</w:t>
      </w:r>
      <w:bookmarkEnd w:id="65"/>
    </w:p>
    <w:p>
      <w:pPr>
        <w:pStyle w:val="FirstParagraph"/>
      </w:pPr>
      <w:r>
        <w:t xml:space="preserve">The MVP team is small and senior, with an engagement manager accountable to TASCO for the whole delivery. The business analyst also acts as insurance subject-matter expert and works side by side with TASCO’s product owner. Discovery and go-live are run on site in Hà Nội; build sprints are delivered from our offshore centre with daily overlap during Vietnam business hours.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114"/>
        <w:gridCol w:w="1870"/>
        <w:gridCol w:w="1188"/>
        <w:gridCol w:w="1708"/>
        <w:gridCol w:w="1870"/>
        <w:gridCol w:w="2209"/>
      </w:tblGrid>
      <w:tr>
        <w:trPr>
          <w:cantSplit/>
          <w:tblHeader/>
        </w:trPr>
        <w:tc>
          <w:tcPr>
            <w:tcW w:w="5114" w:type="dxa"/>
            <w:shd w:val="clear" w:color="auto" w:fill="0F4761"/>
            <w:vAlign w:val="center"/>
          </w:tcPr>
          <w:p>
            <w:pPr>
              <w:pStyle w:val="TableHeading"/>
              <w:jc w:val="left"/>
            </w:pPr>
            <w:r>
              <w:rPr>
                <w:color w:val="FFFFFF"/>
              </w:rPr>
              <w:t xml:space="preserve">Role</w:t>
            </w:r>
          </w:p>
        </w:tc>
        <w:tc>
          <w:tcPr>
            <w:tcW w:w="1870" w:type="dxa"/>
            <w:shd w:val="clear" w:color="auto" w:fill="0F4761"/>
            <w:vAlign w:val="center"/>
          </w:tcPr>
          <w:p>
            <w:pPr>
              <w:pStyle w:val="TableHeading"/>
              <w:jc w:val="right"/>
            </w:pPr>
            <w:r>
              <w:rPr>
                <w:color w:val="FFFFFF"/>
              </w:rPr>
              <w:t xml:space="preserve">Discovery</w:t>
            </w:r>
          </w:p>
        </w:tc>
        <w:tc>
          <w:tcPr>
            <w:tcW w:w="1188" w:type="dxa"/>
            <w:shd w:val="clear" w:color="auto" w:fill="0F4761"/>
            <w:vAlign w:val="center"/>
          </w:tcPr>
          <w:p>
            <w:pPr>
              <w:pStyle w:val="TableHeading"/>
              <w:jc w:val="right"/>
            </w:pPr>
            <w:r>
              <w:rPr>
                <w:color w:val="FFFFFF"/>
              </w:rPr>
              <w:t xml:space="preserve">Build</w:t>
            </w:r>
          </w:p>
        </w:tc>
        <w:tc>
          <w:tcPr>
            <w:tcW w:w="1708" w:type="dxa"/>
            <w:shd w:val="clear" w:color="auto" w:fill="0F4761"/>
            <w:vAlign w:val="center"/>
          </w:tcPr>
          <w:p>
            <w:pPr>
              <w:pStyle w:val="TableHeading"/>
              <w:jc w:val="right"/>
            </w:pPr>
            <w:r>
              <w:rPr>
                <w:color w:val="FFFFFF"/>
              </w:rPr>
              <w:t xml:space="preserve">Test and go-live</w:t>
            </w:r>
          </w:p>
        </w:tc>
        <w:tc>
          <w:tcPr>
            <w:tcW w:w="1870" w:type="dxa"/>
            <w:shd w:val="clear" w:color="auto" w:fill="0F4761"/>
            <w:vAlign w:val="center"/>
          </w:tcPr>
          <w:p>
            <w:pPr>
              <w:pStyle w:val="TableHeading"/>
              <w:jc w:val="right"/>
            </w:pPr>
            <w:r>
              <w:rPr>
                <w:color w:val="FFFFFF"/>
              </w:rPr>
              <w:t xml:space="preserve">Hypercare</w:t>
            </w:r>
          </w:p>
        </w:tc>
        <w:tc>
          <w:tcPr>
            <w:tcW w:w="2209" w:type="dxa"/>
            <w:shd w:val="clear" w:color="auto" w:fill="0F4761"/>
            <w:vAlign w:val="center"/>
          </w:tcPr>
          <w:p>
            <w:pPr>
              <w:pStyle w:val="TableHeading"/>
              <w:jc w:val="right"/>
            </w:pPr>
            <w:r>
              <w:rPr>
                <w:color w:val="FFFFFF"/>
              </w:rPr>
              <w:t xml:space="preserve">Total person-days</w:t>
            </w:r>
          </w:p>
        </w:tc>
      </w:tr>
      <w:tr>
        <w:trPr>
          <w:cantSplit/>
        </w:trPr>
        <w:tc>
          <w:tcPr>
            <w:tcW w:w="5114" w:type="dxa"/>
            <w:vAlign w:val="top"/>
          </w:tcPr>
          <w:p>
            <w:pPr>
              <w:pStyle w:val="TableText"/>
              <w:jc w:val="left"/>
            </w:pPr>
            <w:r>
              <w:t xml:space="preserve">Engagement manager</w:t>
            </w:r>
          </w:p>
        </w:tc>
        <w:tc>
          <w:tcPr>
            <w:tcW w:w="1870" w:type="dxa"/>
            <w:vAlign w:val="top"/>
          </w:tcPr>
          <w:p>
            <w:pPr>
              <w:pStyle w:val="TableText"/>
              <w:jc w:val="right"/>
            </w:pPr>
            <w:r>
              <w:t xml:space="preserve">5</w:t>
            </w:r>
          </w:p>
        </w:tc>
        <w:tc>
          <w:tcPr>
            <w:tcW w:w="1188" w:type="dxa"/>
            <w:vAlign w:val="top"/>
          </w:tcPr>
          <w:p>
            <w:pPr>
              <w:pStyle w:val="TableText"/>
              <w:jc w:val="right"/>
            </w:pPr>
            <w:r>
              <w:t xml:space="preserve">20</w:t>
            </w:r>
          </w:p>
        </w:tc>
        <w:tc>
          <w:tcPr>
            <w:tcW w:w="1708" w:type="dxa"/>
            <w:vAlign w:val="top"/>
          </w:tcPr>
          <w:p>
            <w:pPr>
              <w:pStyle w:val="TableText"/>
              <w:jc w:val="right"/>
            </w:pPr>
            <w:r>
              <w:t xml:space="preserve">7.5</w:t>
            </w:r>
          </w:p>
        </w:tc>
        <w:tc>
          <w:tcPr>
            <w:tcW w:w="1870" w:type="dxa"/>
            <w:vAlign w:val="top"/>
          </w:tcPr>
          <w:p>
            <w:pPr>
              <w:pStyle w:val="TableText"/>
              <w:jc w:val="right"/>
            </w:pPr>
            <w:r>
              <w:t xml:space="preserve">2</w:t>
            </w:r>
          </w:p>
        </w:tc>
        <w:tc>
          <w:tcPr>
            <w:tcW w:w="2209" w:type="dxa"/>
            <w:vAlign w:val="top"/>
          </w:tcPr>
          <w:p>
            <w:pPr>
              <w:pStyle w:val="TableText"/>
              <w:jc w:val="right"/>
            </w:pPr>
            <w:r>
              <w:t xml:space="preserve">34.5</w:t>
            </w:r>
          </w:p>
        </w:tc>
      </w:tr>
      <w:tr>
        <w:trPr>
          <w:cantSplit/>
        </w:trPr>
        <w:tc>
          <w:tcPr>
            <w:tcW w:w="5114" w:type="dxa"/>
            <w:shd w:val="clear" w:color="auto" w:fill="F4F7FB"/>
            <w:vAlign w:val="top"/>
          </w:tcPr>
          <w:p>
            <w:pPr>
              <w:pStyle w:val="TableText"/>
              <w:jc w:val="left"/>
            </w:pPr>
            <w:r>
              <w:t xml:space="preserve">Solution architect</w:t>
            </w:r>
          </w:p>
        </w:tc>
        <w:tc>
          <w:tcPr>
            <w:tcW w:w="1870" w:type="dxa"/>
            <w:shd w:val="clear" w:color="auto" w:fill="F4F7FB"/>
            <w:vAlign w:val="top"/>
          </w:tcPr>
          <w:p>
            <w:pPr>
              <w:pStyle w:val="TableText"/>
              <w:jc w:val="right"/>
            </w:pPr>
            <w:r>
              <w:t xml:space="preserve">10</w:t>
            </w:r>
          </w:p>
        </w:tc>
        <w:tc>
          <w:tcPr>
            <w:tcW w:w="1188" w:type="dxa"/>
            <w:shd w:val="clear" w:color="auto" w:fill="F4F7FB"/>
            <w:vAlign w:val="top"/>
          </w:tcPr>
          <w:p>
            <w:pPr>
              <w:pStyle w:val="TableText"/>
              <w:jc w:val="right"/>
            </w:pPr>
            <w:r>
              <w:t xml:space="preserve">20</w:t>
            </w:r>
          </w:p>
        </w:tc>
        <w:tc>
          <w:tcPr>
            <w:tcW w:w="1708" w:type="dxa"/>
            <w:shd w:val="clear" w:color="auto" w:fill="F4F7FB"/>
            <w:vAlign w:val="top"/>
          </w:tcPr>
          <w:p>
            <w:pPr>
              <w:pStyle w:val="TableText"/>
              <w:jc w:val="right"/>
            </w:pPr>
            <w:r>
              <w:t xml:space="preserve">3.75</w:t>
            </w:r>
          </w:p>
        </w:tc>
        <w:tc>
          <w:tcPr>
            <w:tcW w:w="1870" w:type="dxa"/>
            <w:shd w:val="clear" w:color="auto" w:fill="F4F7FB"/>
            <w:vAlign w:val="top"/>
          </w:tcPr>
          <w:p>
            <w:pPr>
              <w:pStyle w:val="TableText"/>
            </w:pPr>
          </w:p>
        </w:tc>
        <w:tc>
          <w:tcPr>
            <w:tcW w:w="2209" w:type="dxa"/>
            <w:shd w:val="clear" w:color="auto" w:fill="F4F7FB"/>
            <w:vAlign w:val="top"/>
          </w:tcPr>
          <w:p>
            <w:pPr>
              <w:pStyle w:val="TableText"/>
              <w:jc w:val="right"/>
            </w:pPr>
            <w:r>
              <w:t xml:space="preserve">33.75</w:t>
            </w:r>
          </w:p>
        </w:tc>
      </w:tr>
      <w:tr>
        <w:trPr>
          <w:cantSplit/>
        </w:trPr>
        <w:tc>
          <w:tcPr>
            <w:tcW w:w="5114" w:type="dxa"/>
            <w:vAlign w:val="top"/>
          </w:tcPr>
          <w:p>
            <w:pPr>
              <w:pStyle w:val="TableText"/>
              <w:jc w:val="left"/>
            </w:pPr>
            <w:r>
              <w:t xml:space="preserve">Business analyst and insurance SME</w:t>
            </w:r>
          </w:p>
        </w:tc>
        <w:tc>
          <w:tcPr>
            <w:tcW w:w="1870" w:type="dxa"/>
            <w:vAlign w:val="top"/>
          </w:tcPr>
          <w:p>
            <w:pPr>
              <w:pStyle w:val="TableText"/>
              <w:jc w:val="right"/>
            </w:pPr>
            <w:r>
              <w:t xml:space="preserve">10</w:t>
            </w:r>
          </w:p>
        </w:tc>
        <w:tc>
          <w:tcPr>
            <w:tcW w:w="1188" w:type="dxa"/>
            <w:vAlign w:val="top"/>
          </w:tcPr>
          <w:p>
            <w:pPr>
              <w:pStyle w:val="TableText"/>
              <w:jc w:val="right"/>
            </w:pPr>
            <w:r>
              <w:t xml:space="preserve">40</w:t>
            </w:r>
          </w:p>
        </w:tc>
        <w:tc>
          <w:tcPr>
            <w:tcW w:w="1708" w:type="dxa"/>
            <w:vAlign w:val="top"/>
          </w:tcPr>
          <w:p>
            <w:pPr>
              <w:pStyle w:val="TableText"/>
              <w:jc w:val="right"/>
            </w:pPr>
            <w:r>
              <w:t xml:space="preserve">15</w:t>
            </w:r>
          </w:p>
        </w:tc>
        <w:tc>
          <w:tcPr>
            <w:tcW w:w="1870" w:type="dxa"/>
            <w:vAlign w:val="top"/>
          </w:tcPr>
          <w:p>
            <w:pPr>
              <w:pStyle w:val="TableText"/>
              <w:jc w:val="right"/>
            </w:pPr>
            <w:r>
              <w:t xml:space="preserve">5</w:t>
            </w:r>
          </w:p>
        </w:tc>
        <w:tc>
          <w:tcPr>
            <w:tcW w:w="2209" w:type="dxa"/>
            <w:vAlign w:val="top"/>
          </w:tcPr>
          <w:p>
            <w:pPr>
              <w:pStyle w:val="TableText"/>
              <w:jc w:val="right"/>
            </w:pPr>
            <w:r>
              <w:t xml:space="preserve">70</w:t>
            </w:r>
          </w:p>
        </w:tc>
      </w:tr>
      <w:tr>
        <w:trPr>
          <w:cantSplit/>
        </w:trPr>
        <w:tc>
          <w:tcPr>
            <w:tcW w:w="5114" w:type="dxa"/>
            <w:shd w:val="clear" w:color="auto" w:fill="F4F7FB"/>
            <w:vAlign w:val="top"/>
          </w:tcPr>
          <w:p>
            <w:pPr>
              <w:pStyle w:val="TableText"/>
              <w:jc w:val="left"/>
            </w:pPr>
            <w:r>
              <w:t xml:space="preserve">UX and conversation designer</w:t>
            </w:r>
          </w:p>
        </w:tc>
        <w:tc>
          <w:tcPr>
            <w:tcW w:w="1870" w:type="dxa"/>
            <w:shd w:val="clear" w:color="auto" w:fill="F4F7FB"/>
            <w:vAlign w:val="top"/>
          </w:tcPr>
          <w:p>
            <w:pPr>
              <w:pStyle w:val="TableText"/>
              <w:jc w:val="right"/>
            </w:pPr>
            <w:r>
              <w:t xml:space="preserve">5</w:t>
            </w:r>
          </w:p>
        </w:tc>
        <w:tc>
          <w:tcPr>
            <w:tcW w:w="1188" w:type="dxa"/>
            <w:shd w:val="clear" w:color="auto" w:fill="F4F7FB"/>
            <w:vAlign w:val="top"/>
          </w:tcPr>
          <w:p>
            <w:pPr>
              <w:pStyle w:val="TableText"/>
              <w:jc w:val="right"/>
            </w:pPr>
            <w:r>
              <w:t xml:space="preserve">10</w:t>
            </w:r>
          </w:p>
        </w:tc>
        <w:tc>
          <w:tcPr>
            <w:tcW w:w="1708" w:type="dxa"/>
            <w:shd w:val="clear" w:color="auto" w:fill="F4F7FB"/>
            <w:vAlign w:val="top"/>
          </w:tcPr>
          <w:p>
            <w:pPr>
              <w:pStyle w:val="TableText"/>
            </w:pPr>
          </w:p>
        </w:tc>
        <w:tc>
          <w:tcPr>
            <w:tcW w:w="1870" w:type="dxa"/>
            <w:shd w:val="clear" w:color="auto" w:fill="F4F7FB"/>
            <w:vAlign w:val="top"/>
          </w:tcPr>
          <w:p>
            <w:pPr>
              <w:pStyle w:val="TableText"/>
            </w:pPr>
          </w:p>
        </w:tc>
        <w:tc>
          <w:tcPr>
            <w:tcW w:w="2209" w:type="dxa"/>
            <w:shd w:val="clear" w:color="auto" w:fill="F4F7FB"/>
            <w:vAlign w:val="top"/>
          </w:tcPr>
          <w:p>
            <w:pPr>
              <w:pStyle w:val="TableText"/>
              <w:jc w:val="right"/>
            </w:pPr>
            <w:r>
              <w:t xml:space="preserve">15</w:t>
            </w:r>
          </w:p>
        </w:tc>
      </w:tr>
      <w:tr>
        <w:trPr>
          <w:cantSplit/>
        </w:trPr>
        <w:tc>
          <w:tcPr>
            <w:tcW w:w="5114" w:type="dxa"/>
            <w:vAlign w:val="top"/>
          </w:tcPr>
          <w:p>
            <w:pPr>
              <w:pStyle w:val="TableText"/>
              <w:jc w:val="left"/>
            </w:pPr>
            <w:r>
              <w:t xml:space="preserve">Senior engineer (integration lead)</w:t>
            </w:r>
          </w:p>
        </w:tc>
        <w:tc>
          <w:tcPr>
            <w:tcW w:w="1870" w:type="dxa"/>
            <w:vAlign w:val="top"/>
          </w:tcPr>
          <w:p>
            <w:pPr>
              <w:pStyle w:val="TableText"/>
              <w:jc w:val="right"/>
            </w:pPr>
            <w:r>
              <w:t xml:space="preserve">5</w:t>
            </w:r>
          </w:p>
        </w:tc>
        <w:tc>
          <w:tcPr>
            <w:tcW w:w="1188" w:type="dxa"/>
            <w:vAlign w:val="top"/>
          </w:tcPr>
          <w:p>
            <w:pPr>
              <w:pStyle w:val="TableText"/>
              <w:jc w:val="right"/>
            </w:pPr>
            <w:r>
              <w:t xml:space="preserve">40</w:t>
            </w:r>
          </w:p>
        </w:tc>
        <w:tc>
          <w:tcPr>
            <w:tcW w:w="1708" w:type="dxa"/>
            <w:vAlign w:val="top"/>
          </w:tcPr>
          <w:p>
            <w:pPr>
              <w:pStyle w:val="TableText"/>
              <w:jc w:val="right"/>
            </w:pPr>
            <w:r>
              <w:t xml:space="preserve">15</w:t>
            </w:r>
          </w:p>
        </w:tc>
        <w:tc>
          <w:tcPr>
            <w:tcW w:w="1870" w:type="dxa"/>
            <w:vAlign w:val="top"/>
          </w:tcPr>
          <w:p>
            <w:pPr>
              <w:pStyle w:val="TableText"/>
              <w:jc w:val="right"/>
            </w:pPr>
            <w:r>
              <w:t xml:space="preserve">10</w:t>
            </w:r>
          </w:p>
        </w:tc>
        <w:tc>
          <w:tcPr>
            <w:tcW w:w="2209" w:type="dxa"/>
            <w:vAlign w:val="top"/>
          </w:tcPr>
          <w:p>
            <w:pPr>
              <w:pStyle w:val="TableText"/>
              <w:jc w:val="right"/>
            </w:pPr>
            <w:r>
              <w:t xml:space="preserve">70</w:t>
            </w:r>
          </w:p>
        </w:tc>
      </w:tr>
      <w:tr>
        <w:trPr>
          <w:cantSplit/>
        </w:trPr>
        <w:tc>
          <w:tcPr>
            <w:tcW w:w="5114" w:type="dxa"/>
            <w:shd w:val="clear" w:color="auto" w:fill="F4F7FB"/>
            <w:vAlign w:val="top"/>
          </w:tcPr>
          <w:p>
            <w:pPr>
              <w:pStyle w:val="TableText"/>
              <w:jc w:val="left"/>
            </w:pPr>
            <w:r>
              <w:t xml:space="preserve">Engineers (backend and frontend)</w:t>
            </w:r>
          </w:p>
        </w:tc>
        <w:tc>
          <w:tcPr>
            <w:tcW w:w="1870" w:type="dxa"/>
            <w:shd w:val="clear" w:color="auto" w:fill="F4F7FB"/>
            <w:vAlign w:val="top"/>
          </w:tcPr>
          <w:p>
            <w:pPr>
              <w:pStyle w:val="TableText"/>
            </w:pPr>
          </w:p>
        </w:tc>
        <w:tc>
          <w:tcPr>
            <w:tcW w:w="1188" w:type="dxa"/>
            <w:shd w:val="clear" w:color="auto" w:fill="F4F7FB"/>
            <w:vAlign w:val="top"/>
          </w:tcPr>
          <w:p>
            <w:pPr>
              <w:pStyle w:val="TableText"/>
              <w:jc w:val="right"/>
            </w:pPr>
            <w:r>
              <w:t xml:space="preserve">80</w:t>
            </w:r>
          </w:p>
        </w:tc>
        <w:tc>
          <w:tcPr>
            <w:tcW w:w="1708" w:type="dxa"/>
            <w:shd w:val="clear" w:color="auto" w:fill="F4F7FB"/>
            <w:vAlign w:val="top"/>
          </w:tcPr>
          <w:p>
            <w:pPr>
              <w:pStyle w:val="TableText"/>
              <w:jc w:val="right"/>
            </w:pPr>
            <w:r>
              <w:t xml:space="preserve">15</w:t>
            </w:r>
          </w:p>
        </w:tc>
        <w:tc>
          <w:tcPr>
            <w:tcW w:w="1870" w:type="dxa"/>
            <w:shd w:val="clear" w:color="auto" w:fill="F4F7FB"/>
            <w:vAlign w:val="top"/>
          </w:tcPr>
          <w:p>
            <w:pPr>
              <w:pStyle w:val="TableText"/>
              <w:jc w:val="right"/>
            </w:pPr>
            <w:r>
              <w:t xml:space="preserve">10</w:t>
            </w:r>
          </w:p>
        </w:tc>
        <w:tc>
          <w:tcPr>
            <w:tcW w:w="2209" w:type="dxa"/>
            <w:shd w:val="clear" w:color="auto" w:fill="F4F7FB"/>
            <w:vAlign w:val="top"/>
          </w:tcPr>
          <w:p>
            <w:pPr>
              <w:pStyle w:val="TableText"/>
              <w:jc w:val="right"/>
            </w:pPr>
            <w:r>
              <w:t xml:space="preserve">105</w:t>
            </w:r>
          </w:p>
        </w:tc>
      </w:tr>
      <w:tr>
        <w:trPr>
          <w:cantSplit/>
        </w:trPr>
        <w:tc>
          <w:tcPr>
            <w:tcW w:w="5114" w:type="dxa"/>
            <w:vAlign w:val="top"/>
          </w:tcPr>
          <w:p>
            <w:pPr>
              <w:pStyle w:val="TableText"/>
              <w:jc w:val="left"/>
            </w:pPr>
            <w:r>
              <w:t xml:space="preserve">QA engineer</w:t>
            </w:r>
          </w:p>
        </w:tc>
        <w:tc>
          <w:tcPr>
            <w:tcW w:w="1870" w:type="dxa"/>
            <w:vAlign w:val="top"/>
          </w:tcPr>
          <w:p>
            <w:pPr>
              <w:pStyle w:val="TableText"/>
            </w:pPr>
          </w:p>
        </w:tc>
        <w:tc>
          <w:tcPr>
            <w:tcW w:w="1188" w:type="dxa"/>
            <w:vAlign w:val="top"/>
          </w:tcPr>
          <w:p>
            <w:pPr>
              <w:pStyle w:val="TableText"/>
              <w:jc w:val="right"/>
            </w:pPr>
            <w:r>
              <w:t xml:space="preserve">40</w:t>
            </w:r>
          </w:p>
        </w:tc>
        <w:tc>
          <w:tcPr>
            <w:tcW w:w="1708" w:type="dxa"/>
            <w:vAlign w:val="top"/>
          </w:tcPr>
          <w:p>
            <w:pPr>
              <w:pStyle w:val="TableText"/>
              <w:jc w:val="right"/>
            </w:pPr>
            <w:r>
              <w:t xml:space="preserve">22.5</w:t>
            </w:r>
          </w:p>
        </w:tc>
        <w:tc>
          <w:tcPr>
            <w:tcW w:w="1870" w:type="dxa"/>
            <w:vAlign w:val="top"/>
          </w:tcPr>
          <w:p>
            <w:pPr>
              <w:pStyle w:val="TableText"/>
            </w:pPr>
          </w:p>
        </w:tc>
        <w:tc>
          <w:tcPr>
            <w:tcW w:w="2209" w:type="dxa"/>
            <w:vAlign w:val="top"/>
          </w:tcPr>
          <w:p>
            <w:pPr>
              <w:pStyle w:val="TableText"/>
              <w:jc w:val="right"/>
            </w:pPr>
            <w:r>
              <w:t xml:space="preserve">62.5</w:t>
            </w:r>
          </w:p>
        </w:tc>
      </w:tr>
      <w:tr>
        <w:trPr>
          <w:cantSplit/>
        </w:trPr>
        <w:tc>
          <w:tcPr>
            <w:tcW w:w="5114" w:type="dxa"/>
            <w:shd w:val="clear" w:color="auto" w:fill="F4F7FB"/>
            <w:vAlign w:val="top"/>
          </w:tcPr>
          <w:p>
            <w:pPr>
              <w:pStyle w:val="TableText"/>
              <w:jc w:val="left"/>
            </w:pPr>
            <w:r>
              <w:t xml:space="preserve">DevSecOps engineer</w:t>
            </w:r>
          </w:p>
        </w:tc>
        <w:tc>
          <w:tcPr>
            <w:tcW w:w="1870" w:type="dxa"/>
            <w:shd w:val="clear" w:color="auto" w:fill="F4F7FB"/>
            <w:vAlign w:val="top"/>
          </w:tcPr>
          <w:p>
            <w:pPr>
              <w:pStyle w:val="TableText"/>
            </w:pPr>
          </w:p>
        </w:tc>
        <w:tc>
          <w:tcPr>
            <w:tcW w:w="1188" w:type="dxa"/>
            <w:shd w:val="clear" w:color="auto" w:fill="F4F7FB"/>
            <w:vAlign w:val="top"/>
          </w:tcPr>
          <w:p>
            <w:pPr>
              <w:pStyle w:val="TableText"/>
              <w:jc w:val="right"/>
            </w:pPr>
            <w:r>
              <w:t xml:space="preserve">20</w:t>
            </w:r>
          </w:p>
        </w:tc>
        <w:tc>
          <w:tcPr>
            <w:tcW w:w="1708" w:type="dxa"/>
            <w:shd w:val="clear" w:color="auto" w:fill="F4F7FB"/>
            <w:vAlign w:val="top"/>
          </w:tcPr>
          <w:p>
            <w:pPr>
              <w:pStyle w:val="TableText"/>
              <w:jc w:val="right"/>
            </w:pPr>
            <w:r>
              <w:t xml:space="preserve">7.5</w:t>
            </w:r>
          </w:p>
        </w:tc>
        <w:tc>
          <w:tcPr>
            <w:tcW w:w="1870" w:type="dxa"/>
            <w:shd w:val="clear" w:color="auto" w:fill="F4F7FB"/>
            <w:vAlign w:val="top"/>
          </w:tcPr>
          <w:p>
            <w:pPr>
              <w:pStyle w:val="TableText"/>
              <w:jc w:val="right"/>
            </w:pPr>
            <w:r>
              <w:t xml:space="preserve">5</w:t>
            </w:r>
          </w:p>
        </w:tc>
        <w:tc>
          <w:tcPr>
            <w:tcW w:w="2209" w:type="dxa"/>
            <w:shd w:val="clear" w:color="auto" w:fill="F4F7FB"/>
            <w:vAlign w:val="top"/>
          </w:tcPr>
          <w:p>
            <w:pPr>
              <w:pStyle w:val="TableText"/>
              <w:jc w:val="right"/>
            </w:pPr>
            <w:r>
              <w:t xml:space="preserve">32.5</w:t>
            </w:r>
          </w:p>
        </w:tc>
      </w:tr>
      <w:tr>
        <w:trPr>
          <w:cantSplit/>
        </w:trPr>
        <w:tc>
          <w:tcPr>
            <w:tcW w:w="5114" w:type="dxa"/>
            <w:vAlign w:val="top"/>
          </w:tcPr>
          <w:p>
            <w:pPr>
              <w:pStyle w:val="TableText"/>
              <w:jc w:val="left"/>
            </w:pPr>
            <w:r>
              <w:rPr>
                <w:b/>
                <w:bCs/>
              </w:rPr>
              <w:t xml:space="preserve">Total</w:t>
            </w:r>
          </w:p>
        </w:tc>
        <w:tc>
          <w:tcPr>
            <w:tcW w:w="1870" w:type="dxa"/>
            <w:vAlign w:val="top"/>
          </w:tcPr>
          <w:p>
            <w:pPr>
              <w:pStyle w:val="TableText"/>
              <w:jc w:val="right"/>
            </w:pPr>
            <w:r>
              <w:rPr>
                <w:b/>
                <w:bCs/>
              </w:rPr>
              <w:t xml:space="preserve">35</w:t>
            </w:r>
          </w:p>
        </w:tc>
        <w:tc>
          <w:tcPr>
            <w:tcW w:w="1188" w:type="dxa"/>
            <w:vAlign w:val="top"/>
          </w:tcPr>
          <w:p>
            <w:pPr>
              <w:pStyle w:val="TableText"/>
              <w:jc w:val="right"/>
            </w:pPr>
            <w:r>
              <w:rPr>
                <w:b/>
                <w:bCs/>
              </w:rPr>
              <w:t xml:space="preserve">270</w:t>
            </w:r>
          </w:p>
        </w:tc>
        <w:tc>
          <w:tcPr>
            <w:tcW w:w="1708" w:type="dxa"/>
            <w:vAlign w:val="top"/>
          </w:tcPr>
          <w:p>
            <w:pPr>
              <w:pStyle w:val="TableText"/>
              <w:jc w:val="right"/>
            </w:pPr>
            <w:r>
              <w:rPr>
                <w:b/>
                <w:bCs/>
              </w:rPr>
              <w:t xml:space="preserve">86.25</w:t>
            </w:r>
          </w:p>
        </w:tc>
        <w:tc>
          <w:tcPr>
            <w:tcW w:w="1870" w:type="dxa"/>
            <w:vAlign w:val="top"/>
          </w:tcPr>
          <w:p>
            <w:pPr>
              <w:pStyle w:val="TableText"/>
              <w:jc w:val="right"/>
            </w:pPr>
            <w:r>
              <w:rPr>
                <w:b/>
                <w:bCs/>
              </w:rPr>
              <w:t xml:space="preserve">32</w:t>
            </w:r>
          </w:p>
        </w:tc>
        <w:tc>
          <w:tcPr>
            <w:tcW w:w="2209" w:type="dxa"/>
            <w:vAlign w:val="top"/>
          </w:tcPr>
          <w:p>
            <w:pPr>
              <w:pStyle w:val="TableText"/>
              <w:jc w:val="right"/>
            </w:pPr>
            <w:r>
              <w:rPr>
                <w:b/>
                <w:bCs/>
              </w:rPr>
              <w:t xml:space="preserve">423.25</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Heading2"/>
      </w:pPr>
      <w:bookmarkStart w:id="66" w:name="_Toc300000062"/>
      <w:r>
        <w:t xml:space="preserve">Engagement options</w:t>
      </w:r>
      <w:bookmarkEnd w:id="66"/>
    </w:p>
    <w:p>
      <w:pPr>
        <w:pStyle w:val="FirstParagraph"/>
      </w:pPr>
      <w:r>
        <w:t xml:space="preserve">We offer two ways to contract the MVP. Both deliver the same scope and timeline.</w:t>
      </w:r>
    </w:p>
    <w:p>
      <w:pPr>
        <w:pStyle w:val="BodyText"/>
      </w:pPr>
      <w:r>
        <w:rPr>
          <w:b/>
          <w:bCs/>
        </w:rPr>
        <w:t xml:space="preserve">Option A, fixed price (recommended).</w:t>
      </w:r>
      <w:r>
        <w:t xml:space="preserve"> </w:t>
      </w:r>
      <w:r>
        <w:t xml:space="preserve">A fixed price for the MVP, paid against milestones. TASCO has full budget certainty, and the delivery risk sits with us.</w:t>
      </w:r>
    </w:p>
    <w:p>
      <w:pPr>
        <w:pStyle w:val="BodyText"/>
      </w:pPr>
      <w:r>
        <w:rPr>
          <w:b/>
          <w:bCs/>
        </w:rPr>
        <w:t xml:space="preserve">Option B, shared outcome.</w:t>
      </w:r>
      <w:r>
        <w:t xml:space="preserve"> </w:t>
      </w:r>
      <w:r>
        <w:t xml:space="preserve">A lower fixed price, plus a technology service fee for each policy issued digitally through the platform during the first 12 months after go-live, subject to a cap. This option suits TASCO if it prefers to link part of the cost to results. The fee would be structured as a technology service fee per processed transaction, not as commission, and must not affect the premium the customer pays. TASCO legal should confirm this structure.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67" w:name="_Toc300000063"/>
      <w:r>
        <w:rPr>
          <w:rStyle w:val="BookTitle"/>
          <w:bCs w:val="0"/>
          <w:i w:val="0"/>
          <w:iCs w:val="0"/>
          <w:spacing w:val="0"/>
        </w:rPr>
        <w:t xml:space="preserve">Commercial proposal</w:t>
      </w:r>
      <w:bookmarkEnd w:id="67"/>
    </w:p>
    <w:p>
      <w:pPr>
        <w:pStyle w:val="FirstParagraph"/>
      </w:pPr>
      <w:r>
        <w:t xml:space="preserve">All prices are in US dollars. For reference, amounts are also shown in Vietnamese dong at USD 1 = VND 26,000; invoices can be issued in either currency at a rate agreed at contract.</w:t>
      </w:r>
    </w:p>
    <w:p>
      <w:pPr>
        <w:pStyle w:val="Heading2"/>
      </w:pPr>
      <w:bookmarkStart w:id="68" w:name="_Toc300000064"/>
      <w:r>
        <w:t xml:space="preserve">MVP price</w:t>
      </w:r>
      <w:bookmarkEnd w:id="6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843"/>
        <w:gridCol w:w="1184"/>
      </w:tblGrid>
      <w:tr>
        <w:trPr>
          <w:cantSplit/>
          <w:tblHeader/>
        </w:trPr>
        <w:tc>
          <w:tcPr>
            <w:tcW w:w="7843" w:type="dxa"/>
            <w:shd w:val="clear" w:color="auto" w:fill="0F4761"/>
            <w:vAlign w:val="center"/>
          </w:tcPr>
          <w:p>
            <w:pPr>
              <w:pStyle w:val="TableHeading"/>
              <w:jc w:val="left"/>
            </w:pPr>
            <w:r>
              <w:rPr>
                <w:color w:val="FFFFFF"/>
              </w:rPr>
              <w:t xml:space="preserve">Item</w:t>
            </w:r>
          </w:p>
        </w:tc>
        <w:tc>
          <w:tcPr>
            <w:tcW w:w="1184" w:type="dxa"/>
            <w:shd w:val="clear" w:color="auto" w:fill="0F4761"/>
            <w:vAlign w:val="center"/>
          </w:tcPr>
          <w:p>
            <w:pPr>
              <w:pStyle w:val="TableHeading"/>
              <w:jc w:val="right"/>
            </w:pPr>
            <w:r>
              <w:rPr>
                <w:color w:val="FFFFFF"/>
              </w:rPr>
              <w:t xml:space="preserve">USD</w:t>
            </w:r>
          </w:p>
        </w:tc>
      </w:tr>
      <w:tr>
        <w:trPr>
          <w:cantSplit/>
        </w:trPr>
        <w:tc>
          <w:tcPr>
            <w:tcW w:w="7843" w:type="dxa"/>
            <w:vAlign w:val="top"/>
          </w:tcPr>
          <w:p>
            <w:pPr>
              <w:pStyle w:val="TableText"/>
              <w:jc w:val="left"/>
            </w:pPr>
            <w:r>
              <w:t xml:space="preserve">Delivery effort at our standard rate card (423.25 person-days, section 26.1)</w:t>
            </w:r>
          </w:p>
        </w:tc>
        <w:tc>
          <w:tcPr>
            <w:tcW w:w="1184" w:type="dxa"/>
            <w:vAlign w:val="top"/>
          </w:tcPr>
          <w:p>
            <w:pPr>
              <w:pStyle w:val="TableText"/>
              <w:jc w:val="right"/>
            </w:pPr>
            <w:r>
              <w:t xml:space="preserve">107,485</w:t>
            </w:r>
          </w:p>
        </w:tc>
      </w:tr>
      <w:tr>
        <w:trPr>
          <w:cantSplit/>
        </w:trPr>
        <w:tc>
          <w:tcPr>
            <w:tcW w:w="7843" w:type="dxa"/>
            <w:shd w:val="clear" w:color="auto" w:fill="F4F7FB"/>
            <w:vAlign w:val="top"/>
          </w:tcPr>
          <w:p>
            <w:pPr>
              <w:pStyle w:val="TableText"/>
              <w:jc w:val="left"/>
            </w:pPr>
            <w:r>
              <w:t xml:space="preserve">Accelerator credit: reuse of the existing TASCO Growth Platform</w:t>
            </w:r>
          </w:p>
        </w:tc>
        <w:tc>
          <w:tcPr>
            <w:tcW w:w="1184" w:type="dxa"/>
            <w:shd w:val="clear" w:color="auto" w:fill="F4F7FB"/>
            <w:vAlign w:val="top"/>
          </w:tcPr>
          <w:p>
            <w:pPr>
              <w:pStyle w:val="TableText"/>
              <w:jc w:val="right"/>
            </w:pPr>
            <w:r>
              <w:t xml:space="preserve">(12,685)</w:t>
            </w:r>
          </w:p>
        </w:tc>
      </w:tr>
      <w:tr>
        <w:trPr>
          <w:cantSplit/>
        </w:trPr>
        <w:tc>
          <w:tcPr>
            <w:tcW w:w="7843" w:type="dxa"/>
            <w:vAlign w:val="top"/>
          </w:tcPr>
          <w:p>
            <w:pPr>
              <w:pStyle w:val="TableText"/>
              <w:jc w:val="left"/>
            </w:pPr>
            <w:r>
              <w:rPr>
                <w:b/>
                <w:bCs/>
              </w:rPr>
              <w:t xml:space="preserve">MVP fixed price (Option A)</w:t>
            </w:r>
          </w:p>
        </w:tc>
        <w:tc>
          <w:tcPr>
            <w:tcW w:w="1184" w:type="dxa"/>
            <w:vAlign w:val="top"/>
          </w:tcPr>
          <w:p>
            <w:pPr>
              <w:pStyle w:val="TableText"/>
              <w:jc w:val="right"/>
            </w:pPr>
            <w:r>
              <w:rPr>
                <w:b/>
                <w:bCs/>
              </w:rPr>
              <w:t xml:space="preserve">94,800</w:t>
            </w:r>
          </w:p>
        </w:tc>
      </w:tr>
      <w:tr>
        <w:trPr>
          <w:cantSplit/>
        </w:trPr>
        <w:tc>
          <w:tcPr>
            <w:tcW w:w="7843" w:type="dxa"/>
            <w:shd w:val="clear" w:color="auto" w:fill="F4F7FB"/>
            <w:vAlign w:val="top"/>
          </w:tcPr>
          <w:p>
            <w:pPr>
              <w:pStyle w:val="TableText"/>
              <w:jc w:val="left"/>
            </w:pPr>
            <w:r>
              <w:t xml:space="preserve">Perpetual licence to the platform for TASCO’s use, including source code</w:t>
            </w:r>
          </w:p>
        </w:tc>
        <w:tc>
          <w:tcPr>
            <w:tcW w:w="1184" w:type="dxa"/>
            <w:shd w:val="clear" w:color="auto" w:fill="F4F7FB"/>
            <w:vAlign w:val="top"/>
          </w:tcPr>
          <w:p>
            <w:pPr>
              <w:pStyle w:val="TableText"/>
              <w:jc w:val="right"/>
            </w:pPr>
            <w:r>
              <w:t xml:space="preserve">Included</w:t>
            </w:r>
          </w:p>
        </w:tc>
      </w:tr>
      <w:tr>
        <w:trPr>
          <w:cantSplit/>
        </w:trPr>
        <w:tc>
          <w:tcPr>
            <w:tcW w:w="7843" w:type="dxa"/>
            <w:vAlign w:val="top"/>
          </w:tcPr>
          <w:p>
            <w:pPr>
              <w:pStyle w:val="TableText"/>
              <w:jc w:val="left"/>
            </w:pPr>
            <w:r>
              <w:t xml:space="preserve">Up to three on-site visits to Hà Nội (discovery, UAT and go-live)</w:t>
            </w:r>
          </w:p>
        </w:tc>
        <w:tc>
          <w:tcPr>
            <w:tcW w:w="1184" w:type="dxa"/>
            <w:vAlign w:val="top"/>
          </w:tcPr>
          <w:p>
            <w:pPr>
              <w:pStyle w:val="TableText"/>
              <w:jc w:val="right"/>
            </w:pPr>
            <w:r>
              <w:t xml:space="preserve">Included</w:t>
            </w:r>
          </w:p>
        </w:tc>
      </w:tr>
      <w:tr>
        <w:trPr>
          <w:cantSplit/>
        </w:trPr>
        <w:tc>
          <w:tcPr>
            <w:tcW w:w="7843" w:type="dxa"/>
            <w:shd w:val="clear" w:color="auto" w:fill="F4F7FB"/>
            <w:vAlign w:val="top"/>
          </w:tcPr>
          <w:p>
            <w:pPr>
              <w:pStyle w:val="TableText"/>
              <w:jc w:val="left"/>
            </w:pPr>
            <w:r>
              <w:t xml:space="preserve">90-day warranty from go-live</w:t>
            </w:r>
          </w:p>
        </w:tc>
        <w:tc>
          <w:tcPr>
            <w:tcW w:w="1184" w:type="dxa"/>
            <w:shd w:val="clear" w:color="auto" w:fill="F4F7FB"/>
            <w:vAlign w:val="top"/>
          </w:tcPr>
          <w:p>
            <w:pPr>
              <w:pStyle w:val="TableText"/>
              <w:jc w:val="right"/>
            </w:pPr>
            <w:r>
              <w:t xml:space="preserve">Included</w:t>
            </w:r>
          </w:p>
        </w:tc>
      </w:tr>
      <w:tr>
        <w:trPr>
          <w:cantSplit/>
        </w:trPr>
        <w:tc>
          <w:tcPr>
            <w:tcW w:w="7843" w:type="dxa"/>
            <w:vAlign w:val="top"/>
          </w:tcPr>
          <w:p>
            <w:pPr>
              <w:pStyle w:val="TableText"/>
              <w:jc w:val="left"/>
            </w:pPr>
            <w:r>
              <w:rPr>
                <w:b/>
                <w:bCs/>
              </w:rPr>
              <w:t xml:space="preserve">Change reserve held by TASCO</w:t>
            </w:r>
            <w:r>
              <w:t xml:space="preserve"> </w:t>
            </w:r>
            <w:r>
              <w:t xml:space="preserve">(used only with TASCO’s approval)</w:t>
            </w:r>
          </w:p>
        </w:tc>
        <w:tc>
          <w:tcPr>
            <w:tcW w:w="1184" w:type="dxa"/>
            <w:vAlign w:val="top"/>
          </w:tcPr>
          <w:p>
            <w:pPr>
              <w:pStyle w:val="TableText"/>
              <w:jc w:val="right"/>
            </w:pPr>
            <w:r>
              <w:rPr>
                <w:b/>
                <w:bCs/>
              </w:rPr>
              <w:t xml:space="preserve">5,200</w:t>
            </w:r>
          </w:p>
        </w:tc>
      </w:tr>
      <w:tr>
        <w:trPr>
          <w:cantSplit/>
        </w:trPr>
        <w:tc>
          <w:tcPr>
            <w:tcW w:w="7843" w:type="dxa"/>
            <w:shd w:val="clear" w:color="auto" w:fill="F4F7FB"/>
            <w:vAlign w:val="top"/>
          </w:tcPr>
          <w:p>
            <w:pPr>
              <w:pStyle w:val="TableText"/>
              <w:jc w:val="left"/>
            </w:pPr>
            <w:r>
              <w:rPr>
                <w:b/>
                <w:bCs/>
              </w:rPr>
              <w:t xml:space="preserve">Total within TASCO’s MVP budget</w:t>
            </w:r>
          </w:p>
        </w:tc>
        <w:tc>
          <w:tcPr>
            <w:tcW w:w="1184" w:type="dxa"/>
            <w:shd w:val="clear" w:color="auto" w:fill="F4F7FB"/>
            <w:vAlign w:val="top"/>
          </w:tcPr>
          <w:p>
            <w:pPr>
              <w:pStyle w:val="TableText"/>
              <w:jc w:val="right"/>
            </w:pPr>
            <w:r>
              <w:rPr>
                <w:b/>
                <w:bCs/>
              </w:rPr>
              <w:t xml:space="preserve">100,000</w:t>
            </w:r>
          </w:p>
        </w:tc>
      </w:tr>
    </w:tbl>
    <w:p>
      <w:pPr>
        <w:pStyle w:val="BodyText"/>
        <w:spacing w:before="160"/>
      </w:pPr>
      <w:r>
        <w:t xml:space="preserve">The MVP fixed price is approximately</w:t>
      </w:r>
      <w:r>
        <w:t xml:space="preserve"> </w:t>
      </w:r>
      <w:r>
        <w:rPr>
          <w:b/>
          <w:bCs/>
        </w:rPr>
        <w:t xml:space="preserve">VND 2.46 billion</w:t>
      </w:r>
      <w:r>
        <w:t xml:space="preserve">.</w:t>
      </w:r>
    </w:p>
    <w:p>
      <w:pPr>
        <w:pStyle w:val="Heading2"/>
      </w:pPr>
      <w:bookmarkStart w:id="69" w:name="_Toc300000065"/>
      <w:r>
        <w:t xml:space="preserve">Payment milestones</w:t>
      </w:r>
      <w:bookmarkEnd w:id="6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07"/>
        <w:gridCol w:w="3840"/>
        <w:gridCol w:w="850"/>
        <w:gridCol w:w="1165"/>
        <w:gridCol w:w="1165"/>
      </w:tblGrid>
      <w:tr>
        <w:trPr>
          <w:cantSplit/>
          <w:tblHeader/>
        </w:trPr>
        <w:tc>
          <w:tcPr>
            <w:tcW w:w="2007" w:type="dxa"/>
            <w:shd w:val="clear" w:color="auto" w:fill="0F4761"/>
            <w:vAlign w:val="center"/>
          </w:tcPr>
          <w:p>
            <w:pPr>
              <w:pStyle w:val="TableHeading"/>
              <w:jc w:val="left"/>
            </w:pPr>
            <w:r>
              <w:rPr>
                <w:color w:val="FFFFFF"/>
              </w:rPr>
              <w:t xml:space="preserve">Milestone</w:t>
            </w:r>
          </w:p>
        </w:tc>
        <w:tc>
          <w:tcPr>
            <w:tcW w:w="3840" w:type="dxa"/>
            <w:shd w:val="clear" w:color="auto" w:fill="0F4761"/>
            <w:vAlign w:val="center"/>
          </w:tcPr>
          <w:p>
            <w:pPr>
              <w:pStyle w:val="TableHeading"/>
              <w:jc w:val="left"/>
            </w:pPr>
            <w:r>
              <w:rPr>
                <w:color w:val="FFFFFF"/>
              </w:rPr>
              <w:t xml:space="preserve">Trigger</w:t>
            </w:r>
          </w:p>
        </w:tc>
        <w:tc>
          <w:tcPr>
            <w:tcW w:w="850" w:type="dxa"/>
            <w:shd w:val="clear" w:color="auto" w:fill="0F4761"/>
            <w:vAlign w:val="center"/>
          </w:tcPr>
          <w:p>
            <w:pPr>
              <w:pStyle w:val="TableHeading"/>
              <w:jc w:val="right"/>
            </w:pPr>
            <w:r>
              <w:rPr>
                <w:color w:val="FFFFFF"/>
              </w:rPr>
              <w:t xml:space="preserve">Share</w:t>
            </w:r>
          </w:p>
        </w:tc>
        <w:tc>
          <w:tcPr>
            <w:tcW w:w="1165" w:type="dxa"/>
            <w:shd w:val="clear" w:color="auto" w:fill="0F4761"/>
            <w:vAlign w:val="center"/>
          </w:tcPr>
          <w:p>
            <w:pPr>
              <w:pStyle w:val="TableHeading"/>
              <w:jc w:val="right"/>
            </w:pPr>
            <w:r>
              <w:rPr>
                <w:color w:val="FFFFFF"/>
              </w:rPr>
              <w:t xml:space="preserve">Option A (USD)</w:t>
            </w:r>
          </w:p>
        </w:tc>
        <w:tc>
          <w:tcPr>
            <w:tcW w:w="1165" w:type="dxa"/>
            <w:shd w:val="clear" w:color="auto" w:fill="0F4761"/>
            <w:vAlign w:val="center"/>
          </w:tcPr>
          <w:p>
            <w:pPr>
              <w:pStyle w:val="TableHeading"/>
              <w:jc w:val="right"/>
            </w:pPr>
            <w:r>
              <w:rPr>
                <w:color w:val="FFFFFF"/>
              </w:rPr>
              <w:t xml:space="preserve">Option B (USD)</w:t>
            </w:r>
          </w:p>
        </w:tc>
      </w:tr>
      <w:tr>
        <w:trPr>
          <w:cantSplit/>
        </w:trPr>
        <w:tc>
          <w:tcPr>
            <w:tcW w:w="2007" w:type="dxa"/>
            <w:vAlign w:val="top"/>
          </w:tcPr>
          <w:p>
            <w:pPr>
              <w:pStyle w:val="TableText"/>
              <w:jc w:val="left"/>
            </w:pPr>
            <w:r>
              <w:t xml:space="preserve">M0 Mobilisation</w:t>
            </w:r>
          </w:p>
        </w:tc>
        <w:tc>
          <w:tcPr>
            <w:tcW w:w="3840" w:type="dxa"/>
            <w:vAlign w:val="top"/>
          </w:tcPr>
          <w:p>
            <w:pPr>
              <w:pStyle w:val="TableText"/>
              <w:jc w:val="left"/>
            </w:pPr>
            <w:r>
              <w:t xml:space="preserve">Contract signed, team onboarded</w:t>
            </w:r>
          </w:p>
        </w:tc>
        <w:tc>
          <w:tcPr>
            <w:tcW w:w="850" w:type="dxa"/>
            <w:vAlign w:val="top"/>
          </w:tcPr>
          <w:p>
            <w:pPr>
              <w:pStyle w:val="TableText"/>
              <w:jc w:val="right"/>
            </w:pPr>
            <w:r>
              <w:t xml:space="preserve">15%</w:t>
            </w:r>
          </w:p>
        </w:tc>
        <w:tc>
          <w:tcPr>
            <w:tcW w:w="1165" w:type="dxa"/>
            <w:vAlign w:val="top"/>
          </w:tcPr>
          <w:p>
            <w:pPr>
              <w:pStyle w:val="TableText"/>
              <w:jc w:val="right"/>
            </w:pPr>
            <w:r>
              <w:t xml:space="preserve">14,220</w:t>
            </w:r>
          </w:p>
        </w:tc>
        <w:tc>
          <w:tcPr>
            <w:tcW w:w="1165" w:type="dxa"/>
            <w:vAlign w:val="top"/>
          </w:tcPr>
          <w:p>
            <w:pPr>
              <w:pStyle w:val="TableText"/>
              <w:jc w:val="right"/>
            </w:pPr>
            <w:r>
              <w:t xml:space="preserve">11,220</w:t>
            </w:r>
          </w:p>
        </w:tc>
      </w:tr>
      <w:tr>
        <w:trPr>
          <w:cantSplit/>
        </w:trPr>
        <w:tc>
          <w:tcPr>
            <w:tcW w:w="2007" w:type="dxa"/>
            <w:shd w:val="clear" w:color="auto" w:fill="F4F7FB"/>
            <w:vAlign w:val="top"/>
          </w:tcPr>
          <w:p>
            <w:pPr>
              <w:pStyle w:val="TableText"/>
              <w:jc w:val="left"/>
            </w:pPr>
            <w:r>
              <w:t xml:space="preserve">M1 Discovery complete</w:t>
            </w:r>
          </w:p>
        </w:tc>
        <w:tc>
          <w:tcPr>
            <w:tcW w:w="3840" w:type="dxa"/>
            <w:shd w:val="clear" w:color="auto" w:fill="F4F7FB"/>
            <w:vAlign w:val="top"/>
          </w:tcPr>
          <w:p>
            <w:pPr>
              <w:pStyle w:val="TableText"/>
              <w:jc w:val="left"/>
            </w:pPr>
            <w:r>
              <w:t xml:space="preserve">Discovery report and pilot design signed off</w:t>
            </w:r>
          </w:p>
        </w:tc>
        <w:tc>
          <w:tcPr>
            <w:tcW w:w="850" w:type="dxa"/>
            <w:shd w:val="clear" w:color="auto" w:fill="F4F7FB"/>
            <w:vAlign w:val="top"/>
          </w:tcPr>
          <w:p>
            <w:pPr>
              <w:pStyle w:val="TableText"/>
              <w:jc w:val="right"/>
            </w:pPr>
            <w:r>
              <w:t xml:space="preserve">15%</w:t>
            </w:r>
          </w:p>
        </w:tc>
        <w:tc>
          <w:tcPr>
            <w:tcW w:w="1165" w:type="dxa"/>
            <w:shd w:val="clear" w:color="auto" w:fill="F4F7FB"/>
            <w:vAlign w:val="top"/>
          </w:tcPr>
          <w:p>
            <w:pPr>
              <w:pStyle w:val="TableText"/>
              <w:jc w:val="right"/>
            </w:pPr>
            <w:r>
              <w:t xml:space="preserve">14,220</w:t>
            </w:r>
          </w:p>
        </w:tc>
        <w:tc>
          <w:tcPr>
            <w:tcW w:w="1165" w:type="dxa"/>
            <w:shd w:val="clear" w:color="auto" w:fill="F4F7FB"/>
            <w:vAlign w:val="top"/>
          </w:tcPr>
          <w:p>
            <w:pPr>
              <w:pStyle w:val="TableText"/>
              <w:jc w:val="right"/>
            </w:pPr>
            <w:r>
              <w:t xml:space="preserve">11,220</w:t>
            </w:r>
          </w:p>
        </w:tc>
      </w:tr>
      <w:tr>
        <w:trPr>
          <w:cantSplit/>
        </w:trPr>
        <w:tc>
          <w:tcPr>
            <w:tcW w:w="2007" w:type="dxa"/>
            <w:vAlign w:val="top"/>
          </w:tcPr>
          <w:p>
            <w:pPr>
              <w:pStyle w:val="TableText"/>
              <w:jc w:val="left"/>
            </w:pPr>
            <w:r>
              <w:t xml:space="preserve">M2 Integrated build</w:t>
            </w:r>
          </w:p>
        </w:tc>
        <w:tc>
          <w:tcPr>
            <w:tcW w:w="3840" w:type="dxa"/>
            <w:vAlign w:val="top"/>
          </w:tcPr>
          <w:p>
            <w:pPr>
              <w:pStyle w:val="TableText"/>
              <w:jc w:val="left"/>
            </w:pPr>
            <w:r>
              <w:t xml:space="preserve">End-to-end demonstration on sandboxes</w:t>
            </w:r>
          </w:p>
        </w:tc>
        <w:tc>
          <w:tcPr>
            <w:tcW w:w="850" w:type="dxa"/>
            <w:vAlign w:val="top"/>
          </w:tcPr>
          <w:p>
            <w:pPr>
              <w:pStyle w:val="TableText"/>
              <w:jc w:val="right"/>
            </w:pPr>
            <w:r>
              <w:t xml:space="preserve">25%</w:t>
            </w:r>
          </w:p>
        </w:tc>
        <w:tc>
          <w:tcPr>
            <w:tcW w:w="1165" w:type="dxa"/>
            <w:vAlign w:val="top"/>
          </w:tcPr>
          <w:p>
            <w:pPr>
              <w:pStyle w:val="TableText"/>
              <w:jc w:val="right"/>
            </w:pPr>
            <w:r>
              <w:t xml:space="preserve">23,700</w:t>
            </w:r>
          </w:p>
        </w:tc>
        <w:tc>
          <w:tcPr>
            <w:tcW w:w="1165" w:type="dxa"/>
            <w:vAlign w:val="top"/>
          </w:tcPr>
          <w:p>
            <w:pPr>
              <w:pStyle w:val="TableText"/>
              <w:jc w:val="right"/>
            </w:pPr>
            <w:r>
              <w:t xml:space="preserve">18,700</w:t>
            </w:r>
          </w:p>
        </w:tc>
      </w:tr>
      <w:tr>
        <w:trPr>
          <w:cantSplit/>
        </w:trPr>
        <w:tc>
          <w:tcPr>
            <w:tcW w:w="2007" w:type="dxa"/>
            <w:shd w:val="clear" w:color="auto" w:fill="F4F7FB"/>
            <w:vAlign w:val="top"/>
          </w:tcPr>
          <w:p>
            <w:pPr>
              <w:pStyle w:val="TableText"/>
              <w:jc w:val="left"/>
            </w:pPr>
            <w:r>
              <w:t xml:space="preserve">M3 Acceptance</w:t>
            </w:r>
          </w:p>
        </w:tc>
        <w:tc>
          <w:tcPr>
            <w:tcW w:w="3840" w:type="dxa"/>
            <w:shd w:val="clear" w:color="auto" w:fill="F4F7FB"/>
            <w:vAlign w:val="top"/>
          </w:tcPr>
          <w:p>
            <w:pPr>
              <w:pStyle w:val="TableText"/>
              <w:jc w:val="left"/>
            </w:pPr>
            <w:r>
              <w:t xml:space="preserve">UAT signed off; no open critical or high security findings</w:t>
            </w:r>
          </w:p>
        </w:tc>
        <w:tc>
          <w:tcPr>
            <w:tcW w:w="850" w:type="dxa"/>
            <w:shd w:val="clear" w:color="auto" w:fill="F4F7FB"/>
            <w:vAlign w:val="top"/>
          </w:tcPr>
          <w:p>
            <w:pPr>
              <w:pStyle w:val="TableText"/>
              <w:jc w:val="right"/>
            </w:pPr>
            <w:r>
              <w:t xml:space="preserve">25%</w:t>
            </w:r>
          </w:p>
        </w:tc>
        <w:tc>
          <w:tcPr>
            <w:tcW w:w="1165" w:type="dxa"/>
            <w:shd w:val="clear" w:color="auto" w:fill="F4F7FB"/>
            <w:vAlign w:val="top"/>
          </w:tcPr>
          <w:p>
            <w:pPr>
              <w:pStyle w:val="TableText"/>
              <w:jc w:val="right"/>
            </w:pPr>
            <w:r>
              <w:t xml:space="preserve">23,700</w:t>
            </w:r>
          </w:p>
        </w:tc>
        <w:tc>
          <w:tcPr>
            <w:tcW w:w="1165" w:type="dxa"/>
            <w:shd w:val="clear" w:color="auto" w:fill="F4F7FB"/>
            <w:vAlign w:val="top"/>
          </w:tcPr>
          <w:p>
            <w:pPr>
              <w:pStyle w:val="TableText"/>
              <w:jc w:val="right"/>
            </w:pPr>
            <w:r>
              <w:t xml:space="preserve">18,700</w:t>
            </w:r>
          </w:p>
        </w:tc>
      </w:tr>
      <w:tr>
        <w:trPr>
          <w:cantSplit/>
        </w:trPr>
        <w:tc>
          <w:tcPr>
            <w:tcW w:w="2007" w:type="dxa"/>
            <w:vAlign w:val="top"/>
          </w:tcPr>
          <w:p>
            <w:pPr>
              <w:pStyle w:val="TableText"/>
              <w:jc w:val="left"/>
            </w:pPr>
            <w:r>
              <w:t xml:space="preserve">M4 Pilot live</w:t>
            </w:r>
          </w:p>
        </w:tc>
        <w:tc>
          <w:tcPr>
            <w:tcW w:w="3840" w:type="dxa"/>
            <w:vAlign w:val="top"/>
          </w:tcPr>
          <w:p>
            <w:pPr>
              <w:pStyle w:val="TableText"/>
              <w:jc w:val="left"/>
            </w:pPr>
            <w:r>
              <w:t xml:space="preserve">Go-live plus four weeks of hypercare within service levels</w:t>
            </w:r>
          </w:p>
        </w:tc>
        <w:tc>
          <w:tcPr>
            <w:tcW w:w="850" w:type="dxa"/>
            <w:vAlign w:val="top"/>
          </w:tcPr>
          <w:p>
            <w:pPr>
              <w:pStyle w:val="TableText"/>
              <w:jc w:val="right"/>
            </w:pPr>
            <w:r>
              <w:t xml:space="preserve">20%</w:t>
            </w:r>
          </w:p>
        </w:tc>
        <w:tc>
          <w:tcPr>
            <w:tcW w:w="1165" w:type="dxa"/>
            <w:vAlign w:val="top"/>
          </w:tcPr>
          <w:p>
            <w:pPr>
              <w:pStyle w:val="TableText"/>
              <w:jc w:val="right"/>
            </w:pPr>
            <w:r>
              <w:t xml:space="preserve">18,960</w:t>
            </w:r>
          </w:p>
        </w:tc>
        <w:tc>
          <w:tcPr>
            <w:tcW w:w="1165" w:type="dxa"/>
            <w:vAlign w:val="top"/>
          </w:tcPr>
          <w:p>
            <w:pPr>
              <w:pStyle w:val="TableText"/>
              <w:jc w:val="right"/>
            </w:pPr>
            <w:r>
              <w:t xml:space="preserve">14,960</w:t>
            </w:r>
          </w:p>
        </w:tc>
      </w:tr>
      <w:tr>
        <w:trPr>
          <w:cantSplit/>
        </w:trPr>
        <w:tc>
          <w:tcPr>
            <w:tcW w:w="2007" w:type="dxa"/>
            <w:shd w:val="clear" w:color="auto" w:fill="F4F7FB"/>
            <w:vAlign w:val="top"/>
          </w:tcPr>
          <w:p>
            <w:pPr>
              <w:pStyle w:val="TableText"/>
              <w:jc w:val="left"/>
            </w:pPr>
            <w:r>
              <w:rPr>
                <w:b/>
                <w:bCs/>
              </w:rPr>
              <w:t xml:space="preserve">Total</w:t>
            </w:r>
          </w:p>
        </w:tc>
        <w:tc>
          <w:tcPr>
            <w:tcW w:w="3840" w:type="dxa"/>
            <w:shd w:val="clear" w:color="auto" w:fill="F4F7FB"/>
            <w:vAlign w:val="top"/>
          </w:tcPr>
          <w:p>
            <w:pPr>
              <w:pStyle w:val="TableText"/>
            </w:pPr>
          </w:p>
        </w:tc>
        <w:tc>
          <w:tcPr>
            <w:tcW w:w="850" w:type="dxa"/>
            <w:shd w:val="clear" w:color="auto" w:fill="F4F7FB"/>
            <w:vAlign w:val="top"/>
          </w:tcPr>
          <w:p>
            <w:pPr>
              <w:pStyle w:val="TableText"/>
              <w:jc w:val="right"/>
            </w:pPr>
            <w:r>
              <w:rPr>
                <w:b/>
                <w:bCs/>
              </w:rPr>
              <w:t xml:space="preserve">100%</w:t>
            </w:r>
          </w:p>
        </w:tc>
        <w:tc>
          <w:tcPr>
            <w:tcW w:w="1165" w:type="dxa"/>
            <w:shd w:val="clear" w:color="auto" w:fill="F4F7FB"/>
            <w:vAlign w:val="top"/>
          </w:tcPr>
          <w:p>
            <w:pPr>
              <w:pStyle w:val="TableText"/>
              <w:jc w:val="right"/>
            </w:pPr>
            <w:r>
              <w:rPr>
                <w:b/>
                <w:bCs/>
              </w:rPr>
              <w:t xml:space="preserve">94,800</w:t>
            </w:r>
          </w:p>
        </w:tc>
        <w:tc>
          <w:tcPr>
            <w:tcW w:w="1165" w:type="dxa"/>
            <w:shd w:val="clear" w:color="auto" w:fill="F4F7FB"/>
            <w:vAlign w:val="top"/>
          </w:tcPr>
          <w:p>
            <w:pPr>
              <w:pStyle w:val="TableText"/>
              <w:jc w:val="right"/>
            </w:pPr>
            <w:r>
              <w:rPr>
                <w:b/>
                <w:bCs/>
              </w:rPr>
              <w:t xml:space="preserve">74,800</w:t>
            </w:r>
          </w:p>
        </w:tc>
      </w:tr>
    </w:tbl>
    <w:p>
      <w:pPr>
        <w:pStyle w:val="BodyText"/>
        <w:spacing w:before="160"/>
      </w:pPr>
      <w:r>
        <w:t xml:space="preserve">Under Option B, a technology service fee of</w:t>
      </w:r>
      <w:r>
        <w:t xml:space="preserve"> </w:t>
      </w:r>
      <w:r>
        <w:rPr>
          <w:b/>
          <w:bCs/>
        </w:rPr>
        <w:t xml:space="preserve">VND 10,000 per policy issued digitally</w:t>
      </w:r>
      <w:r>
        <w:t xml:space="preserve"> </w:t>
      </w:r>
      <w:r>
        <w:t xml:space="preserve">through the platform applies for 12 months after go-live, capped at</w:t>
      </w:r>
      <w:r>
        <w:t xml:space="preserve"> </w:t>
      </w:r>
      <w:r>
        <w:rPr>
          <w:b/>
          <w:bCs/>
        </w:rPr>
        <w:t xml:space="preserve">USD 50,000</w:t>
      </w:r>
      <w:r>
        <w:t xml:space="preserve">. It is invoiced quarterly from the platform’s audited transaction records.</w:t>
      </w:r>
    </w:p>
    <w:p>
      <w:pPr>
        <w:pStyle w:val="Heading2"/>
      </w:pPr>
      <w:bookmarkStart w:id="70" w:name="_Toc300000066"/>
      <w:r>
        <w:t xml:space="preserve">After the MVP (optional, priced now for transparency)</w:t>
      </w:r>
      <w:bookmarkEnd w:id="70"/>
    </w:p>
    <w:p>
      <w:pPr>
        <w:pStyle w:val="FirstParagraph"/>
      </w:pPr>
      <w:r>
        <w:t xml:space="preserve">The scale phase is made up of ten modules. The timeline in section 20 shows the recommended order.</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08"/>
        <w:gridCol w:w="3030"/>
        <w:gridCol w:w="1641"/>
        <w:gridCol w:w="1582"/>
        <w:gridCol w:w="1066"/>
      </w:tblGrid>
      <w:tr>
        <w:trPr>
          <w:cantSplit/>
          <w:tblHeader/>
        </w:trPr>
        <w:tc>
          <w:tcPr>
            <w:tcW w:w="1708" w:type="dxa"/>
            <w:shd w:val="clear" w:color="auto" w:fill="0F4761"/>
            <w:vAlign w:val="center"/>
          </w:tcPr>
          <w:p>
            <w:pPr>
              <w:pStyle w:val="TableHeading"/>
              <w:jc w:val="left"/>
            </w:pPr>
            <w:r>
              <w:rPr>
                <w:color w:val="FFFFFF"/>
              </w:rPr>
              <w:t xml:space="preserve">Module</w:t>
            </w:r>
          </w:p>
        </w:tc>
        <w:tc>
          <w:tcPr>
            <w:tcW w:w="3030" w:type="dxa"/>
            <w:shd w:val="clear" w:color="auto" w:fill="0F4761"/>
            <w:vAlign w:val="center"/>
          </w:tcPr>
          <w:p>
            <w:pPr>
              <w:pStyle w:val="TableHeading"/>
              <w:jc w:val="left"/>
            </w:pPr>
            <w:r>
              <w:rPr>
                <w:color w:val="FFFFFF"/>
              </w:rPr>
              <w:t xml:space="preserve">Scope</w:t>
            </w:r>
          </w:p>
        </w:tc>
        <w:tc>
          <w:tcPr>
            <w:tcW w:w="1641" w:type="dxa"/>
            <w:shd w:val="clear" w:color="auto" w:fill="0F4761"/>
            <w:vAlign w:val="center"/>
          </w:tcPr>
          <w:p>
            <w:pPr>
              <w:pStyle w:val="TableHeading"/>
              <w:jc w:val="left"/>
            </w:pPr>
            <w:r>
              <w:rPr>
                <w:color w:val="FFFFFF"/>
              </w:rPr>
              <w:t xml:space="preserve">Reuses</w:t>
            </w:r>
          </w:p>
        </w:tc>
        <w:tc>
          <w:tcPr>
            <w:tcW w:w="1582" w:type="dxa"/>
            <w:shd w:val="clear" w:color="auto" w:fill="0F4761"/>
            <w:vAlign w:val="center"/>
          </w:tcPr>
          <w:p>
            <w:pPr>
              <w:pStyle w:val="TableHeading"/>
              <w:jc w:val="right"/>
            </w:pPr>
            <w:r>
              <w:rPr>
                <w:color w:val="FFFFFF"/>
              </w:rPr>
              <w:t xml:space="preserve">Person-days</w:t>
            </w:r>
          </w:p>
        </w:tc>
        <w:tc>
          <w:tcPr>
            <w:tcW w:w="1066" w:type="dxa"/>
            <w:shd w:val="clear" w:color="auto" w:fill="0F4761"/>
            <w:vAlign w:val="center"/>
          </w:tcPr>
          <w:p>
            <w:pPr>
              <w:pStyle w:val="TableHeading"/>
              <w:jc w:val="right"/>
            </w:pPr>
            <w:r>
              <w:rPr>
                <w:color w:val="FFFFFF"/>
              </w:rPr>
              <w:t xml:space="preserve">USD</w:t>
            </w:r>
          </w:p>
        </w:tc>
      </w:tr>
      <w:tr>
        <w:trPr>
          <w:cantSplit/>
        </w:trPr>
        <w:tc>
          <w:tcPr>
            <w:tcW w:w="1708" w:type="dxa"/>
            <w:vAlign w:val="top"/>
          </w:tcPr>
          <w:p>
            <w:pPr>
              <w:pStyle w:val="TableText"/>
              <w:jc w:val="left"/>
            </w:pPr>
            <w:r>
              <w:t xml:space="preserve">S1 Full base roll-out</w:t>
            </w:r>
          </w:p>
        </w:tc>
        <w:tc>
          <w:tcPr>
            <w:tcW w:w="3030" w:type="dxa"/>
            <w:vAlign w:val="top"/>
          </w:tcPr>
          <w:p>
            <w:pPr>
              <w:pStyle w:val="TableText"/>
              <w:jc w:val="left"/>
            </w:pPr>
            <w:r>
              <w:t xml:space="preserve">6 million vehicles in province waves, with a capacity test before each wave</w:t>
            </w:r>
          </w:p>
        </w:tc>
        <w:tc>
          <w:tcPr>
            <w:tcW w:w="1641" w:type="dxa"/>
            <w:vAlign w:val="top"/>
          </w:tcPr>
          <w:p>
            <w:pPr>
              <w:pStyle w:val="TableText"/>
              <w:jc w:val="left"/>
            </w:pPr>
            <w:r>
              <w:t xml:space="preserve">VETC data feed; MVP platform</w:t>
            </w:r>
          </w:p>
        </w:tc>
        <w:tc>
          <w:tcPr>
            <w:tcW w:w="1582" w:type="dxa"/>
            <w:vAlign w:val="top"/>
          </w:tcPr>
          <w:p>
            <w:pPr>
              <w:pStyle w:val="TableText"/>
              <w:jc w:val="right"/>
            </w:pPr>
            <w:r>
              <w:t xml:space="preserve">90</w:t>
            </w:r>
          </w:p>
        </w:tc>
        <w:tc>
          <w:tcPr>
            <w:tcW w:w="1066" w:type="dxa"/>
            <w:vAlign w:val="top"/>
          </w:tcPr>
          <w:p>
            <w:pPr>
              <w:pStyle w:val="TableText"/>
              <w:jc w:val="right"/>
            </w:pPr>
            <w:r>
              <w:t xml:space="preserve">22,500</w:t>
            </w:r>
          </w:p>
        </w:tc>
      </w:tr>
      <w:tr>
        <w:trPr>
          <w:cantSplit/>
        </w:trPr>
        <w:tc>
          <w:tcPr>
            <w:tcW w:w="1708" w:type="dxa"/>
            <w:shd w:val="clear" w:color="auto" w:fill="F4F7FB"/>
            <w:vAlign w:val="top"/>
          </w:tcPr>
          <w:p>
            <w:pPr>
              <w:pStyle w:val="TableText"/>
              <w:jc w:val="left"/>
            </w:pPr>
            <w:r>
              <w:t xml:space="preserve">S2 VETC sign-on and live events</w:t>
            </w:r>
          </w:p>
        </w:tc>
        <w:tc>
          <w:tcPr>
            <w:tcW w:w="3030" w:type="dxa"/>
            <w:shd w:val="clear" w:color="auto" w:fill="F4F7FB"/>
            <w:vAlign w:val="top"/>
          </w:tcPr>
          <w:p>
            <w:pPr>
              <w:pStyle w:val="TableText"/>
              <w:jc w:val="left"/>
            </w:pPr>
            <w:r>
              <w:t xml:space="preserve">VETC single sign-on; trips, inspections and top-ups as live events</w:t>
            </w:r>
          </w:p>
        </w:tc>
        <w:tc>
          <w:tcPr>
            <w:tcW w:w="1641" w:type="dxa"/>
            <w:shd w:val="clear" w:color="auto" w:fill="F4F7FB"/>
            <w:vAlign w:val="top"/>
          </w:tcPr>
          <w:p>
            <w:pPr>
              <w:pStyle w:val="TableText"/>
              <w:jc w:val="left"/>
            </w:pPr>
            <w:r>
              <w:t xml:space="preserve">VETC identity and event stream</w:t>
            </w:r>
          </w:p>
        </w:tc>
        <w:tc>
          <w:tcPr>
            <w:tcW w:w="1582" w:type="dxa"/>
            <w:shd w:val="clear" w:color="auto" w:fill="F4F7FB"/>
            <w:vAlign w:val="top"/>
          </w:tcPr>
          <w:p>
            <w:pPr>
              <w:pStyle w:val="TableText"/>
              <w:jc w:val="right"/>
            </w:pPr>
            <w:r>
              <w:t xml:space="preserve">70</w:t>
            </w:r>
          </w:p>
        </w:tc>
        <w:tc>
          <w:tcPr>
            <w:tcW w:w="1066" w:type="dxa"/>
            <w:shd w:val="clear" w:color="auto" w:fill="F4F7FB"/>
            <w:vAlign w:val="top"/>
          </w:tcPr>
          <w:p>
            <w:pPr>
              <w:pStyle w:val="TableText"/>
              <w:jc w:val="right"/>
            </w:pPr>
            <w:r>
              <w:t xml:space="preserve">17,500</w:t>
            </w:r>
          </w:p>
        </w:tc>
      </w:tr>
      <w:tr>
        <w:trPr>
          <w:cantSplit/>
        </w:trPr>
        <w:tc>
          <w:tcPr>
            <w:tcW w:w="1708" w:type="dxa"/>
            <w:vAlign w:val="top"/>
          </w:tcPr>
          <w:p>
            <w:pPr>
              <w:pStyle w:val="TableText"/>
              <w:jc w:val="left"/>
            </w:pPr>
            <w:r>
              <w:t xml:space="preserve">S3 TASCO app and website</w:t>
            </w:r>
          </w:p>
        </w:tc>
        <w:tc>
          <w:tcPr>
            <w:tcW w:w="3030" w:type="dxa"/>
            <w:vAlign w:val="top"/>
          </w:tcPr>
          <w:p>
            <w:pPr>
              <w:pStyle w:val="TableText"/>
              <w:jc w:val="left"/>
            </w:pPr>
            <w:r>
              <w:t xml:space="preserve">The same journeys inside TASCO’s app and e.baohiemtasco.vn, TASCO account sign-in, TASCO payment gateway</w:t>
            </w:r>
          </w:p>
        </w:tc>
        <w:tc>
          <w:tcPr>
            <w:tcW w:w="1641" w:type="dxa"/>
            <w:vAlign w:val="top"/>
          </w:tcPr>
          <w:p>
            <w:pPr>
              <w:pStyle w:val="TableText"/>
              <w:jc w:val="left"/>
            </w:pPr>
            <w:r>
              <w:t xml:space="preserve">TASCO app, website and payment gateway</w:t>
            </w:r>
          </w:p>
        </w:tc>
        <w:tc>
          <w:tcPr>
            <w:tcW w:w="1582" w:type="dxa"/>
            <w:vAlign w:val="top"/>
          </w:tcPr>
          <w:p>
            <w:pPr>
              <w:pStyle w:val="TableText"/>
              <w:jc w:val="right"/>
            </w:pPr>
            <w:r>
              <w:t xml:space="preserve">26</w:t>
            </w:r>
          </w:p>
        </w:tc>
        <w:tc>
          <w:tcPr>
            <w:tcW w:w="1066" w:type="dxa"/>
            <w:vAlign w:val="top"/>
          </w:tcPr>
          <w:p>
            <w:pPr>
              <w:pStyle w:val="TableText"/>
              <w:jc w:val="right"/>
            </w:pPr>
            <w:r>
              <w:t xml:space="preserve">6,500</w:t>
            </w:r>
          </w:p>
        </w:tc>
      </w:tr>
      <w:tr>
        <w:trPr>
          <w:cantSplit/>
        </w:trPr>
        <w:tc>
          <w:tcPr>
            <w:tcW w:w="1708" w:type="dxa"/>
            <w:shd w:val="clear" w:color="auto" w:fill="F4F7FB"/>
            <w:vAlign w:val="top"/>
          </w:tcPr>
          <w:p>
            <w:pPr>
              <w:pStyle w:val="TableText"/>
              <w:jc w:val="left"/>
            </w:pPr>
            <w:r>
              <w:t xml:space="preserve">S4 Zalo Mini App</w:t>
            </w:r>
          </w:p>
        </w:tc>
        <w:tc>
          <w:tcPr>
            <w:tcW w:w="3030" w:type="dxa"/>
            <w:shd w:val="clear" w:color="auto" w:fill="F4F7FB"/>
            <w:vAlign w:val="top"/>
          </w:tcPr>
          <w:p>
            <w:pPr>
              <w:pStyle w:val="TableText"/>
              <w:jc w:val="left"/>
            </w:pPr>
            <w:r>
              <w:t xml:space="preserve">The same journeys as a Zalo Mini App with Zalo sign-in</w:t>
            </w:r>
          </w:p>
        </w:tc>
        <w:tc>
          <w:tcPr>
            <w:tcW w:w="1641" w:type="dxa"/>
            <w:shd w:val="clear" w:color="auto" w:fill="F4F7FB"/>
            <w:vAlign w:val="top"/>
          </w:tcPr>
          <w:p>
            <w:pPr>
              <w:pStyle w:val="TableText"/>
              <w:jc w:val="left"/>
            </w:pPr>
            <w:r>
              <w:t xml:space="preserve">TASCO’s verified Zalo Official Account</w:t>
            </w:r>
          </w:p>
        </w:tc>
        <w:tc>
          <w:tcPr>
            <w:tcW w:w="1582" w:type="dxa"/>
            <w:shd w:val="clear" w:color="auto" w:fill="F4F7FB"/>
            <w:vAlign w:val="top"/>
          </w:tcPr>
          <w:p>
            <w:pPr>
              <w:pStyle w:val="TableText"/>
              <w:jc w:val="right"/>
            </w:pPr>
            <w:r>
              <w:t xml:space="preserve">40</w:t>
            </w:r>
          </w:p>
        </w:tc>
        <w:tc>
          <w:tcPr>
            <w:tcW w:w="1066" w:type="dxa"/>
            <w:shd w:val="clear" w:color="auto" w:fill="F4F7FB"/>
            <w:vAlign w:val="top"/>
          </w:tcPr>
          <w:p>
            <w:pPr>
              <w:pStyle w:val="TableText"/>
              <w:jc w:val="right"/>
            </w:pPr>
            <w:r>
              <w:t xml:space="preserve">10,000</w:t>
            </w:r>
          </w:p>
        </w:tc>
      </w:tr>
      <w:tr>
        <w:trPr>
          <w:cantSplit/>
        </w:trPr>
        <w:tc>
          <w:tcPr>
            <w:tcW w:w="1708" w:type="dxa"/>
            <w:vAlign w:val="top"/>
          </w:tcPr>
          <w:p>
            <w:pPr>
              <w:pStyle w:val="TableText"/>
              <w:jc w:val="left"/>
            </w:pPr>
            <w:r>
              <w:t xml:space="preserve">S5 Claims integration</w:t>
            </w:r>
          </w:p>
        </w:tc>
        <w:tc>
          <w:tcPr>
            <w:tcW w:w="3030" w:type="dxa"/>
            <w:vAlign w:val="top"/>
          </w:tcPr>
          <w:p>
            <w:pPr>
              <w:pStyle w:val="TableText"/>
              <w:jc w:val="left"/>
            </w:pPr>
            <w:r>
              <w:t xml:space="preserve">First notice of loss passed system to system to TASCO core</w:t>
            </w:r>
          </w:p>
        </w:tc>
        <w:tc>
          <w:tcPr>
            <w:tcW w:w="1641" w:type="dxa"/>
            <w:vAlign w:val="top"/>
          </w:tcPr>
          <w:p>
            <w:pPr>
              <w:pStyle w:val="TableText"/>
              <w:jc w:val="left"/>
            </w:pPr>
            <w:r>
              <w:t xml:space="preserve">TASCO core claims</w:t>
            </w:r>
          </w:p>
        </w:tc>
        <w:tc>
          <w:tcPr>
            <w:tcW w:w="1582" w:type="dxa"/>
            <w:vAlign w:val="top"/>
          </w:tcPr>
          <w:p>
            <w:pPr>
              <w:pStyle w:val="TableText"/>
              <w:jc w:val="right"/>
            </w:pPr>
            <w:r>
              <w:t xml:space="preserve">60</w:t>
            </w:r>
          </w:p>
        </w:tc>
        <w:tc>
          <w:tcPr>
            <w:tcW w:w="1066" w:type="dxa"/>
            <w:vAlign w:val="top"/>
          </w:tcPr>
          <w:p>
            <w:pPr>
              <w:pStyle w:val="TableText"/>
              <w:jc w:val="right"/>
            </w:pPr>
            <w:r>
              <w:t xml:space="preserve">15,000</w:t>
            </w:r>
          </w:p>
        </w:tc>
      </w:tr>
      <w:tr>
        <w:trPr>
          <w:cantSplit/>
        </w:trPr>
        <w:tc>
          <w:tcPr>
            <w:tcW w:w="1708" w:type="dxa"/>
            <w:shd w:val="clear" w:color="auto" w:fill="F4F7FB"/>
            <w:vAlign w:val="top"/>
          </w:tcPr>
          <w:p>
            <w:pPr>
              <w:pStyle w:val="TableText"/>
              <w:jc w:val="left"/>
            </w:pPr>
            <w:r>
              <w:t xml:space="preserve">S6 Inspection and fleet</w:t>
            </w:r>
          </w:p>
        </w:tc>
        <w:tc>
          <w:tcPr>
            <w:tcW w:w="3030" w:type="dxa"/>
            <w:shd w:val="clear" w:color="auto" w:fill="F4F7FB"/>
            <w:vAlign w:val="top"/>
          </w:tcPr>
          <w:p>
            <w:pPr>
              <w:pStyle w:val="TableText"/>
              <w:jc w:val="left"/>
            </w:pPr>
            <w:r>
              <w:t xml:space="preserve">Inspection booking; fleet portal with consolidated invoicing</w:t>
            </w:r>
          </w:p>
        </w:tc>
        <w:tc>
          <w:tcPr>
            <w:tcW w:w="1641" w:type="dxa"/>
            <w:shd w:val="clear" w:color="auto" w:fill="F4F7FB"/>
            <w:vAlign w:val="top"/>
          </w:tcPr>
          <w:p>
            <w:pPr>
              <w:pStyle w:val="TableText"/>
              <w:jc w:val="left"/>
            </w:pPr>
            <w:r>
              <w:t xml:space="preserve">VETC inspection service</w:t>
            </w:r>
          </w:p>
        </w:tc>
        <w:tc>
          <w:tcPr>
            <w:tcW w:w="1582" w:type="dxa"/>
            <w:shd w:val="clear" w:color="auto" w:fill="F4F7FB"/>
            <w:vAlign w:val="top"/>
          </w:tcPr>
          <w:p>
            <w:pPr>
              <w:pStyle w:val="TableText"/>
              <w:jc w:val="right"/>
            </w:pPr>
            <w:r>
              <w:t xml:space="preserve">90</w:t>
            </w:r>
          </w:p>
        </w:tc>
        <w:tc>
          <w:tcPr>
            <w:tcW w:w="1066" w:type="dxa"/>
            <w:shd w:val="clear" w:color="auto" w:fill="F4F7FB"/>
            <w:vAlign w:val="top"/>
          </w:tcPr>
          <w:p>
            <w:pPr>
              <w:pStyle w:val="TableText"/>
              <w:jc w:val="right"/>
            </w:pPr>
            <w:r>
              <w:t xml:space="preserve">22,500</w:t>
            </w:r>
          </w:p>
        </w:tc>
      </w:tr>
      <w:tr>
        <w:trPr>
          <w:cantSplit/>
        </w:trPr>
        <w:tc>
          <w:tcPr>
            <w:tcW w:w="1708" w:type="dxa"/>
            <w:vAlign w:val="top"/>
          </w:tcPr>
          <w:p>
            <w:pPr>
              <w:pStyle w:val="TableText"/>
              <w:jc w:val="left"/>
            </w:pPr>
            <w:r>
              <w:t xml:space="preserve">S7 Further partners</w:t>
            </w:r>
          </w:p>
        </w:tc>
        <w:tc>
          <w:tcPr>
            <w:tcW w:w="3030" w:type="dxa"/>
            <w:vAlign w:val="top"/>
          </w:tcPr>
          <w:p>
            <w:pPr>
              <w:pStyle w:val="TableText"/>
              <w:jc w:val="left"/>
            </w:pPr>
            <w:r>
              <w:t xml:space="preserve">Partner waves and partner self-onboarding</w:t>
            </w:r>
          </w:p>
        </w:tc>
        <w:tc>
          <w:tcPr>
            <w:tcW w:w="1641" w:type="dxa"/>
            <w:vAlign w:val="top"/>
          </w:tcPr>
          <w:p>
            <w:pPr>
              <w:pStyle w:val="TableText"/>
              <w:jc w:val="left"/>
            </w:pPr>
            <w:r>
              <w:t xml:space="preserve">Partner API; Tasco360</w:t>
            </w:r>
          </w:p>
        </w:tc>
        <w:tc>
          <w:tcPr>
            <w:tcW w:w="1582" w:type="dxa"/>
            <w:vAlign w:val="top"/>
          </w:tcPr>
          <w:p>
            <w:pPr>
              <w:pStyle w:val="TableText"/>
              <w:jc w:val="right"/>
            </w:pPr>
            <w:r>
              <w:t xml:space="preserve">50</w:t>
            </w:r>
          </w:p>
        </w:tc>
        <w:tc>
          <w:tcPr>
            <w:tcW w:w="1066" w:type="dxa"/>
            <w:vAlign w:val="top"/>
          </w:tcPr>
          <w:p>
            <w:pPr>
              <w:pStyle w:val="TableText"/>
              <w:jc w:val="right"/>
            </w:pPr>
            <w:r>
              <w:t xml:space="preserve">12,500</w:t>
            </w:r>
          </w:p>
        </w:tc>
      </w:tr>
      <w:tr>
        <w:trPr>
          <w:cantSplit/>
        </w:trPr>
        <w:tc>
          <w:tcPr>
            <w:tcW w:w="1708" w:type="dxa"/>
            <w:shd w:val="clear" w:color="auto" w:fill="F4F7FB"/>
            <w:vAlign w:val="top"/>
          </w:tcPr>
          <w:p>
            <w:pPr>
              <w:pStyle w:val="TableText"/>
              <w:jc w:val="left"/>
            </w:pPr>
            <w:r>
              <w:t xml:space="preserve">S8 Data warehouse</w:t>
            </w:r>
          </w:p>
        </w:tc>
        <w:tc>
          <w:tcPr>
            <w:tcW w:w="3030" w:type="dxa"/>
            <w:shd w:val="clear" w:color="auto" w:fill="F4F7FB"/>
            <w:vAlign w:val="top"/>
          </w:tcPr>
          <w:p>
            <w:pPr>
              <w:pStyle w:val="TableText"/>
              <w:jc w:val="left"/>
            </w:pPr>
            <w:r>
              <w:t xml:space="preserve">Daily feed and management reporting</w:t>
            </w:r>
          </w:p>
        </w:tc>
        <w:tc>
          <w:tcPr>
            <w:tcW w:w="1641" w:type="dxa"/>
            <w:shd w:val="clear" w:color="auto" w:fill="F4F7FB"/>
            <w:vAlign w:val="top"/>
          </w:tcPr>
          <w:p>
            <w:pPr>
              <w:pStyle w:val="TableText"/>
              <w:jc w:val="left"/>
            </w:pPr>
            <w:r>
              <w:t xml:space="preserve">TASCO data warehouse</w:t>
            </w:r>
          </w:p>
        </w:tc>
        <w:tc>
          <w:tcPr>
            <w:tcW w:w="1582" w:type="dxa"/>
            <w:shd w:val="clear" w:color="auto" w:fill="F4F7FB"/>
            <w:vAlign w:val="top"/>
          </w:tcPr>
          <w:p>
            <w:pPr>
              <w:pStyle w:val="TableText"/>
              <w:jc w:val="right"/>
            </w:pPr>
            <w:r>
              <w:t xml:space="preserve">40</w:t>
            </w:r>
          </w:p>
        </w:tc>
        <w:tc>
          <w:tcPr>
            <w:tcW w:w="1066" w:type="dxa"/>
            <w:shd w:val="clear" w:color="auto" w:fill="F4F7FB"/>
            <w:vAlign w:val="top"/>
          </w:tcPr>
          <w:p>
            <w:pPr>
              <w:pStyle w:val="TableText"/>
              <w:jc w:val="right"/>
            </w:pPr>
            <w:r>
              <w:t xml:space="preserve">10,000</w:t>
            </w:r>
          </w:p>
        </w:tc>
      </w:tr>
      <w:tr>
        <w:trPr>
          <w:cantSplit/>
        </w:trPr>
        <w:tc>
          <w:tcPr>
            <w:tcW w:w="1708" w:type="dxa"/>
            <w:vAlign w:val="top"/>
          </w:tcPr>
          <w:p>
            <w:pPr>
              <w:pStyle w:val="TableText"/>
              <w:jc w:val="left"/>
            </w:pPr>
            <w:r>
              <w:t xml:space="preserve">S9 Calibration and testing</w:t>
            </w:r>
          </w:p>
        </w:tc>
        <w:tc>
          <w:tcPr>
            <w:tcW w:w="3030" w:type="dxa"/>
            <w:vAlign w:val="top"/>
          </w:tcPr>
          <w:p>
            <w:pPr>
              <w:pStyle w:val="TableText"/>
              <w:jc w:val="left"/>
            </w:pPr>
            <w:r>
              <w:t xml:space="preserve">Score calibration from pilot outcomes; A/B testing</w:t>
            </w:r>
          </w:p>
        </w:tc>
        <w:tc>
          <w:tcPr>
            <w:tcW w:w="1641" w:type="dxa"/>
            <w:vAlign w:val="top"/>
          </w:tcPr>
          <w:p>
            <w:pPr>
              <w:pStyle w:val="TableText"/>
              <w:jc w:val="left"/>
            </w:pPr>
            <w:r>
              <w:t xml:space="preserve">Pilot data</w:t>
            </w:r>
          </w:p>
        </w:tc>
        <w:tc>
          <w:tcPr>
            <w:tcW w:w="1582" w:type="dxa"/>
            <w:vAlign w:val="top"/>
          </w:tcPr>
          <w:p>
            <w:pPr>
              <w:pStyle w:val="TableText"/>
              <w:jc w:val="right"/>
            </w:pPr>
            <w:r>
              <w:t xml:space="preserve">60</w:t>
            </w:r>
          </w:p>
        </w:tc>
        <w:tc>
          <w:tcPr>
            <w:tcW w:w="1066" w:type="dxa"/>
            <w:vAlign w:val="top"/>
          </w:tcPr>
          <w:p>
            <w:pPr>
              <w:pStyle w:val="TableText"/>
              <w:jc w:val="right"/>
            </w:pPr>
            <w:r>
              <w:t xml:space="preserve">15,000</w:t>
            </w:r>
          </w:p>
        </w:tc>
      </w:tr>
      <w:tr>
        <w:trPr>
          <w:cantSplit/>
        </w:trPr>
        <w:tc>
          <w:tcPr>
            <w:tcW w:w="1708" w:type="dxa"/>
            <w:shd w:val="clear" w:color="auto" w:fill="F4F7FB"/>
            <w:vAlign w:val="top"/>
          </w:tcPr>
          <w:p>
            <w:pPr>
              <w:pStyle w:val="TableText"/>
              <w:jc w:val="left"/>
            </w:pPr>
            <w:r>
              <w:t xml:space="preserve">S10 Full-scale assurance</w:t>
            </w:r>
          </w:p>
        </w:tc>
        <w:tc>
          <w:tcPr>
            <w:tcW w:w="3030" w:type="dxa"/>
            <w:shd w:val="clear" w:color="auto" w:fill="F4F7FB"/>
            <w:vAlign w:val="top"/>
          </w:tcPr>
          <w:p>
            <w:pPr>
              <w:pStyle w:val="TableText"/>
              <w:jc w:val="left"/>
            </w:pPr>
            <w:r>
              <w:t xml:space="preserve">Performance and security retest at full scale</w:t>
            </w:r>
          </w:p>
        </w:tc>
        <w:tc>
          <w:tcPr>
            <w:tcW w:w="1641" w:type="dxa"/>
            <w:shd w:val="clear" w:color="auto" w:fill="F4F7FB"/>
            <w:vAlign w:val="top"/>
          </w:tcPr>
          <w:p>
            <w:pPr>
              <w:pStyle w:val="TableText"/>
              <w:jc w:val="left"/>
            </w:pPr>
            <w:r>
              <w:t xml:space="preserve">MVP test assets</w:t>
            </w:r>
          </w:p>
        </w:tc>
        <w:tc>
          <w:tcPr>
            <w:tcW w:w="1582" w:type="dxa"/>
            <w:shd w:val="clear" w:color="auto" w:fill="F4F7FB"/>
            <w:vAlign w:val="top"/>
          </w:tcPr>
          <w:p>
            <w:pPr>
              <w:pStyle w:val="TableText"/>
              <w:jc w:val="right"/>
            </w:pPr>
            <w:r>
              <w:t xml:space="preserve">40</w:t>
            </w:r>
          </w:p>
        </w:tc>
        <w:tc>
          <w:tcPr>
            <w:tcW w:w="1066" w:type="dxa"/>
            <w:shd w:val="clear" w:color="auto" w:fill="F4F7FB"/>
            <w:vAlign w:val="top"/>
          </w:tcPr>
          <w:p>
            <w:pPr>
              <w:pStyle w:val="TableText"/>
              <w:jc w:val="right"/>
            </w:pPr>
            <w:r>
              <w:t xml:space="preserve">10,000</w:t>
            </w:r>
          </w:p>
        </w:tc>
      </w:tr>
      <w:tr>
        <w:trPr>
          <w:cantSplit/>
        </w:trPr>
        <w:tc>
          <w:tcPr>
            <w:tcW w:w="1708" w:type="dxa"/>
            <w:vAlign w:val="top"/>
          </w:tcPr>
          <w:p>
            <w:pPr>
              <w:pStyle w:val="TableText"/>
              <w:jc w:val="left"/>
            </w:pPr>
            <w:r>
              <w:rPr>
                <w:b/>
                <w:bCs/>
              </w:rPr>
              <w:t xml:space="preserve">Total</w:t>
            </w:r>
          </w:p>
        </w:tc>
        <w:tc>
          <w:tcPr>
            <w:tcW w:w="3030" w:type="dxa"/>
            <w:vAlign w:val="top"/>
          </w:tcPr>
          <w:p>
            <w:pPr>
              <w:pStyle w:val="TableText"/>
            </w:pPr>
          </w:p>
        </w:tc>
        <w:tc>
          <w:tcPr>
            <w:tcW w:w="1641" w:type="dxa"/>
            <w:vAlign w:val="top"/>
          </w:tcPr>
          <w:p>
            <w:pPr>
              <w:pStyle w:val="TableText"/>
            </w:pPr>
          </w:p>
        </w:tc>
        <w:tc>
          <w:tcPr>
            <w:tcW w:w="1582" w:type="dxa"/>
            <w:vAlign w:val="top"/>
          </w:tcPr>
          <w:p>
            <w:pPr>
              <w:pStyle w:val="TableText"/>
              <w:jc w:val="right"/>
            </w:pPr>
            <w:r>
              <w:rPr>
                <w:b/>
                <w:bCs/>
              </w:rPr>
              <w:t xml:space="preserve">566</w:t>
            </w:r>
          </w:p>
        </w:tc>
        <w:tc>
          <w:tcPr>
            <w:tcW w:w="1066" w:type="dxa"/>
            <w:vAlign w:val="top"/>
          </w:tcPr>
          <w:p>
            <w:pPr>
              <w:pStyle w:val="TableText"/>
              <w:jc w:val="right"/>
            </w:pPr>
            <w:r>
              <w:rPr>
                <w:b/>
                <w:bCs/>
              </w:rPr>
              <w:t xml:space="preserve">141,500</w:t>
            </w:r>
          </w:p>
        </w:tc>
      </w:tr>
    </w:tbl>
    <w:p>
      <w:pPr>
        <w:pStyle w:val="BodyText"/>
        <w:spacing w:before="160"/>
      </w:pPr>
      <w:r>
        <w:t xml:space="preserve">Each module is priced on its own at a blended USD 250 per person-day and capped, so TASCO can take the modules in the order that suits it. Reuse keeps them small: the Zalo Mini App and TASCO’s app and website are new front doors on journeys that already exist, and partners such as Tasco360 use the partner API delivered in the MVP. S3 can start straight after go-live, at a fixed USD 6,500, if TASCO wants its own app and website live before the pilot read-out.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48"/>
        <w:gridCol w:w="4582"/>
        <w:gridCol w:w="2197"/>
      </w:tblGrid>
      <w:tr>
        <w:trPr>
          <w:cantSplit/>
          <w:tblHeader/>
        </w:trPr>
        <w:tc>
          <w:tcPr>
            <w:tcW w:w="2248" w:type="dxa"/>
            <w:shd w:val="clear" w:color="auto" w:fill="0F4761"/>
            <w:vAlign w:val="center"/>
          </w:tcPr>
          <w:p>
            <w:pPr>
              <w:pStyle w:val="TableHeading"/>
              <w:jc w:val="left"/>
            </w:pPr>
            <w:r>
              <w:rPr>
                <w:color w:val="FFFFFF"/>
              </w:rPr>
              <w:t xml:space="preserve">Service</w:t>
            </w:r>
          </w:p>
        </w:tc>
        <w:tc>
          <w:tcPr>
            <w:tcW w:w="4582" w:type="dxa"/>
            <w:shd w:val="clear" w:color="auto" w:fill="0F4761"/>
            <w:vAlign w:val="center"/>
          </w:tcPr>
          <w:p>
            <w:pPr>
              <w:pStyle w:val="TableHeading"/>
              <w:jc w:val="left"/>
            </w:pPr>
            <w:r>
              <w:rPr>
                <w:color w:val="FFFFFF"/>
              </w:rPr>
              <w:t xml:space="preserve">Basis</w:t>
            </w:r>
          </w:p>
        </w:tc>
        <w:tc>
          <w:tcPr>
            <w:tcW w:w="2197" w:type="dxa"/>
            <w:shd w:val="clear" w:color="auto" w:fill="0F4761"/>
            <w:vAlign w:val="center"/>
          </w:tcPr>
          <w:p>
            <w:pPr>
              <w:pStyle w:val="TableHeading"/>
              <w:jc w:val="right"/>
            </w:pPr>
            <w:r>
              <w:rPr>
                <w:color w:val="FFFFFF"/>
              </w:rPr>
              <w:t xml:space="preserve">Price (USD)</w:t>
            </w:r>
          </w:p>
        </w:tc>
      </w:tr>
      <w:tr>
        <w:trPr>
          <w:cantSplit/>
        </w:trPr>
        <w:tc>
          <w:tcPr>
            <w:tcW w:w="2248" w:type="dxa"/>
            <w:vAlign w:val="top"/>
          </w:tcPr>
          <w:p>
            <w:pPr>
              <w:pStyle w:val="TableText"/>
              <w:jc w:val="left"/>
            </w:pPr>
            <w:r>
              <w:t xml:space="preserve">Managed service (section 24)</w:t>
            </w:r>
          </w:p>
        </w:tc>
        <w:tc>
          <w:tcPr>
            <w:tcW w:w="4582" w:type="dxa"/>
            <w:vAlign w:val="top"/>
          </w:tcPr>
          <w:p>
            <w:pPr>
              <w:pStyle w:val="TableText"/>
              <w:jc w:val="left"/>
            </w:pPr>
            <w:r>
              <w:t xml:space="preserve">Monthly, 12-month initial term, includes 40 hours of minor enhancements per month</w:t>
            </w:r>
          </w:p>
        </w:tc>
        <w:tc>
          <w:tcPr>
            <w:tcW w:w="2197" w:type="dxa"/>
            <w:vAlign w:val="top"/>
          </w:tcPr>
          <w:p>
            <w:pPr>
              <w:pStyle w:val="TableText"/>
              <w:jc w:val="right"/>
            </w:pPr>
            <w:r>
              <w:t xml:space="preserve">6,900 per month</w:t>
            </w:r>
          </w:p>
        </w:tc>
      </w:tr>
      <w:tr>
        <w:trPr>
          <w:cantSplit/>
        </w:trPr>
        <w:tc>
          <w:tcPr>
            <w:tcW w:w="2248" w:type="dxa"/>
            <w:shd w:val="clear" w:color="auto" w:fill="F4F7FB"/>
            <w:vAlign w:val="top"/>
          </w:tcPr>
          <w:p>
            <w:pPr>
              <w:pStyle w:val="TableText"/>
              <w:jc w:val="left"/>
            </w:pPr>
            <w:r>
              <w:t xml:space="preserve">Enhancement pool</w:t>
            </w:r>
          </w:p>
        </w:tc>
        <w:tc>
          <w:tcPr>
            <w:tcW w:w="4582" w:type="dxa"/>
            <w:shd w:val="clear" w:color="auto" w:fill="F4F7FB"/>
            <w:vAlign w:val="top"/>
          </w:tcPr>
          <w:p>
            <w:pPr>
              <w:pStyle w:val="TableText"/>
              <w:jc w:val="left"/>
            </w:pPr>
            <w:r>
              <w:t xml:space="preserve">Drawn down at the rate card, by work order</w:t>
            </w:r>
          </w:p>
        </w:tc>
        <w:tc>
          <w:tcPr>
            <w:tcW w:w="2197" w:type="dxa"/>
            <w:shd w:val="clear" w:color="auto" w:fill="F4F7FB"/>
            <w:vAlign w:val="top"/>
          </w:tcPr>
          <w:p>
            <w:pPr>
              <w:pStyle w:val="TableText"/>
              <w:jc w:val="right"/>
            </w:pPr>
            <w:r>
              <w:t xml:space="preserve">48,000 per year (budgetary)</w:t>
            </w:r>
          </w:p>
        </w:tc>
      </w:tr>
    </w:tbl>
    <w:p>
      <w:pPr>
        <w:pStyle w:val="Heading2"/>
      </w:pPr>
      <w:bookmarkStart w:id="71" w:name="_Toc300000067"/>
      <w:r>
        <w:t xml:space="preserve">Rate card (for changes and additional work)</w:t>
      </w:r>
      <w:bookmarkEnd w:id="7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810"/>
        <w:gridCol w:w="2217"/>
      </w:tblGrid>
      <w:tr>
        <w:trPr>
          <w:cantSplit/>
          <w:tblHeader/>
        </w:trPr>
        <w:tc>
          <w:tcPr>
            <w:tcW w:w="6810" w:type="dxa"/>
            <w:shd w:val="clear" w:color="auto" w:fill="0F4761"/>
            <w:vAlign w:val="center"/>
          </w:tcPr>
          <w:p>
            <w:pPr>
              <w:pStyle w:val="TableHeading"/>
              <w:jc w:val="left"/>
            </w:pPr>
            <w:r>
              <w:rPr>
                <w:color w:val="FFFFFF"/>
              </w:rPr>
              <w:t xml:space="preserve">Role</w:t>
            </w:r>
          </w:p>
        </w:tc>
        <w:tc>
          <w:tcPr>
            <w:tcW w:w="2217" w:type="dxa"/>
            <w:shd w:val="clear" w:color="auto" w:fill="0F4761"/>
            <w:vAlign w:val="center"/>
          </w:tcPr>
          <w:p>
            <w:pPr>
              <w:pStyle w:val="TableHeading"/>
              <w:jc w:val="right"/>
            </w:pPr>
            <w:r>
              <w:rPr>
                <w:color w:val="FFFFFF"/>
              </w:rPr>
              <w:t xml:space="preserve">Daily rate (USD)</w:t>
            </w:r>
          </w:p>
        </w:tc>
      </w:tr>
      <w:tr>
        <w:trPr>
          <w:cantSplit/>
        </w:trPr>
        <w:tc>
          <w:tcPr>
            <w:tcW w:w="6810" w:type="dxa"/>
            <w:vAlign w:val="top"/>
          </w:tcPr>
          <w:p>
            <w:pPr>
              <w:pStyle w:val="TableText"/>
              <w:jc w:val="left"/>
            </w:pPr>
            <w:r>
              <w:t xml:space="preserve">Engagement manager</w:t>
            </w:r>
          </w:p>
        </w:tc>
        <w:tc>
          <w:tcPr>
            <w:tcW w:w="2217" w:type="dxa"/>
            <w:vAlign w:val="top"/>
          </w:tcPr>
          <w:p>
            <w:pPr>
              <w:pStyle w:val="TableText"/>
              <w:jc w:val="right"/>
            </w:pPr>
            <w:r>
              <w:t xml:space="preserve">380</w:t>
            </w:r>
          </w:p>
        </w:tc>
      </w:tr>
      <w:tr>
        <w:trPr>
          <w:cantSplit/>
        </w:trPr>
        <w:tc>
          <w:tcPr>
            <w:tcW w:w="6810" w:type="dxa"/>
            <w:shd w:val="clear" w:color="auto" w:fill="F4F7FB"/>
            <w:vAlign w:val="top"/>
          </w:tcPr>
          <w:p>
            <w:pPr>
              <w:pStyle w:val="TableText"/>
              <w:jc w:val="left"/>
            </w:pPr>
            <w:r>
              <w:t xml:space="preserve">Solution architect</w:t>
            </w:r>
          </w:p>
        </w:tc>
        <w:tc>
          <w:tcPr>
            <w:tcW w:w="2217" w:type="dxa"/>
            <w:shd w:val="clear" w:color="auto" w:fill="F4F7FB"/>
            <w:vAlign w:val="top"/>
          </w:tcPr>
          <w:p>
            <w:pPr>
              <w:pStyle w:val="TableText"/>
              <w:jc w:val="right"/>
            </w:pPr>
            <w:r>
              <w:t xml:space="preserve">360</w:t>
            </w:r>
          </w:p>
        </w:tc>
      </w:tr>
      <w:tr>
        <w:trPr>
          <w:cantSplit/>
        </w:trPr>
        <w:tc>
          <w:tcPr>
            <w:tcW w:w="6810" w:type="dxa"/>
            <w:vAlign w:val="top"/>
          </w:tcPr>
          <w:p>
            <w:pPr>
              <w:pStyle w:val="TableText"/>
              <w:jc w:val="left"/>
            </w:pPr>
            <w:r>
              <w:t xml:space="preserve">Business analyst and insurance SME</w:t>
            </w:r>
          </w:p>
        </w:tc>
        <w:tc>
          <w:tcPr>
            <w:tcW w:w="2217" w:type="dxa"/>
            <w:vAlign w:val="top"/>
          </w:tcPr>
          <w:p>
            <w:pPr>
              <w:pStyle w:val="TableText"/>
              <w:jc w:val="right"/>
            </w:pPr>
            <w:r>
              <w:t xml:space="preserve">260</w:t>
            </w:r>
          </w:p>
        </w:tc>
      </w:tr>
      <w:tr>
        <w:trPr>
          <w:cantSplit/>
        </w:trPr>
        <w:tc>
          <w:tcPr>
            <w:tcW w:w="6810" w:type="dxa"/>
            <w:shd w:val="clear" w:color="auto" w:fill="F4F7FB"/>
            <w:vAlign w:val="top"/>
          </w:tcPr>
          <w:p>
            <w:pPr>
              <w:pStyle w:val="TableText"/>
              <w:jc w:val="left"/>
            </w:pPr>
            <w:r>
              <w:t xml:space="preserve">Senior engineer or DevSecOps engineer</w:t>
            </w:r>
          </w:p>
        </w:tc>
        <w:tc>
          <w:tcPr>
            <w:tcW w:w="2217" w:type="dxa"/>
            <w:shd w:val="clear" w:color="auto" w:fill="F4F7FB"/>
            <w:vAlign w:val="top"/>
          </w:tcPr>
          <w:p>
            <w:pPr>
              <w:pStyle w:val="TableText"/>
              <w:jc w:val="right"/>
            </w:pPr>
            <w:r>
              <w:t xml:space="preserve">260</w:t>
            </w:r>
          </w:p>
        </w:tc>
      </w:tr>
      <w:tr>
        <w:trPr>
          <w:cantSplit/>
        </w:trPr>
        <w:tc>
          <w:tcPr>
            <w:tcW w:w="6810" w:type="dxa"/>
            <w:vAlign w:val="top"/>
          </w:tcPr>
          <w:p>
            <w:pPr>
              <w:pStyle w:val="TableText"/>
              <w:jc w:val="left"/>
            </w:pPr>
            <w:r>
              <w:t xml:space="preserve">UX and conversation designer</w:t>
            </w:r>
          </w:p>
        </w:tc>
        <w:tc>
          <w:tcPr>
            <w:tcW w:w="2217" w:type="dxa"/>
            <w:vAlign w:val="top"/>
          </w:tcPr>
          <w:p>
            <w:pPr>
              <w:pStyle w:val="TableText"/>
              <w:jc w:val="right"/>
            </w:pPr>
            <w:r>
              <w:t xml:space="preserve">230</w:t>
            </w:r>
          </w:p>
        </w:tc>
      </w:tr>
      <w:tr>
        <w:trPr>
          <w:cantSplit/>
        </w:trPr>
        <w:tc>
          <w:tcPr>
            <w:tcW w:w="6810" w:type="dxa"/>
            <w:shd w:val="clear" w:color="auto" w:fill="F4F7FB"/>
            <w:vAlign w:val="top"/>
          </w:tcPr>
          <w:p>
            <w:pPr>
              <w:pStyle w:val="TableText"/>
              <w:jc w:val="left"/>
            </w:pPr>
            <w:r>
              <w:t xml:space="preserve">Engineer</w:t>
            </w:r>
          </w:p>
        </w:tc>
        <w:tc>
          <w:tcPr>
            <w:tcW w:w="2217" w:type="dxa"/>
            <w:shd w:val="clear" w:color="auto" w:fill="F4F7FB"/>
            <w:vAlign w:val="top"/>
          </w:tcPr>
          <w:p>
            <w:pPr>
              <w:pStyle w:val="TableText"/>
              <w:jc w:val="right"/>
            </w:pPr>
            <w:r>
              <w:t xml:space="preserve">210</w:t>
            </w:r>
          </w:p>
        </w:tc>
      </w:tr>
      <w:tr>
        <w:trPr>
          <w:cantSplit/>
        </w:trPr>
        <w:tc>
          <w:tcPr>
            <w:tcW w:w="6810" w:type="dxa"/>
            <w:vAlign w:val="top"/>
          </w:tcPr>
          <w:p>
            <w:pPr>
              <w:pStyle w:val="TableText"/>
              <w:jc w:val="left"/>
            </w:pPr>
            <w:r>
              <w:t xml:space="preserve">QA engineer</w:t>
            </w:r>
          </w:p>
        </w:tc>
        <w:tc>
          <w:tcPr>
            <w:tcW w:w="2217" w:type="dxa"/>
            <w:vAlign w:val="top"/>
          </w:tcPr>
          <w:p>
            <w:pPr>
              <w:pStyle w:val="TableText"/>
              <w:jc w:val="right"/>
            </w:pPr>
            <w:r>
              <w:t xml:space="preserve">190</w:t>
            </w:r>
          </w:p>
        </w:tc>
      </w:tr>
    </w:tbl>
    <w:p>
      <w:pPr>
        <w:pStyle w:val="Heading2"/>
      </w:pPr>
      <w:bookmarkStart w:id="72" w:name="_Toc300000068"/>
      <w:r>
        <w:t xml:space="preserve">Commercial terms</w:t>
      </w:r>
      <w:bookmarkEnd w:id="72"/>
    </w:p>
    <w:p>
      <w:pPr>
        <w:pStyle w:val="FirstParagraph"/>
      </w:pPr>
      <w:r>
        <w:t xml:space="preserve">Prices exclude value-added tax and any foreign contractor tax; the applicable tax treatment for software services will be confirmed with TASCO’s tax advisers and applied as required by Vietnamese law. Invoices are payable within 30 days. Third-party usage costs are paid by TASCO or VETC directly to the providers: cloud infrastructure, voice AI minutes, Zalo ZNS and SMS messages, and any independent penetration test. We will help TASCO select providers and negotiate these costs. Prices are valid for 90 days from the date of this proposal.</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73" w:name="_Toc300000069"/>
      <w:r>
        <w:rPr>
          <w:rStyle w:val="BookTitle"/>
          <w:bCs w:val="0"/>
          <w:i w:val="0"/>
          <w:iCs w:val="0"/>
          <w:spacing w:val="0"/>
        </w:rPr>
        <w:t xml:space="preserve">Total cost of ownership</w:t>
      </w:r>
      <w:bookmarkEnd w:id="73"/>
    </w:p>
    <w:p>
      <w:pPr>
        <w:pStyle w:val="FirstParagraph"/>
      </w:pPr>
      <w:r>
        <w:t xml:space="preserve">The table shows the expected cost to TASCO over three years if the pilot succeeds and the platform is scaled to the full base. Year 1 runs from November 2026 to October 2027.</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185"/>
        <w:gridCol w:w="1148"/>
        <w:gridCol w:w="1148"/>
        <w:gridCol w:w="1148"/>
        <w:gridCol w:w="1398"/>
      </w:tblGrid>
      <w:tr>
        <w:trPr>
          <w:cantSplit/>
          <w:tblHeader/>
        </w:trPr>
        <w:tc>
          <w:tcPr>
            <w:tcW w:w="4185" w:type="dxa"/>
            <w:shd w:val="clear" w:color="auto" w:fill="0F4761"/>
            <w:vAlign w:val="center"/>
          </w:tcPr>
          <w:p>
            <w:pPr>
              <w:pStyle w:val="TableHeading"/>
              <w:jc w:val="left"/>
            </w:pPr>
            <w:r>
              <w:rPr>
                <w:color w:val="FFFFFF"/>
              </w:rPr>
              <w:t xml:space="preserve">USD</w:t>
            </w:r>
          </w:p>
        </w:tc>
        <w:tc>
          <w:tcPr>
            <w:tcW w:w="1148" w:type="dxa"/>
            <w:shd w:val="clear" w:color="auto" w:fill="0F4761"/>
            <w:vAlign w:val="center"/>
          </w:tcPr>
          <w:p>
            <w:pPr>
              <w:pStyle w:val="TableHeading"/>
              <w:jc w:val="right"/>
            </w:pPr>
            <w:r>
              <w:rPr>
                <w:color w:val="FFFFFF"/>
              </w:rPr>
              <w:t xml:space="preserve">Year 1</w:t>
            </w:r>
          </w:p>
        </w:tc>
        <w:tc>
          <w:tcPr>
            <w:tcW w:w="1148" w:type="dxa"/>
            <w:shd w:val="clear" w:color="auto" w:fill="0F4761"/>
            <w:vAlign w:val="center"/>
          </w:tcPr>
          <w:p>
            <w:pPr>
              <w:pStyle w:val="TableHeading"/>
              <w:jc w:val="right"/>
            </w:pPr>
            <w:r>
              <w:rPr>
                <w:color w:val="FFFFFF"/>
              </w:rPr>
              <w:t xml:space="preserve">Year 2</w:t>
            </w:r>
          </w:p>
        </w:tc>
        <w:tc>
          <w:tcPr>
            <w:tcW w:w="1148" w:type="dxa"/>
            <w:shd w:val="clear" w:color="auto" w:fill="0F4761"/>
            <w:vAlign w:val="center"/>
          </w:tcPr>
          <w:p>
            <w:pPr>
              <w:pStyle w:val="TableHeading"/>
              <w:jc w:val="right"/>
            </w:pPr>
            <w:r>
              <w:rPr>
                <w:color w:val="FFFFFF"/>
              </w:rPr>
              <w:t xml:space="preserve">Year 3</w:t>
            </w:r>
          </w:p>
        </w:tc>
        <w:tc>
          <w:tcPr>
            <w:tcW w:w="1398" w:type="dxa"/>
            <w:shd w:val="clear" w:color="auto" w:fill="0F4761"/>
            <w:vAlign w:val="center"/>
          </w:tcPr>
          <w:p>
            <w:pPr>
              <w:pStyle w:val="TableHeading"/>
              <w:jc w:val="right"/>
            </w:pPr>
            <w:r>
              <w:rPr>
                <w:color w:val="FFFFFF"/>
              </w:rPr>
              <w:t xml:space="preserve">Three years</w:t>
            </w:r>
          </w:p>
        </w:tc>
      </w:tr>
      <w:tr>
        <w:trPr>
          <w:cantSplit/>
        </w:trPr>
        <w:tc>
          <w:tcPr>
            <w:tcW w:w="4185" w:type="dxa"/>
            <w:vAlign w:val="top"/>
          </w:tcPr>
          <w:p>
            <w:pPr>
              <w:pStyle w:val="TableText"/>
              <w:jc w:val="left"/>
            </w:pPr>
            <w:r>
              <w:t xml:space="preserve">MVP (fixed price)</w:t>
            </w:r>
          </w:p>
        </w:tc>
        <w:tc>
          <w:tcPr>
            <w:tcW w:w="1148" w:type="dxa"/>
            <w:vAlign w:val="top"/>
          </w:tcPr>
          <w:p>
            <w:pPr>
              <w:pStyle w:val="TableText"/>
              <w:jc w:val="right"/>
            </w:pPr>
            <w:r>
              <w:t xml:space="preserve">94,800</w:t>
            </w:r>
          </w:p>
        </w:tc>
        <w:tc>
          <w:tcPr>
            <w:tcW w:w="1148" w:type="dxa"/>
            <w:vAlign w:val="top"/>
          </w:tcPr>
          <w:p>
            <w:pPr>
              <w:pStyle w:val="TableText"/>
            </w:pPr>
          </w:p>
        </w:tc>
        <w:tc>
          <w:tcPr>
            <w:tcW w:w="1148" w:type="dxa"/>
            <w:vAlign w:val="top"/>
          </w:tcPr>
          <w:p>
            <w:pPr>
              <w:pStyle w:val="TableText"/>
            </w:pPr>
          </w:p>
        </w:tc>
        <w:tc>
          <w:tcPr>
            <w:tcW w:w="1398" w:type="dxa"/>
            <w:vAlign w:val="top"/>
          </w:tcPr>
          <w:p>
            <w:pPr>
              <w:pStyle w:val="TableText"/>
              <w:jc w:val="right"/>
            </w:pPr>
            <w:r>
              <w:t xml:space="preserve">94,800</w:t>
            </w:r>
          </w:p>
        </w:tc>
      </w:tr>
      <w:tr>
        <w:trPr>
          <w:cantSplit/>
        </w:trPr>
        <w:tc>
          <w:tcPr>
            <w:tcW w:w="4185" w:type="dxa"/>
            <w:shd w:val="clear" w:color="auto" w:fill="F4F7FB"/>
            <w:vAlign w:val="top"/>
          </w:tcPr>
          <w:p>
            <w:pPr>
              <w:pStyle w:val="TableText"/>
              <w:jc w:val="left"/>
            </w:pPr>
            <w:r>
              <w:t xml:space="preserve">Scale phase, modules S1 to S10 (capped)</w:t>
            </w:r>
          </w:p>
        </w:tc>
        <w:tc>
          <w:tcPr>
            <w:tcW w:w="1148" w:type="dxa"/>
            <w:shd w:val="clear" w:color="auto" w:fill="F4F7FB"/>
            <w:vAlign w:val="top"/>
          </w:tcPr>
          <w:p>
            <w:pPr>
              <w:pStyle w:val="TableText"/>
              <w:jc w:val="right"/>
            </w:pPr>
            <w:r>
              <w:t xml:space="preserve">141,500</w:t>
            </w:r>
          </w:p>
        </w:tc>
        <w:tc>
          <w:tcPr>
            <w:tcW w:w="1148" w:type="dxa"/>
            <w:shd w:val="clear" w:color="auto" w:fill="F4F7FB"/>
            <w:vAlign w:val="top"/>
          </w:tcPr>
          <w:p>
            <w:pPr>
              <w:pStyle w:val="TableText"/>
            </w:pPr>
          </w:p>
        </w:tc>
        <w:tc>
          <w:tcPr>
            <w:tcW w:w="1148" w:type="dxa"/>
            <w:shd w:val="clear" w:color="auto" w:fill="F4F7FB"/>
            <w:vAlign w:val="top"/>
          </w:tcPr>
          <w:p>
            <w:pPr>
              <w:pStyle w:val="TableText"/>
            </w:pPr>
          </w:p>
        </w:tc>
        <w:tc>
          <w:tcPr>
            <w:tcW w:w="1398" w:type="dxa"/>
            <w:shd w:val="clear" w:color="auto" w:fill="F4F7FB"/>
            <w:vAlign w:val="top"/>
          </w:tcPr>
          <w:p>
            <w:pPr>
              <w:pStyle w:val="TableText"/>
              <w:jc w:val="right"/>
            </w:pPr>
            <w:r>
              <w:t xml:space="preserve">141,500</w:t>
            </w:r>
          </w:p>
        </w:tc>
      </w:tr>
      <w:tr>
        <w:trPr>
          <w:cantSplit/>
        </w:trPr>
        <w:tc>
          <w:tcPr>
            <w:tcW w:w="4185" w:type="dxa"/>
            <w:vAlign w:val="top"/>
          </w:tcPr>
          <w:p>
            <w:pPr>
              <w:pStyle w:val="TableText"/>
              <w:jc w:val="left"/>
            </w:pPr>
            <w:r>
              <w:t xml:space="preserve">Managed service</w:t>
            </w:r>
          </w:p>
        </w:tc>
        <w:tc>
          <w:tcPr>
            <w:tcW w:w="1148" w:type="dxa"/>
            <w:vAlign w:val="top"/>
          </w:tcPr>
          <w:p>
            <w:pPr>
              <w:pStyle w:val="TableText"/>
              <w:jc w:val="right"/>
            </w:pPr>
            <w:r>
              <w:t xml:space="preserve">55,200</w:t>
            </w:r>
          </w:p>
        </w:tc>
        <w:tc>
          <w:tcPr>
            <w:tcW w:w="1148" w:type="dxa"/>
            <w:vAlign w:val="top"/>
          </w:tcPr>
          <w:p>
            <w:pPr>
              <w:pStyle w:val="TableText"/>
              <w:jc w:val="right"/>
            </w:pPr>
            <w:r>
              <w:t xml:space="preserve">82,800</w:t>
            </w:r>
          </w:p>
        </w:tc>
        <w:tc>
          <w:tcPr>
            <w:tcW w:w="1148" w:type="dxa"/>
            <w:vAlign w:val="top"/>
          </w:tcPr>
          <w:p>
            <w:pPr>
              <w:pStyle w:val="TableText"/>
              <w:jc w:val="right"/>
            </w:pPr>
            <w:r>
              <w:t xml:space="preserve">85,284</w:t>
            </w:r>
          </w:p>
        </w:tc>
        <w:tc>
          <w:tcPr>
            <w:tcW w:w="1398" w:type="dxa"/>
            <w:vAlign w:val="top"/>
          </w:tcPr>
          <w:p>
            <w:pPr>
              <w:pStyle w:val="TableText"/>
              <w:jc w:val="right"/>
            </w:pPr>
            <w:r>
              <w:t xml:space="preserve">223,284</w:t>
            </w:r>
          </w:p>
        </w:tc>
      </w:tr>
      <w:tr>
        <w:trPr>
          <w:cantSplit/>
        </w:trPr>
        <w:tc>
          <w:tcPr>
            <w:tcW w:w="4185" w:type="dxa"/>
            <w:shd w:val="clear" w:color="auto" w:fill="F4F7FB"/>
            <w:vAlign w:val="top"/>
          </w:tcPr>
          <w:p>
            <w:pPr>
              <w:pStyle w:val="TableText"/>
              <w:jc w:val="left"/>
            </w:pPr>
            <w:r>
              <w:t xml:space="preserve">Enhancement pool (optional)</w:t>
            </w:r>
          </w:p>
        </w:tc>
        <w:tc>
          <w:tcPr>
            <w:tcW w:w="1148" w:type="dxa"/>
            <w:shd w:val="clear" w:color="auto" w:fill="F4F7FB"/>
            <w:vAlign w:val="top"/>
          </w:tcPr>
          <w:p>
            <w:pPr>
              <w:pStyle w:val="TableText"/>
            </w:pPr>
          </w:p>
        </w:tc>
        <w:tc>
          <w:tcPr>
            <w:tcW w:w="1148" w:type="dxa"/>
            <w:shd w:val="clear" w:color="auto" w:fill="F4F7FB"/>
            <w:vAlign w:val="top"/>
          </w:tcPr>
          <w:p>
            <w:pPr>
              <w:pStyle w:val="TableText"/>
              <w:jc w:val="right"/>
            </w:pPr>
            <w:r>
              <w:t xml:space="preserve">48,000</w:t>
            </w:r>
          </w:p>
        </w:tc>
        <w:tc>
          <w:tcPr>
            <w:tcW w:w="1148" w:type="dxa"/>
            <w:shd w:val="clear" w:color="auto" w:fill="F4F7FB"/>
            <w:vAlign w:val="top"/>
          </w:tcPr>
          <w:p>
            <w:pPr>
              <w:pStyle w:val="TableText"/>
              <w:jc w:val="right"/>
            </w:pPr>
            <w:r>
              <w:t xml:space="preserve">48,000</w:t>
            </w:r>
          </w:p>
        </w:tc>
        <w:tc>
          <w:tcPr>
            <w:tcW w:w="1398" w:type="dxa"/>
            <w:shd w:val="clear" w:color="auto" w:fill="F4F7FB"/>
            <w:vAlign w:val="top"/>
          </w:tcPr>
          <w:p>
            <w:pPr>
              <w:pStyle w:val="TableText"/>
              <w:jc w:val="right"/>
            </w:pPr>
            <w:r>
              <w:t xml:space="preserve">96,000</w:t>
            </w:r>
          </w:p>
        </w:tc>
      </w:tr>
      <w:tr>
        <w:trPr>
          <w:cantSplit/>
        </w:trPr>
        <w:tc>
          <w:tcPr>
            <w:tcW w:w="4185" w:type="dxa"/>
            <w:vAlign w:val="top"/>
          </w:tcPr>
          <w:p>
            <w:pPr>
              <w:pStyle w:val="TableText"/>
              <w:jc w:val="left"/>
            </w:pPr>
            <w:r>
              <w:t xml:space="preserve">Cloud infrastructure in Vietnam</w:t>
            </w:r>
          </w:p>
        </w:tc>
        <w:tc>
          <w:tcPr>
            <w:tcW w:w="1148" w:type="dxa"/>
            <w:vAlign w:val="top"/>
          </w:tcPr>
          <w:p>
            <w:pPr>
              <w:pStyle w:val="TableText"/>
              <w:jc w:val="right"/>
            </w:pPr>
            <w:r>
              <w:t xml:space="preserve">25,150</w:t>
            </w:r>
          </w:p>
        </w:tc>
        <w:tc>
          <w:tcPr>
            <w:tcW w:w="1148" w:type="dxa"/>
            <w:vAlign w:val="top"/>
          </w:tcPr>
          <w:p>
            <w:pPr>
              <w:pStyle w:val="TableText"/>
              <w:jc w:val="right"/>
            </w:pPr>
            <w:r>
              <w:t xml:space="preserve">40,800</w:t>
            </w:r>
          </w:p>
        </w:tc>
        <w:tc>
          <w:tcPr>
            <w:tcW w:w="1148" w:type="dxa"/>
            <w:vAlign w:val="top"/>
          </w:tcPr>
          <w:p>
            <w:pPr>
              <w:pStyle w:val="TableText"/>
              <w:jc w:val="right"/>
            </w:pPr>
            <w:r>
              <w:t xml:space="preserve">42,024</w:t>
            </w:r>
          </w:p>
        </w:tc>
        <w:tc>
          <w:tcPr>
            <w:tcW w:w="1398" w:type="dxa"/>
            <w:vAlign w:val="top"/>
          </w:tcPr>
          <w:p>
            <w:pPr>
              <w:pStyle w:val="TableText"/>
              <w:jc w:val="right"/>
            </w:pPr>
            <w:r>
              <w:t xml:space="preserve">107,974</w:t>
            </w:r>
          </w:p>
        </w:tc>
      </w:tr>
      <w:tr>
        <w:trPr>
          <w:cantSplit/>
        </w:trPr>
        <w:tc>
          <w:tcPr>
            <w:tcW w:w="4185" w:type="dxa"/>
            <w:shd w:val="clear" w:color="auto" w:fill="F4F7FB"/>
            <w:vAlign w:val="top"/>
          </w:tcPr>
          <w:p>
            <w:pPr>
              <w:pStyle w:val="TableText"/>
              <w:jc w:val="left"/>
            </w:pPr>
            <w:r>
              <w:rPr>
                <w:b/>
                <w:bCs/>
              </w:rPr>
              <w:t xml:space="preserve">Total</w:t>
            </w:r>
          </w:p>
        </w:tc>
        <w:tc>
          <w:tcPr>
            <w:tcW w:w="1148" w:type="dxa"/>
            <w:shd w:val="clear" w:color="auto" w:fill="F4F7FB"/>
            <w:vAlign w:val="top"/>
          </w:tcPr>
          <w:p>
            <w:pPr>
              <w:pStyle w:val="TableText"/>
              <w:jc w:val="right"/>
            </w:pPr>
            <w:r>
              <w:rPr>
                <w:b/>
                <w:bCs/>
              </w:rPr>
              <w:t xml:space="preserve">316,650</w:t>
            </w:r>
          </w:p>
        </w:tc>
        <w:tc>
          <w:tcPr>
            <w:tcW w:w="1148" w:type="dxa"/>
            <w:shd w:val="clear" w:color="auto" w:fill="F4F7FB"/>
            <w:vAlign w:val="top"/>
          </w:tcPr>
          <w:p>
            <w:pPr>
              <w:pStyle w:val="TableText"/>
              <w:jc w:val="right"/>
            </w:pPr>
            <w:r>
              <w:rPr>
                <w:b/>
                <w:bCs/>
              </w:rPr>
              <w:t xml:space="preserve">171,600</w:t>
            </w:r>
          </w:p>
        </w:tc>
        <w:tc>
          <w:tcPr>
            <w:tcW w:w="1148" w:type="dxa"/>
            <w:shd w:val="clear" w:color="auto" w:fill="F4F7FB"/>
            <w:vAlign w:val="top"/>
          </w:tcPr>
          <w:p>
            <w:pPr>
              <w:pStyle w:val="TableText"/>
              <w:jc w:val="right"/>
            </w:pPr>
            <w:r>
              <w:rPr>
                <w:b/>
                <w:bCs/>
              </w:rPr>
              <w:t xml:space="preserve">175,308</w:t>
            </w:r>
          </w:p>
        </w:tc>
        <w:tc>
          <w:tcPr>
            <w:tcW w:w="1398" w:type="dxa"/>
            <w:shd w:val="clear" w:color="auto" w:fill="F4F7FB"/>
            <w:vAlign w:val="top"/>
          </w:tcPr>
          <w:p>
            <w:pPr>
              <w:pStyle w:val="TableText"/>
              <w:jc w:val="right"/>
            </w:pPr>
            <w:r>
              <w:rPr>
                <w:b/>
                <w:bCs/>
              </w:rPr>
              <w:t xml:space="preserve">663,558</w:t>
            </w:r>
          </w:p>
        </w:tc>
      </w:tr>
      <w:tr>
        <w:trPr>
          <w:cantSplit/>
        </w:trPr>
        <w:tc>
          <w:tcPr>
            <w:tcW w:w="4185" w:type="dxa"/>
            <w:vAlign w:val="top"/>
          </w:tcPr>
          <w:p>
            <w:pPr>
              <w:pStyle w:val="TableText"/>
              <w:jc w:val="left"/>
            </w:pPr>
            <w:r>
              <w:t xml:space="preserve">Approximately, VND</w:t>
            </w:r>
          </w:p>
        </w:tc>
        <w:tc>
          <w:tcPr>
            <w:tcW w:w="1148" w:type="dxa"/>
            <w:vAlign w:val="top"/>
          </w:tcPr>
          <w:p>
            <w:pPr>
              <w:pStyle w:val="TableText"/>
              <w:jc w:val="right"/>
            </w:pPr>
            <w:r>
              <w:t xml:space="preserve">8.23 bn</w:t>
            </w:r>
          </w:p>
        </w:tc>
        <w:tc>
          <w:tcPr>
            <w:tcW w:w="1148" w:type="dxa"/>
            <w:vAlign w:val="top"/>
          </w:tcPr>
          <w:p>
            <w:pPr>
              <w:pStyle w:val="TableText"/>
              <w:jc w:val="right"/>
            </w:pPr>
            <w:r>
              <w:t xml:space="preserve">4.46 bn</w:t>
            </w:r>
          </w:p>
        </w:tc>
        <w:tc>
          <w:tcPr>
            <w:tcW w:w="1148" w:type="dxa"/>
            <w:vAlign w:val="top"/>
          </w:tcPr>
          <w:p>
            <w:pPr>
              <w:pStyle w:val="TableText"/>
              <w:jc w:val="right"/>
            </w:pPr>
            <w:r>
              <w:t xml:space="preserve">4.56 bn</w:t>
            </w:r>
          </w:p>
        </w:tc>
        <w:tc>
          <w:tcPr>
            <w:tcW w:w="1398" w:type="dxa"/>
            <w:vAlign w:val="top"/>
          </w:tcPr>
          <w:p>
            <w:pPr>
              <w:pStyle w:val="TableText"/>
              <w:jc w:val="right"/>
            </w:pPr>
            <w:r>
              <w:t xml:space="preserve">17.25 bn</w:t>
            </w:r>
          </w:p>
        </w:tc>
      </w:tr>
    </w:tbl>
    <w:p>
      <w:pPr>
        <w:pStyle w:val="BodyText"/>
        <w:spacing w:before="160"/>
      </w:pPr>
      <w:r>
        <w:t xml:space="preserve">Year 3 includes a 3% annual increase on the managed service and infrastructure. If TASCO stops after the pilot and keeps the platform running at pilot scale, year-1 cost is about USD 168,150.</w:t>
      </w:r>
    </w:p>
    <w:p>
      <w:pPr>
        <w:pStyle w:val="BodyText"/>
      </w:pPr>
      <w:r>
        <w:t xml:space="preserve">Infrastructure is estimated at about USD 1,650 per month at pilot scale (three application nodes, a high-availability PostgreSQL pair, backups, load balancer and firewall, monitoring and non-production environments). At full scale it is about USD 3,400 per month, with more nodes, a larger database and a reporting replica. Usage costs for messages and voice minutes depend on volume; at full scale in the base case they are about VND 2.2 billion a year for messaging and VND 1.2 billion for voice.</w:t>
      </w:r>
    </w:p>
    <w:p>
      <w:pPr>
        <w:pStyle w:val="BodyText"/>
      </w:pPr>
      <w:r>
        <w:rPr>
          <w:b/>
          <w:bCs/>
        </w:rPr>
        <w:t xml:space="preserve">How this compares.</w:t>
      </w:r>
      <w:r>
        <w:t xml:space="preserve"> </w:t>
      </w:r>
      <w:r>
        <w:t xml:space="preserve">Building an equivalent platform from scratch would typically take 12 to 15 months and cost USD 450,000 to 650,000 before running costs, with no working software for TASCO to test during the first year. A global CRM and marketing-cloud stack licensed for six million contacts usually costs more each year in licences alone than our full three-year TCO, and would still need insurance-specific logic, Vietnamese channels and a core integration built on top. These comparisons are indicative market ranges. Reuse also keeps the running cost down: TASCO does not license or maintain a second core, payment system or customer app.</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74" w:name="_Toc300000070"/>
      <w:r>
        <w:rPr>
          <w:rStyle w:val="BookTitle"/>
          <w:bCs w:val="0"/>
          <w:i w:val="0"/>
          <w:iCs w:val="0"/>
          <w:spacing w:val="0"/>
        </w:rPr>
        <w:t xml:space="preserve">Benefits and business case</w:t>
      </w:r>
      <w:bookmarkEnd w:id="74"/>
    </w:p>
    <w:p>
      <w:pPr>
        <w:pStyle w:val="Heading2"/>
      </w:pPr>
      <w:bookmarkStart w:id="75" w:name="_Toc300000071"/>
      <w:r>
        <w:t xml:space="preserve">Benefits</w:t>
      </w:r>
      <w:bookmarkEnd w:id="7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45"/>
        <w:gridCol w:w="7182"/>
      </w:tblGrid>
      <w:tr>
        <w:trPr>
          <w:cantSplit/>
          <w:tblHeader/>
        </w:trPr>
        <w:tc>
          <w:tcPr>
            <w:tcW w:w="1845" w:type="dxa"/>
            <w:shd w:val="clear" w:color="auto" w:fill="0F4761"/>
            <w:vAlign w:val="center"/>
          </w:tcPr>
          <w:p>
            <w:pPr>
              <w:pStyle w:val="TableHeading"/>
              <w:jc w:val="left"/>
            </w:pPr>
            <w:r>
              <w:rPr>
                <w:color w:val="FFFFFF"/>
              </w:rPr>
              <w:t xml:space="preserve">For</w:t>
            </w:r>
          </w:p>
        </w:tc>
        <w:tc>
          <w:tcPr>
            <w:tcW w:w="7182" w:type="dxa"/>
            <w:shd w:val="clear" w:color="auto" w:fill="0F4761"/>
            <w:vAlign w:val="center"/>
          </w:tcPr>
          <w:p>
            <w:pPr>
              <w:pStyle w:val="TableHeading"/>
              <w:jc w:val="left"/>
            </w:pPr>
            <w:r>
              <w:rPr>
                <w:color w:val="FFFFFF"/>
              </w:rPr>
              <w:t xml:space="preserve">Benefit</w:t>
            </w:r>
          </w:p>
        </w:tc>
      </w:tr>
      <w:tr>
        <w:trPr>
          <w:cantSplit/>
        </w:trPr>
        <w:tc>
          <w:tcPr>
            <w:tcW w:w="1845" w:type="dxa"/>
            <w:vAlign w:val="top"/>
          </w:tcPr>
          <w:p>
            <w:pPr>
              <w:pStyle w:val="TableText"/>
              <w:jc w:val="left"/>
            </w:pPr>
            <w:r>
              <w:t xml:space="preserve">TASCO’s business</w:t>
            </w:r>
          </w:p>
        </w:tc>
        <w:tc>
          <w:tcPr>
            <w:tcW w:w="7182" w:type="dxa"/>
            <w:vAlign w:val="top"/>
          </w:tcPr>
          <w:p>
            <w:pPr>
              <w:pStyle w:val="TableText"/>
              <w:jc w:val="left"/>
            </w:pPr>
            <w:r>
              <w:t xml:space="preserve">New own-channel sales, renewal and new business, from an audience TASCO already reaches; cross-sell of personal accident and physical damage cover; a data asset that improves every year</w:t>
            </w:r>
          </w:p>
        </w:tc>
      </w:tr>
      <w:tr>
        <w:trPr>
          <w:cantSplit/>
        </w:trPr>
        <w:tc>
          <w:tcPr>
            <w:tcW w:w="1845" w:type="dxa"/>
            <w:shd w:val="clear" w:color="auto" w:fill="F4F7FB"/>
            <w:vAlign w:val="top"/>
          </w:tcPr>
          <w:p>
            <w:pPr>
              <w:pStyle w:val="TableText"/>
              <w:jc w:val="left"/>
            </w:pPr>
            <w:r>
              <w:t xml:space="preserve">Customers</w:t>
            </w:r>
          </w:p>
        </w:tc>
        <w:tc>
          <w:tcPr>
            <w:tcW w:w="7182" w:type="dxa"/>
            <w:shd w:val="clear" w:color="auto" w:fill="F4F7FB"/>
            <w:vAlign w:val="top"/>
          </w:tcPr>
          <w:p>
            <w:pPr>
              <w:pStyle w:val="TableText"/>
              <w:jc w:val="left"/>
            </w:pPr>
            <w:r>
              <w:t xml:space="preserve">Renewal at the right time in one tap, honest and regulated pricing, help on the road, a verifiable e-certificate, and fewer unwanted calls</w:t>
            </w:r>
          </w:p>
        </w:tc>
      </w:tr>
      <w:tr>
        <w:trPr>
          <w:cantSplit/>
        </w:trPr>
        <w:tc>
          <w:tcPr>
            <w:tcW w:w="1845" w:type="dxa"/>
            <w:vAlign w:val="top"/>
          </w:tcPr>
          <w:p>
            <w:pPr>
              <w:pStyle w:val="TableText"/>
              <w:jc w:val="left"/>
            </w:pPr>
            <w:r>
              <w:t xml:space="preserve">VETC</w:t>
            </w:r>
          </w:p>
        </w:tc>
        <w:tc>
          <w:tcPr>
            <w:tcW w:w="7182" w:type="dxa"/>
            <w:vAlign w:val="top"/>
          </w:tcPr>
          <w:p>
            <w:pPr>
              <w:pStyle w:val="TableText"/>
              <w:jc w:val="left"/>
            </w:pPr>
            <w:r>
              <w:t xml:space="preserve">More value from the app and wallet, and a new reason for drivers to engage</w:t>
            </w:r>
          </w:p>
        </w:tc>
      </w:tr>
      <w:tr>
        <w:trPr>
          <w:cantSplit/>
        </w:trPr>
        <w:tc>
          <w:tcPr>
            <w:tcW w:w="1845" w:type="dxa"/>
            <w:shd w:val="clear" w:color="auto" w:fill="F4F7FB"/>
            <w:vAlign w:val="top"/>
          </w:tcPr>
          <w:p>
            <w:pPr>
              <w:pStyle w:val="TableText"/>
              <w:jc w:val="left"/>
            </w:pPr>
            <w:r>
              <w:t xml:space="preserve">Telesales</w:t>
            </w:r>
          </w:p>
        </w:tc>
        <w:tc>
          <w:tcPr>
            <w:tcW w:w="7182" w:type="dxa"/>
            <w:shd w:val="clear" w:color="auto" w:fill="F4F7FB"/>
            <w:vAlign w:val="top"/>
          </w:tcPr>
          <w:p>
            <w:pPr>
              <w:pStyle w:val="TableText"/>
              <w:jc w:val="left"/>
            </w:pPr>
            <w:r>
              <w:t xml:space="preserve">Warm, verified leads with context instead of cold lists</w:t>
            </w:r>
          </w:p>
        </w:tc>
      </w:tr>
      <w:tr>
        <w:trPr>
          <w:cantSplit/>
        </w:trPr>
        <w:tc>
          <w:tcPr>
            <w:tcW w:w="1845" w:type="dxa"/>
            <w:vAlign w:val="top"/>
          </w:tcPr>
          <w:p>
            <w:pPr>
              <w:pStyle w:val="TableText"/>
              <w:jc w:val="left"/>
            </w:pPr>
            <w:r>
              <w:t xml:space="preserve">Partners</w:t>
            </w:r>
          </w:p>
        </w:tc>
        <w:tc>
          <w:tcPr>
            <w:tcW w:w="7182" w:type="dxa"/>
            <w:vAlign w:val="top"/>
          </w:tcPr>
          <w:p>
            <w:pPr>
              <w:pStyle w:val="TableText"/>
              <w:jc w:val="left"/>
            </w:pPr>
            <w:r>
              <w:t xml:space="preserve">Faster quoting and issuance through the API, with transparent commission</w:t>
            </w:r>
          </w:p>
        </w:tc>
      </w:tr>
      <w:tr>
        <w:trPr>
          <w:cantSplit/>
        </w:trPr>
        <w:tc>
          <w:tcPr>
            <w:tcW w:w="1845" w:type="dxa"/>
            <w:shd w:val="clear" w:color="auto" w:fill="F4F7FB"/>
            <w:vAlign w:val="top"/>
          </w:tcPr>
          <w:p>
            <w:pPr>
              <w:pStyle w:val="TableText"/>
              <w:jc w:val="left"/>
            </w:pPr>
            <w:r>
              <w:t xml:space="preserve">Compliance and risk</w:t>
            </w:r>
          </w:p>
        </w:tc>
        <w:tc>
          <w:tcPr>
            <w:tcW w:w="7182" w:type="dxa"/>
            <w:shd w:val="clear" w:color="auto" w:fill="F4F7FB"/>
            <w:vAlign w:val="top"/>
          </w:tcPr>
          <w:p>
            <w:pPr>
              <w:pStyle w:val="TableText"/>
              <w:jc w:val="left"/>
            </w:pPr>
            <w:r>
              <w:t xml:space="preserve">Approved wording only, consent and contact rules enforced by the system, and a tamper-evident audit trail</w:t>
            </w:r>
          </w:p>
        </w:tc>
      </w:tr>
      <w:tr>
        <w:trPr>
          <w:cantSplit/>
        </w:trPr>
        <w:tc>
          <w:tcPr>
            <w:tcW w:w="1845" w:type="dxa"/>
            <w:vAlign w:val="top"/>
          </w:tcPr>
          <w:p>
            <w:pPr>
              <w:pStyle w:val="TableText"/>
              <w:jc w:val="left"/>
            </w:pPr>
            <w:r>
              <w:t xml:space="preserve">IT</w:t>
            </w:r>
          </w:p>
        </w:tc>
        <w:tc>
          <w:tcPr>
            <w:tcW w:w="7182" w:type="dxa"/>
            <w:vAlign w:val="top"/>
          </w:tcPr>
          <w:p>
            <w:pPr>
              <w:pStyle w:val="TableText"/>
              <w:jc w:val="left"/>
            </w:pPr>
            <w:r>
              <w:t xml:space="preserve">Modern, documented, portable platform; business changes without releases; no vendor lock-in</w:t>
            </w:r>
          </w:p>
        </w:tc>
      </w:tr>
      <w:tr>
        <w:trPr>
          <w:cantSplit/>
        </w:trPr>
        <w:tc>
          <w:tcPr>
            <w:tcW w:w="1845" w:type="dxa"/>
            <w:shd w:val="clear" w:color="auto" w:fill="F4F7FB"/>
            <w:vAlign w:val="top"/>
          </w:tcPr>
          <w:p>
            <w:pPr>
              <w:pStyle w:val="TableText"/>
              <w:jc w:val="left"/>
            </w:pPr>
            <w:r>
              <w:t xml:space="preserve">TASCO’s earlier investments</w:t>
            </w:r>
          </w:p>
        </w:tc>
        <w:tc>
          <w:tcPr>
            <w:tcW w:w="7182" w:type="dxa"/>
            <w:shd w:val="clear" w:color="auto" w:fill="F4F7FB"/>
            <w:vAlign w:val="top"/>
          </w:tcPr>
          <w:p>
            <w:pPr>
              <w:pStyle w:val="TableText"/>
              <w:jc w:val="left"/>
            </w:pPr>
            <w:r>
              <w:t xml:space="preserve">The core system, TASCO’s app and website, the Zalo Official Account, Tasco360 and the 1900 1562 contact centre gain a new source of demand instead of being replaced</w:t>
            </w:r>
          </w:p>
        </w:tc>
      </w:tr>
    </w:tbl>
    <w:p>
      <w:pPr>
        <w:pStyle w:val="Heading2"/>
      </w:pPr>
      <w:bookmarkStart w:id="76" w:name="_Toc300000072"/>
      <w:r>
        <w:t xml:space="preserve">The numbers</w:t>
      </w:r>
      <w:bookmarkEnd w:id="76"/>
    </w:p>
    <w:p>
      <w:pPr>
        <w:pStyle w:val="FirstParagraph"/>
      </w:pPr>
      <w:r>
        <w:t xml:space="preserve">Our business case model (TGP-BUS-01, Business case) estimates outcomes at full scale. Every input is an assumption to be replaced with pilot results, but the base case shows the order of magnitude.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091"/>
        <w:gridCol w:w="4936"/>
      </w:tblGrid>
      <w:tr>
        <w:trPr>
          <w:cantSplit/>
          <w:tblHeader/>
        </w:trPr>
        <w:tc>
          <w:tcPr>
            <w:tcW w:w="4091" w:type="dxa"/>
            <w:shd w:val="clear" w:color="auto" w:fill="0F4761"/>
            <w:vAlign w:val="center"/>
          </w:tcPr>
          <w:p>
            <w:pPr>
              <w:pStyle w:val="TableHeading"/>
              <w:jc w:val="left"/>
            </w:pPr>
            <w:r>
              <w:rPr>
                <w:color w:val="FFFFFF"/>
              </w:rPr>
              <w:t xml:space="preserve">Measure (illustrative, base case, year 1 at full scale)</w:t>
            </w:r>
          </w:p>
        </w:tc>
        <w:tc>
          <w:tcPr>
            <w:tcW w:w="4936" w:type="dxa"/>
            <w:shd w:val="clear" w:color="auto" w:fill="0F4761"/>
            <w:vAlign w:val="center"/>
          </w:tcPr>
          <w:p>
            <w:pPr>
              <w:pStyle w:val="TableHeading"/>
              <w:jc w:val="left"/>
            </w:pPr>
            <w:r>
              <w:rPr>
                <w:color w:val="FFFFFF"/>
              </w:rPr>
              <w:t xml:space="preserve">Value</w:t>
            </w:r>
          </w:p>
        </w:tc>
      </w:tr>
      <w:tr>
        <w:trPr>
          <w:cantSplit/>
        </w:trPr>
        <w:tc>
          <w:tcPr>
            <w:tcW w:w="4091" w:type="dxa"/>
            <w:vAlign w:val="top"/>
          </w:tcPr>
          <w:p>
            <w:pPr>
              <w:pStyle w:val="TableText"/>
              <w:jc w:val="left"/>
            </w:pPr>
            <w:r>
              <w:t xml:space="preserve">TNDS policies through own channels and the partner API</w:t>
            </w:r>
          </w:p>
        </w:tc>
        <w:tc>
          <w:tcPr>
            <w:tcW w:w="4936" w:type="dxa"/>
            <w:vAlign w:val="top"/>
          </w:tcPr>
          <w:p>
            <w:pPr>
              <w:pStyle w:val="TableText"/>
              <w:jc w:val="left"/>
            </w:pPr>
            <w:r>
              <w:t xml:space="preserve">About 140,000</w:t>
            </w:r>
          </w:p>
        </w:tc>
      </w:tr>
      <w:tr>
        <w:trPr>
          <w:cantSplit/>
        </w:trPr>
        <w:tc>
          <w:tcPr>
            <w:tcW w:w="4091" w:type="dxa"/>
            <w:shd w:val="clear" w:color="auto" w:fill="F4F7FB"/>
            <w:vAlign w:val="top"/>
          </w:tcPr>
          <w:p>
            <w:pPr>
              <w:pStyle w:val="TableText"/>
              <w:jc w:val="left"/>
            </w:pPr>
            <w:r>
              <w:t xml:space="preserve">TNDS net premium</w:t>
            </w:r>
          </w:p>
        </w:tc>
        <w:tc>
          <w:tcPr>
            <w:tcW w:w="4936" w:type="dxa"/>
            <w:shd w:val="clear" w:color="auto" w:fill="F4F7FB"/>
            <w:vAlign w:val="top"/>
          </w:tcPr>
          <w:p>
            <w:pPr>
              <w:pStyle w:val="TableText"/>
              <w:jc w:val="left"/>
            </w:pPr>
            <w:r>
              <w:t xml:space="preserve">About VND 79.4 billion (USD 3.05 million)</w:t>
            </w:r>
          </w:p>
        </w:tc>
      </w:tr>
      <w:tr>
        <w:trPr>
          <w:cantSplit/>
        </w:trPr>
        <w:tc>
          <w:tcPr>
            <w:tcW w:w="4091" w:type="dxa"/>
            <w:vAlign w:val="top"/>
          </w:tcPr>
          <w:p>
            <w:pPr>
              <w:pStyle w:val="TableText"/>
              <w:jc w:val="left"/>
            </w:pPr>
            <w:r>
              <w:t xml:space="preserve">Cross-sell premium</w:t>
            </w:r>
          </w:p>
        </w:tc>
        <w:tc>
          <w:tcPr>
            <w:tcW w:w="4936" w:type="dxa"/>
            <w:vAlign w:val="top"/>
          </w:tcPr>
          <w:p>
            <w:pPr>
              <w:pStyle w:val="TableText"/>
              <w:jc w:val="left"/>
            </w:pPr>
            <w:r>
              <w:t xml:space="preserve">About VND 6.9 billion</w:t>
            </w:r>
          </w:p>
        </w:tc>
      </w:tr>
      <w:tr>
        <w:trPr>
          <w:cantSplit/>
        </w:trPr>
        <w:tc>
          <w:tcPr>
            <w:tcW w:w="4091" w:type="dxa"/>
            <w:shd w:val="clear" w:color="auto" w:fill="F4F7FB"/>
            <w:vAlign w:val="top"/>
          </w:tcPr>
          <w:p>
            <w:pPr>
              <w:pStyle w:val="TableText"/>
              <w:jc w:val="left"/>
            </w:pPr>
            <w:r>
              <w:t xml:space="preserve">Variable acquisition cost per policy</w:t>
            </w:r>
          </w:p>
        </w:tc>
        <w:tc>
          <w:tcPr>
            <w:tcW w:w="4936" w:type="dxa"/>
            <w:shd w:val="clear" w:color="auto" w:fill="F4F7FB"/>
            <w:vAlign w:val="top"/>
          </w:tcPr>
          <w:p>
            <w:pPr>
              <w:pStyle w:val="TableText"/>
              <w:jc w:val="left"/>
            </w:pPr>
            <w:r>
              <w:t xml:space="preserve">About VND 37,000 (6.6% of net premium)</w:t>
            </w:r>
          </w:p>
        </w:tc>
      </w:tr>
      <w:tr>
        <w:trPr>
          <w:cantSplit/>
        </w:trPr>
        <w:tc>
          <w:tcPr>
            <w:tcW w:w="4091" w:type="dxa"/>
            <w:vAlign w:val="top"/>
          </w:tcPr>
          <w:p>
            <w:pPr>
              <w:pStyle w:val="TableText"/>
              <w:jc w:val="left"/>
            </w:pPr>
            <w:r>
              <w:t xml:space="preserve">Cost of qualifying calls by the voice assistant</w:t>
            </w:r>
          </w:p>
        </w:tc>
        <w:tc>
          <w:tcPr>
            <w:tcW w:w="4936" w:type="dxa"/>
            <w:vAlign w:val="top"/>
          </w:tcPr>
          <w:p>
            <w:pPr>
              <w:pStyle w:val="TableText"/>
              <w:jc w:val="left"/>
            </w:pPr>
            <w:r>
              <w:t xml:space="preserve">About VND 1.2 billion, against about VND 13.4 billion for the same calls by telesales</w:t>
            </w:r>
          </w:p>
        </w:tc>
      </w:tr>
      <w:tr>
        <w:trPr>
          <w:cantSplit/>
        </w:trPr>
        <w:tc>
          <w:tcPr>
            <w:tcW w:w="4091" w:type="dxa"/>
            <w:shd w:val="clear" w:color="auto" w:fill="F4F7FB"/>
            <w:vAlign w:val="top"/>
          </w:tcPr>
          <w:p>
            <w:pPr>
              <w:pStyle w:val="TableText"/>
              <w:jc w:val="left"/>
            </w:pPr>
            <w:r>
              <w:t xml:space="preserve">Platform cost in year 2 (from section 28)</w:t>
            </w:r>
          </w:p>
        </w:tc>
        <w:tc>
          <w:tcPr>
            <w:tcW w:w="4936" w:type="dxa"/>
            <w:shd w:val="clear" w:color="auto" w:fill="F4F7FB"/>
            <w:vAlign w:val="top"/>
          </w:tcPr>
          <w:p>
            <w:pPr>
              <w:pStyle w:val="TableText"/>
              <w:jc w:val="left"/>
            </w:pPr>
            <w:r>
              <w:t xml:space="preserve">About VND 4.46 billion, about 5% of base-case premium</w:t>
            </w:r>
          </w:p>
        </w:tc>
      </w:tr>
    </w:tbl>
    <w:p>
      <w:pPr>
        <w:pStyle w:val="BodyText"/>
        <w:spacing w:before="160"/>
      </w:pPr>
      <w:r>
        <w:t xml:space="preserve">Two points stand out. First, the saving from the voice assistant alone is larger than the annual cost of running the platform. Second, the most important driver of results is data repair: every ten-point increase in the share of vehicles with a usable expiry date adds about VND 13 billion of premium in the base case. That is why data repair comes first in the plan.</w:t>
      </w:r>
    </w:p>
    <w:p>
      <w:pPr>
        <w:pStyle w:val="BodyText"/>
      </w:pPr>
      <w:r>
        <w:t xml:space="preserve">We are careful not to overstate this. Some policies sold through the platform would have been sold by partners anyway. The pilot’s control group measures how much of the uplift is genuinely new, and the decision to scale should rest on that measurement.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77" w:name="_Toc300000073"/>
      <w:r>
        <w:rPr>
          <w:rStyle w:val="BookTitle"/>
          <w:bCs w:val="0"/>
          <w:i w:val="0"/>
          <w:iCs w:val="0"/>
          <w:spacing w:val="0"/>
        </w:rPr>
        <w:t xml:space="preserve">Risks and mitigations</w:t>
      </w:r>
      <w:bookmarkEnd w:id="7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750"/>
        <w:gridCol w:w="1841"/>
        <w:gridCol w:w="4436"/>
      </w:tblGrid>
      <w:tr>
        <w:trPr>
          <w:cantSplit/>
          <w:tblHeader/>
        </w:trPr>
        <w:tc>
          <w:tcPr>
            <w:tcW w:w="2750" w:type="dxa"/>
            <w:shd w:val="clear" w:color="auto" w:fill="0F4761"/>
            <w:vAlign w:val="center"/>
          </w:tcPr>
          <w:p>
            <w:pPr>
              <w:pStyle w:val="TableHeading"/>
              <w:jc w:val="left"/>
            </w:pPr>
            <w:r>
              <w:rPr>
                <w:color w:val="FFFFFF"/>
              </w:rPr>
              <w:t xml:space="preserve">Risk</w:t>
            </w:r>
          </w:p>
        </w:tc>
        <w:tc>
          <w:tcPr>
            <w:tcW w:w="1841" w:type="dxa"/>
            <w:shd w:val="clear" w:color="auto" w:fill="0F4761"/>
            <w:vAlign w:val="center"/>
          </w:tcPr>
          <w:p>
            <w:pPr>
              <w:pStyle w:val="TableHeading"/>
              <w:jc w:val="left"/>
            </w:pPr>
            <w:r>
              <w:rPr>
                <w:color w:val="FFFFFF"/>
              </w:rPr>
              <w:t xml:space="preserve">Impact</w:t>
            </w:r>
          </w:p>
        </w:tc>
        <w:tc>
          <w:tcPr>
            <w:tcW w:w="4436" w:type="dxa"/>
            <w:shd w:val="clear" w:color="auto" w:fill="0F4761"/>
            <w:vAlign w:val="center"/>
          </w:tcPr>
          <w:p>
            <w:pPr>
              <w:pStyle w:val="TableHeading"/>
              <w:jc w:val="left"/>
            </w:pPr>
            <w:r>
              <w:rPr>
                <w:color w:val="FFFFFF"/>
              </w:rPr>
              <w:t xml:space="preserve">Mitigation</w:t>
            </w:r>
          </w:p>
        </w:tc>
      </w:tr>
      <w:tr>
        <w:trPr>
          <w:cantSplit/>
        </w:trPr>
        <w:tc>
          <w:tcPr>
            <w:tcW w:w="2750" w:type="dxa"/>
            <w:vAlign w:val="top"/>
          </w:tcPr>
          <w:p>
            <w:pPr>
              <w:pStyle w:val="TableText"/>
              <w:jc w:val="left"/>
            </w:pPr>
            <w:r>
              <w:t xml:space="preserve">TASCO core does not expose a rating API in time</w:t>
            </w:r>
          </w:p>
        </w:tc>
        <w:tc>
          <w:tcPr>
            <w:tcW w:w="1841" w:type="dxa"/>
            <w:vAlign w:val="top"/>
          </w:tcPr>
          <w:p>
            <w:pPr>
              <w:pStyle w:val="TableText"/>
              <w:jc w:val="left"/>
            </w:pPr>
            <w:r>
              <w:t xml:space="preserve">Live pricing delayed</w:t>
            </w:r>
          </w:p>
        </w:tc>
        <w:tc>
          <w:tcPr>
            <w:tcW w:w="4436" w:type="dxa"/>
            <w:vAlign w:val="top"/>
          </w:tcPr>
          <w:p>
            <w:pPr>
              <w:pStyle w:val="TableText"/>
              <w:jc w:val="left"/>
            </w:pPr>
            <w:r>
              <w:t xml:space="preserve">Interim path: approved tariff tables in the platform with core re-rating at issue (section 15.1); decision in week 2</w:t>
            </w:r>
          </w:p>
        </w:tc>
      </w:tr>
      <w:tr>
        <w:trPr>
          <w:cantSplit/>
        </w:trPr>
        <w:tc>
          <w:tcPr>
            <w:tcW w:w="2750" w:type="dxa"/>
            <w:shd w:val="clear" w:color="auto" w:fill="F4F7FB"/>
            <w:vAlign w:val="top"/>
          </w:tcPr>
          <w:p>
            <w:pPr>
              <w:pStyle w:val="TableText"/>
              <w:jc w:val="left"/>
            </w:pPr>
            <w:r>
              <w:t xml:space="preserve">Integration sandboxes or credentials are late</w:t>
            </w:r>
          </w:p>
        </w:tc>
        <w:tc>
          <w:tcPr>
            <w:tcW w:w="1841" w:type="dxa"/>
            <w:shd w:val="clear" w:color="auto" w:fill="F4F7FB"/>
            <w:vAlign w:val="top"/>
          </w:tcPr>
          <w:p>
            <w:pPr>
              <w:pStyle w:val="TableText"/>
              <w:jc w:val="left"/>
            </w:pPr>
            <w:r>
              <w:t xml:space="preserve">Milestone M2 delayed</w:t>
            </w:r>
          </w:p>
        </w:tc>
        <w:tc>
          <w:tcPr>
            <w:tcW w:w="4436" w:type="dxa"/>
            <w:shd w:val="clear" w:color="auto" w:fill="F4F7FB"/>
            <w:vAlign w:val="top"/>
          </w:tcPr>
          <w:p>
            <w:pPr>
              <w:pStyle w:val="TableText"/>
              <w:jc w:val="left"/>
            </w:pPr>
            <w:r>
              <w:t xml:space="preserve">Simulated adapters already exist, so build continues; dates move day for day by agreement</w:t>
            </w:r>
          </w:p>
        </w:tc>
      </w:tr>
      <w:tr>
        <w:trPr>
          <w:cantSplit/>
        </w:trPr>
        <w:tc>
          <w:tcPr>
            <w:tcW w:w="2750" w:type="dxa"/>
            <w:vAlign w:val="top"/>
          </w:tcPr>
          <w:p>
            <w:pPr>
              <w:pStyle w:val="TableText"/>
              <w:jc w:val="left"/>
            </w:pPr>
            <w:r>
              <w:t xml:space="preserve">Legal positions take time (data sharing, consent wording, loyalty)</w:t>
            </w:r>
          </w:p>
        </w:tc>
        <w:tc>
          <w:tcPr>
            <w:tcW w:w="1841" w:type="dxa"/>
            <w:vAlign w:val="top"/>
          </w:tcPr>
          <w:p>
            <w:pPr>
              <w:pStyle w:val="TableText"/>
              <w:jc w:val="left"/>
            </w:pPr>
            <w:r>
              <w:t xml:space="preserve">Features held back</w:t>
            </w:r>
          </w:p>
        </w:tc>
        <w:tc>
          <w:tcPr>
            <w:tcW w:w="4436" w:type="dxa"/>
            <w:vAlign w:val="top"/>
          </w:tcPr>
          <w:p>
            <w:pPr>
              <w:pStyle w:val="TableText"/>
              <w:jc w:val="left"/>
            </w:pPr>
            <w:r>
              <w:t xml:space="preserve">Conservative defaults; features stay switched off until approved</w:t>
            </w:r>
          </w:p>
        </w:tc>
      </w:tr>
      <w:tr>
        <w:trPr>
          <w:cantSplit/>
        </w:trPr>
        <w:tc>
          <w:tcPr>
            <w:tcW w:w="2750" w:type="dxa"/>
            <w:shd w:val="clear" w:color="auto" w:fill="F4F7FB"/>
            <w:vAlign w:val="top"/>
          </w:tcPr>
          <w:p>
            <w:pPr>
              <w:pStyle w:val="TableText"/>
              <w:jc w:val="left"/>
            </w:pPr>
            <w:r>
              <w:t xml:space="preserve">VETC data quality is lower than expected</w:t>
            </w:r>
          </w:p>
        </w:tc>
        <w:tc>
          <w:tcPr>
            <w:tcW w:w="1841" w:type="dxa"/>
            <w:shd w:val="clear" w:color="auto" w:fill="F4F7FB"/>
            <w:vAlign w:val="top"/>
          </w:tcPr>
          <w:p>
            <w:pPr>
              <w:pStyle w:val="TableText"/>
              <w:jc w:val="left"/>
            </w:pPr>
            <w:r>
              <w:t xml:space="preserve">Fewer actionable vehicles</w:t>
            </w:r>
          </w:p>
        </w:tc>
        <w:tc>
          <w:tcPr>
            <w:tcW w:w="4436" w:type="dxa"/>
            <w:shd w:val="clear" w:color="auto" w:fill="F4F7FB"/>
            <w:vAlign w:val="top"/>
          </w:tcPr>
          <w:p>
            <w:pPr>
              <w:pStyle w:val="TableText"/>
              <w:jc w:val="left"/>
            </w:pPr>
            <w:r>
              <w:t xml:space="preserve">Data repair is the first journey; customer self-declaration of expiry; steward queue</w:t>
            </w:r>
          </w:p>
        </w:tc>
      </w:tr>
      <w:tr>
        <w:trPr>
          <w:cantSplit/>
        </w:trPr>
        <w:tc>
          <w:tcPr>
            <w:tcW w:w="2750" w:type="dxa"/>
            <w:vAlign w:val="top"/>
          </w:tcPr>
          <w:p>
            <w:pPr>
              <w:pStyle w:val="TableText"/>
              <w:jc w:val="left"/>
            </w:pPr>
            <w:r>
              <w:t xml:space="preserve">Customers distrust the voice assistant</w:t>
            </w:r>
          </w:p>
        </w:tc>
        <w:tc>
          <w:tcPr>
            <w:tcW w:w="1841" w:type="dxa"/>
            <w:vAlign w:val="top"/>
          </w:tcPr>
          <w:p>
            <w:pPr>
              <w:pStyle w:val="TableText"/>
              <w:jc w:val="left"/>
            </w:pPr>
            <w:r>
              <w:t xml:space="preserve">Low call completion</w:t>
            </w:r>
          </w:p>
        </w:tc>
        <w:tc>
          <w:tcPr>
            <w:tcW w:w="4436" w:type="dxa"/>
            <w:vAlign w:val="top"/>
          </w:tcPr>
          <w:p>
            <w:pPr>
              <w:pStyle w:val="TableText"/>
              <w:jc w:val="left"/>
            </w:pPr>
            <w:r>
              <w:t xml:space="preserve">Plate-first design, disclosure, app-first journeys, calls only with consent, script approved by compliance</w:t>
            </w:r>
          </w:p>
        </w:tc>
      </w:tr>
      <w:tr>
        <w:trPr>
          <w:cantSplit/>
        </w:trPr>
        <w:tc>
          <w:tcPr>
            <w:tcW w:w="2750" w:type="dxa"/>
            <w:shd w:val="clear" w:color="auto" w:fill="F4F7FB"/>
            <w:vAlign w:val="top"/>
          </w:tcPr>
          <w:p>
            <w:pPr>
              <w:pStyle w:val="TableText"/>
              <w:jc w:val="left"/>
            </w:pPr>
            <w:r>
              <w:t xml:space="preserve">Launch close to Tết</w:t>
            </w:r>
          </w:p>
        </w:tc>
        <w:tc>
          <w:tcPr>
            <w:tcW w:w="1841" w:type="dxa"/>
            <w:shd w:val="clear" w:color="auto" w:fill="F4F7FB"/>
            <w:vAlign w:val="top"/>
          </w:tcPr>
          <w:p>
            <w:pPr>
              <w:pStyle w:val="TableText"/>
              <w:jc w:val="left"/>
            </w:pPr>
            <w:r>
              <w:t xml:space="preserve">Operational strain</w:t>
            </w:r>
          </w:p>
        </w:tc>
        <w:tc>
          <w:tcPr>
            <w:tcW w:w="4436" w:type="dxa"/>
            <w:shd w:val="clear" w:color="auto" w:fill="F4F7FB"/>
            <w:vAlign w:val="top"/>
          </w:tcPr>
          <w:p>
            <w:pPr>
              <w:pStyle w:val="TableText"/>
              <w:jc w:val="left"/>
            </w:pPr>
            <w:r>
              <w:t xml:space="preserve">Soft launch, change freeze and 24-hour on-call cover over the holiday</w:t>
            </w:r>
          </w:p>
        </w:tc>
      </w:tr>
      <w:tr>
        <w:trPr>
          <w:cantSplit/>
        </w:trPr>
        <w:tc>
          <w:tcPr>
            <w:tcW w:w="2750" w:type="dxa"/>
            <w:vAlign w:val="top"/>
          </w:tcPr>
          <w:p>
            <w:pPr>
              <w:pStyle w:val="TableText"/>
              <w:jc w:val="left"/>
            </w:pPr>
            <w:r>
              <w:t xml:space="preserve">Channel conflict with partners</w:t>
            </w:r>
          </w:p>
        </w:tc>
        <w:tc>
          <w:tcPr>
            <w:tcW w:w="1841" w:type="dxa"/>
            <w:vAlign w:val="top"/>
          </w:tcPr>
          <w:p>
            <w:pPr>
              <w:pStyle w:val="TableText"/>
              <w:jc w:val="left"/>
            </w:pPr>
            <w:r>
              <w:t xml:space="preserve">Partner resistance</w:t>
            </w:r>
          </w:p>
        </w:tc>
        <w:tc>
          <w:tcPr>
            <w:tcW w:w="4436" w:type="dxa"/>
            <w:vAlign w:val="top"/>
          </w:tcPr>
          <w:p>
            <w:pPr>
              <w:pStyle w:val="TableText"/>
              <w:jc w:val="left"/>
            </w:pPr>
            <w:r>
              <w:t xml:space="preserve">Channel waterfall rules and the partner API make partners part of the solution</w:t>
            </w:r>
          </w:p>
        </w:tc>
      </w:tr>
      <w:tr>
        <w:trPr>
          <w:cantSplit/>
        </w:trPr>
        <w:tc>
          <w:tcPr>
            <w:tcW w:w="2750" w:type="dxa"/>
            <w:shd w:val="clear" w:color="auto" w:fill="F4F7FB"/>
            <w:vAlign w:val="top"/>
          </w:tcPr>
          <w:p>
            <w:pPr>
              <w:pStyle w:val="TableText"/>
              <w:jc w:val="left"/>
            </w:pPr>
            <w:r>
              <w:t xml:space="preserve">Scope growth during the MVP</w:t>
            </w:r>
          </w:p>
        </w:tc>
        <w:tc>
          <w:tcPr>
            <w:tcW w:w="1841" w:type="dxa"/>
            <w:shd w:val="clear" w:color="auto" w:fill="F4F7FB"/>
            <w:vAlign w:val="top"/>
          </w:tcPr>
          <w:p>
            <w:pPr>
              <w:pStyle w:val="TableText"/>
              <w:jc w:val="left"/>
            </w:pPr>
            <w:r>
              <w:t xml:space="preserve">Budget pressure</w:t>
            </w:r>
          </w:p>
        </w:tc>
        <w:tc>
          <w:tcPr>
            <w:tcW w:w="4436" w:type="dxa"/>
            <w:shd w:val="clear" w:color="auto" w:fill="F4F7FB"/>
            <w:vAlign w:val="top"/>
          </w:tcPr>
          <w:p>
            <w:pPr>
              <w:pStyle w:val="TableText"/>
              <w:jc w:val="left"/>
            </w:pPr>
            <w:r>
              <w:t xml:space="preserve">Clear MVP boundary; change control; USD 5,200 reserve under TASCO’s control</w:t>
            </w:r>
          </w:p>
        </w:tc>
      </w:tr>
      <w:tr>
        <w:trPr>
          <w:cantSplit/>
        </w:trPr>
        <w:tc>
          <w:tcPr>
            <w:tcW w:w="2750" w:type="dxa"/>
            <w:vAlign w:val="top"/>
          </w:tcPr>
          <w:p>
            <w:pPr>
              <w:pStyle w:val="TableText"/>
              <w:jc w:val="left"/>
            </w:pPr>
            <w:r>
              <w:t xml:space="preserve">TASCO’s app, website or payment gateway cannot host the journeys as planned</w:t>
            </w:r>
          </w:p>
        </w:tc>
        <w:tc>
          <w:tcPr>
            <w:tcW w:w="1841" w:type="dxa"/>
            <w:vAlign w:val="top"/>
          </w:tcPr>
          <w:p>
            <w:pPr>
              <w:pStyle w:val="TableText"/>
              <w:jc w:val="left"/>
            </w:pPr>
            <w:r>
              <w:t xml:space="preserve">TASCO channels open later</w:t>
            </w:r>
          </w:p>
        </w:tc>
        <w:tc>
          <w:tcPr>
            <w:tcW w:w="4436" w:type="dxa"/>
            <w:vAlign w:val="top"/>
          </w:tcPr>
          <w:p>
            <w:pPr>
              <w:pStyle w:val="TableText"/>
              <w:jc w:val="left"/>
            </w:pPr>
            <w:r>
              <w:t xml:space="preserve">Capability checked in discovery; the journeys also work as a link from TASCO’s site; S3 is outside the MVP critical path</w:t>
            </w:r>
          </w:p>
        </w:tc>
      </w:tr>
      <w:tr>
        <w:trPr>
          <w:cantSplit/>
        </w:trPr>
        <w:tc>
          <w:tcPr>
            <w:tcW w:w="2750" w:type="dxa"/>
            <w:shd w:val="clear" w:color="auto" w:fill="F4F7FB"/>
            <w:vAlign w:val="top"/>
          </w:tcPr>
          <w:p>
            <w:pPr>
              <w:pStyle w:val="TableText"/>
              <w:jc w:val="left"/>
            </w:pPr>
            <w:r>
              <w:t xml:space="preserve">Different prices or messages across TASCO’s channels</w:t>
            </w:r>
          </w:p>
        </w:tc>
        <w:tc>
          <w:tcPr>
            <w:tcW w:w="1841" w:type="dxa"/>
            <w:shd w:val="clear" w:color="auto" w:fill="F4F7FB"/>
            <w:vAlign w:val="top"/>
          </w:tcPr>
          <w:p>
            <w:pPr>
              <w:pStyle w:val="TableText"/>
              <w:jc w:val="left"/>
            </w:pPr>
            <w:r>
              <w:t xml:space="preserve">Customer confusion</w:t>
            </w:r>
          </w:p>
        </w:tc>
        <w:tc>
          <w:tcPr>
            <w:tcW w:w="4436" w:type="dxa"/>
            <w:shd w:val="clear" w:color="auto" w:fill="F4F7FB"/>
            <w:vAlign w:val="top"/>
          </w:tcPr>
          <w:p>
            <w:pPr>
              <w:pStyle w:val="TableText"/>
              <w:jc w:val="left"/>
            </w:pPr>
            <w:r>
              <w:t xml:space="preserve">One core rating for every channel; shared templates and contacts; the channel recorded on every sale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78" w:name="_Toc300000074"/>
      <w:r>
        <w:rPr>
          <w:rStyle w:val="BookTitle"/>
          <w:bCs w:val="0"/>
          <w:i w:val="0"/>
          <w:iCs w:val="0"/>
          <w:spacing w:val="0"/>
        </w:rPr>
        <w:t xml:space="preserve">Assumptions and dependencies</w:t>
      </w:r>
      <w:bookmarkEnd w:id="78"/>
    </w:p>
    <w:p>
      <w:pPr>
        <w:pStyle w:val="Compact"/>
        <w:numPr>
          <w:ilvl w:val="0"/>
          <w:numId w:val="1003"/>
        </w:numPr>
      </w:pPr>
      <w:r>
        <w:t xml:space="preserve">TASCO provides access to its core system’s catalogue, rating and issuance interfaces (or agrees the interim path) and a sandbox by the end of week 2, with production access by week 10.</w:t>
      </w:r>
    </w:p>
    <w:p>
      <w:pPr>
        <w:pStyle w:val="Compact"/>
        <w:numPr>
          <w:ilvl w:val="0"/>
          <w:numId w:val="1003"/>
        </w:numPr>
      </w:pPr>
      <w:r>
        <w:t xml:space="preserve">VETC provides a data extract for the pilot cohort, tag-activation events, the app web view and push, and wallet debit and refund interfaces with a sandbox by the end of week 2.</w:t>
      </w:r>
    </w:p>
    <w:p>
      <w:pPr>
        <w:pStyle w:val="Compact"/>
        <w:numPr>
          <w:ilvl w:val="0"/>
          <w:numId w:val="1003"/>
        </w:numPr>
      </w:pPr>
      <w:r>
        <w:t xml:space="preserve">ZNS messages are sent from TASCO’s existing verified Zalo Official Account. TASCO contracts the voice AI vendor and SMS brandname directly; we help with selection and integration.</w:t>
      </w:r>
    </w:p>
    <w:p>
      <w:pPr>
        <w:pStyle w:val="Compact"/>
        <w:numPr>
          <w:ilvl w:val="0"/>
          <w:numId w:val="1003"/>
        </w:numPr>
      </w:pPr>
      <w:r>
        <w:t xml:space="preserve">TASCO legal confirms the regulatory positions in section 5.4 during discovery.</w:t>
      </w:r>
    </w:p>
    <w:p>
      <w:pPr>
        <w:pStyle w:val="Compact"/>
        <w:numPr>
          <w:ilvl w:val="0"/>
          <w:numId w:val="1003"/>
        </w:numPr>
      </w:pPr>
      <w:r>
        <w:t xml:space="preserve">TASCO and VETC provide decision-makers within agreed turnaround times (five business days for sign-offs).</w:t>
      </w:r>
    </w:p>
    <w:p>
      <w:pPr>
        <w:pStyle w:val="Compact"/>
        <w:numPr>
          <w:ilvl w:val="0"/>
          <w:numId w:val="1003"/>
        </w:numPr>
      </w:pPr>
      <w:r>
        <w:t xml:space="preserve">The pilot cohort is no larger than 100,000 vehicles in one or two provinces.</w:t>
      </w:r>
    </w:p>
    <w:p>
      <w:pPr>
        <w:pStyle w:val="Compact"/>
        <w:numPr>
          <w:ilvl w:val="0"/>
          <w:numId w:val="1003"/>
        </w:numPr>
      </w:pPr>
      <w:r>
        <w:t xml:space="preserve">The infrastructure provider is chosen in discovery, and TASCO pays for it directly.</w:t>
      </w:r>
    </w:p>
    <w:p>
      <w:pPr>
        <w:pStyle w:val="Compact"/>
        <w:numPr>
          <w:ilvl w:val="0"/>
          <w:numId w:val="1003"/>
        </w:numPr>
      </w:pPr>
      <w:r>
        <w:t xml:space="preserve">TASCO’s digital team shares the interface details of e.baohiemtasco.vn and Tasco360 during discovery, so that journeys, wording and contacts stay consistent across channels.</w:t>
      </w:r>
    </w:p>
    <w:p>
      <w:pPr>
        <w:pStyle w:val="Compact"/>
        <w:numPr>
          <w:ilvl w:val="0"/>
          <w:numId w:val="1003"/>
        </w:numPr>
      </w:pPr>
      <w:r>
        <w:t xml:space="preserve">If module S3 is taken up, TASCO provides a sandbox of its payment gateway and confirms that its app can open the journeys in a web view.</w:t>
      </w:r>
    </w:p>
    <w:p>
      <w:pPr>
        <w:pStyle w:val="Compact"/>
        <w:numPr>
          <w:ilvl w:val="0"/>
          <w:numId w:val="1003"/>
        </w:numPr>
      </w:pPr>
      <w:r>
        <w:t xml:space="preserve">Acceptance is against the agreed user-story acceptance criteria for the MVP scope.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79" w:name="_Toc300000075"/>
      <w:r>
        <w:rPr>
          <w:rStyle w:val="BookTitle"/>
          <w:bCs w:val="0"/>
          <w:i w:val="0"/>
          <w:iCs w:val="0"/>
          <w:spacing w:val="0"/>
        </w:rPr>
        <w:t xml:space="preserve">What we need from TASCO and VETC</w:t>
      </w:r>
      <w:bookmarkEnd w:id="7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473"/>
        <w:gridCol w:w="5554"/>
      </w:tblGrid>
      <w:tr>
        <w:trPr>
          <w:cantSplit/>
          <w:tblHeader/>
        </w:trPr>
        <w:tc>
          <w:tcPr>
            <w:tcW w:w="3473" w:type="dxa"/>
            <w:shd w:val="clear" w:color="auto" w:fill="0F4761"/>
            <w:vAlign w:val="center"/>
          </w:tcPr>
          <w:p>
            <w:pPr>
              <w:pStyle w:val="TableHeading"/>
              <w:jc w:val="left"/>
            </w:pPr>
            <w:r>
              <w:rPr>
                <w:color w:val="FFFFFF"/>
              </w:rPr>
              <w:t xml:space="preserve">Role</w:t>
            </w:r>
          </w:p>
        </w:tc>
        <w:tc>
          <w:tcPr>
            <w:tcW w:w="5554" w:type="dxa"/>
            <w:shd w:val="clear" w:color="auto" w:fill="0F4761"/>
            <w:vAlign w:val="center"/>
          </w:tcPr>
          <w:p>
            <w:pPr>
              <w:pStyle w:val="TableHeading"/>
              <w:jc w:val="left"/>
            </w:pPr>
            <w:r>
              <w:rPr>
                <w:color w:val="FFFFFF"/>
              </w:rPr>
              <w:t xml:space="preserve">Commitment</w:t>
            </w:r>
          </w:p>
        </w:tc>
      </w:tr>
      <w:tr>
        <w:trPr>
          <w:cantSplit/>
        </w:trPr>
        <w:tc>
          <w:tcPr>
            <w:tcW w:w="3473" w:type="dxa"/>
            <w:vAlign w:val="top"/>
          </w:tcPr>
          <w:p>
            <w:pPr>
              <w:pStyle w:val="TableText"/>
              <w:jc w:val="left"/>
            </w:pPr>
            <w:r>
              <w:t xml:space="preserve">TASCO product owner</w:t>
            </w:r>
          </w:p>
        </w:tc>
        <w:tc>
          <w:tcPr>
            <w:tcW w:w="5554" w:type="dxa"/>
            <w:vAlign w:val="top"/>
          </w:tcPr>
          <w:p>
            <w:pPr>
              <w:pStyle w:val="TableText"/>
              <w:jc w:val="left"/>
            </w:pPr>
            <w:r>
              <w:t xml:space="preserve">About half time throughout; decisions on scope, rules and acceptance</w:t>
            </w:r>
          </w:p>
        </w:tc>
      </w:tr>
      <w:tr>
        <w:trPr>
          <w:cantSplit/>
        </w:trPr>
        <w:tc>
          <w:tcPr>
            <w:tcW w:w="3473" w:type="dxa"/>
            <w:shd w:val="clear" w:color="auto" w:fill="F4F7FB"/>
            <w:vAlign w:val="top"/>
          </w:tcPr>
          <w:p>
            <w:pPr>
              <w:pStyle w:val="TableText"/>
              <w:jc w:val="left"/>
            </w:pPr>
            <w:r>
              <w:t xml:space="preserve">TASCO core system lead</w:t>
            </w:r>
          </w:p>
        </w:tc>
        <w:tc>
          <w:tcPr>
            <w:tcW w:w="5554" w:type="dxa"/>
            <w:shd w:val="clear" w:color="auto" w:fill="F4F7FB"/>
            <w:vAlign w:val="top"/>
          </w:tcPr>
          <w:p>
            <w:pPr>
              <w:pStyle w:val="TableText"/>
              <w:jc w:val="left"/>
            </w:pPr>
            <w:r>
              <w:t xml:space="preserve">Interface specifications, sandbox, support during integration testing</w:t>
            </w:r>
          </w:p>
        </w:tc>
      </w:tr>
      <w:tr>
        <w:trPr>
          <w:cantSplit/>
        </w:trPr>
        <w:tc>
          <w:tcPr>
            <w:tcW w:w="3473" w:type="dxa"/>
            <w:vAlign w:val="top"/>
          </w:tcPr>
          <w:p>
            <w:pPr>
              <w:pStyle w:val="TableText"/>
              <w:jc w:val="left"/>
            </w:pPr>
            <w:r>
              <w:t xml:space="preserve">VETC data and integration lead</w:t>
            </w:r>
          </w:p>
        </w:tc>
        <w:tc>
          <w:tcPr>
            <w:tcW w:w="5554" w:type="dxa"/>
            <w:vAlign w:val="top"/>
          </w:tcPr>
          <w:p>
            <w:pPr>
              <w:pStyle w:val="TableText"/>
              <w:jc w:val="left"/>
            </w:pPr>
            <w:r>
              <w:t xml:space="preserve">Data extract, events, app, push and wallet interfaces; about half time in discovery and build</w:t>
            </w:r>
          </w:p>
        </w:tc>
      </w:tr>
      <w:tr>
        <w:trPr>
          <w:cantSplit/>
        </w:trPr>
        <w:tc>
          <w:tcPr>
            <w:tcW w:w="3473" w:type="dxa"/>
            <w:shd w:val="clear" w:color="auto" w:fill="F4F7FB"/>
            <w:vAlign w:val="top"/>
          </w:tcPr>
          <w:p>
            <w:pPr>
              <w:pStyle w:val="TableText"/>
              <w:jc w:val="left"/>
            </w:pPr>
            <w:r>
              <w:t xml:space="preserve">TASCO compliance and legal</w:t>
            </w:r>
          </w:p>
        </w:tc>
        <w:tc>
          <w:tcPr>
            <w:tcW w:w="5554" w:type="dxa"/>
            <w:shd w:val="clear" w:color="auto" w:fill="F4F7FB"/>
            <w:vAlign w:val="top"/>
          </w:tcPr>
          <w:p>
            <w:pPr>
              <w:pStyle w:val="TableText"/>
              <w:jc w:val="left"/>
            </w:pPr>
            <w:r>
              <w:t xml:space="preserve">Confirmation of regulatory positions; approval of customer wording and the voice script</w:t>
            </w:r>
          </w:p>
        </w:tc>
      </w:tr>
      <w:tr>
        <w:trPr>
          <w:cantSplit/>
        </w:trPr>
        <w:tc>
          <w:tcPr>
            <w:tcW w:w="3473" w:type="dxa"/>
            <w:vAlign w:val="top"/>
          </w:tcPr>
          <w:p>
            <w:pPr>
              <w:pStyle w:val="TableText"/>
              <w:jc w:val="left"/>
            </w:pPr>
            <w:r>
              <w:t xml:space="preserve">TASCO telesales lead and agents</w:t>
            </w:r>
          </w:p>
        </w:tc>
        <w:tc>
          <w:tcPr>
            <w:tcW w:w="5554" w:type="dxa"/>
            <w:vAlign w:val="top"/>
          </w:tcPr>
          <w:p>
            <w:pPr>
              <w:pStyle w:val="TableText"/>
              <w:jc w:val="left"/>
            </w:pPr>
            <w:r>
              <w:t xml:space="preserve">UAT and pilot participation</w:t>
            </w:r>
          </w:p>
        </w:tc>
      </w:tr>
      <w:tr>
        <w:trPr>
          <w:cantSplit/>
        </w:trPr>
        <w:tc>
          <w:tcPr>
            <w:tcW w:w="3473" w:type="dxa"/>
            <w:shd w:val="clear" w:color="auto" w:fill="F4F7FB"/>
            <w:vAlign w:val="top"/>
          </w:tcPr>
          <w:p>
            <w:pPr>
              <w:pStyle w:val="TableText"/>
              <w:jc w:val="left"/>
            </w:pPr>
            <w:r>
              <w:t xml:space="preserve">TASCO IT security</w:t>
            </w:r>
          </w:p>
        </w:tc>
        <w:tc>
          <w:tcPr>
            <w:tcW w:w="5554" w:type="dxa"/>
            <w:shd w:val="clear" w:color="auto" w:fill="F4F7FB"/>
            <w:vAlign w:val="top"/>
          </w:tcPr>
          <w:p>
            <w:pPr>
              <w:pStyle w:val="TableText"/>
              <w:jc w:val="left"/>
            </w:pPr>
            <w:r>
              <w:t xml:space="preserve">Security requirements, access approvals, penetration test scope</w:t>
            </w:r>
          </w:p>
        </w:tc>
      </w:tr>
      <w:tr>
        <w:trPr>
          <w:cantSplit/>
        </w:trPr>
        <w:tc>
          <w:tcPr>
            <w:tcW w:w="3473" w:type="dxa"/>
            <w:vAlign w:val="top"/>
          </w:tcPr>
          <w:p>
            <w:pPr>
              <w:pStyle w:val="TableText"/>
              <w:jc w:val="left"/>
            </w:pPr>
            <w:r>
              <w:t xml:space="preserve">TASCO digital team (e.baohiemtasco.vn and Tasco360)</w:t>
            </w:r>
          </w:p>
        </w:tc>
        <w:tc>
          <w:tcPr>
            <w:tcW w:w="5554" w:type="dxa"/>
            <w:vAlign w:val="top"/>
          </w:tcPr>
          <w:p>
            <w:pPr>
              <w:pStyle w:val="TableText"/>
              <w:jc w:val="left"/>
            </w:pPr>
            <w:r>
              <w:t xml:space="preserve">Interface details; alignment of customer journeys, wording and contact channels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0" w:name="_Toc300000076"/>
      <w:r>
        <w:rPr>
          <w:rStyle w:val="BookTitle"/>
          <w:bCs w:val="0"/>
          <w:i w:val="0"/>
          <w:iCs w:val="0"/>
          <w:spacing w:val="0"/>
        </w:rPr>
        <w:t xml:space="preserve">Intellectual property, warranty and exit</w:t>
      </w:r>
      <w:bookmarkEnd w:id="80"/>
    </w:p>
    <w:p>
      <w:pPr>
        <w:pStyle w:val="FirstParagraph"/>
      </w:pPr>
      <w:r>
        <w:rPr>
          <w:b/>
          <w:bCs/>
        </w:rPr>
        <w:t xml:space="preserve">Licence.</w:t>
      </w:r>
      <w:r>
        <w:t xml:space="preserve"> </w:t>
      </w:r>
      <w:r>
        <w:t xml:space="preserve">TASCO receives a perpetual, royalty-free licence to use, modify and run the platform for the business of TASCO Insurance and the Tasco group, together with the complete source code and documentation. iorta TechNXT keeps ownership of the underlying platform and may improve it for other clients, without ever using TASCO data.</w:t>
      </w:r>
    </w:p>
    <w:p>
      <w:pPr>
        <w:pStyle w:val="BodyText"/>
      </w:pPr>
      <w:r>
        <w:rPr>
          <w:b/>
          <w:bCs/>
        </w:rPr>
        <w:t xml:space="preserve">What TASCO owns.</w:t>
      </w:r>
      <w:r>
        <w:t xml:space="preserve"> </w:t>
      </w:r>
      <w:r>
        <w:t xml:space="preserve">TASCO’s data, its rule sets and configuration, its content and branding, and the adapters written specifically for TASCO’s and VETC’s systems.</w:t>
      </w:r>
    </w:p>
    <w:p>
      <w:pPr>
        <w:pStyle w:val="BodyText"/>
      </w:pPr>
      <w:r>
        <w:rPr>
          <w:b/>
          <w:bCs/>
        </w:rPr>
        <w:t xml:space="preserve">Warranty.</w:t>
      </w:r>
      <w:r>
        <w:t xml:space="preserve"> </w:t>
      </w:r>
      <w:r>
        <w:t xml:space="preserve">For 90 days after go-live, we fix at our own cost any defect where the platform does not meet the accepted acceptance criteria.</w:t>
      </w:r>
    </w:p>
    <w:p>
      <w:pPr>
        <w:pStyle w:val="BodyText"/>
      </w:pPr>
      <w:r>
        <w:rPr>
          <w:b/>
          <w:bCs/>
        </w:rPr>
        <w:t xml:space="preserve">Exit and transition.</w:t>
      </w:r>
      <w:r>
        <w:t xml:space="preserve"> </w:t>
      </w:r>
      <w:r>
        <w:t xml:space="preserve">If TASCO decides to move support to its own team or another partner, we provide a structured knowledge transfer at the rate card, and all data can be exported in open formats. The platform has no proprietary runtime and no licence keys.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1" w:name="_Toc300000077"/>
      <w:r>
        <w:rPr>
          <w:rStyle w:val="BookTitle"/>
          <w:bCs w:val="0"/>
          <w:i w:val="0"/>
          <w:iCs w:val="0"/>
          <w:spacing w:val="0"/>
        </w:rPr>
        <w:t xml:space="preserve">Next steps</w:t>
      </w:r>
      <w:bookmarkEnd w:id="81"/>
    </w:p>
    <w:p>
      <w:pPr>
        <w:pStyle w:val="Compact"/>
        <w:numPr>
          <w:ilvl w:val="0"/>
          <w:numId w:val="1004"/>
        </w:numPr>
      </w:pPr>
      <w:r>
        <w:rPr>
          <w:b/>
          <w:bCs/>
        </w:rPr>
        <w:t xml:space="preserve">Walk-through of the working platform</w:t>
      </w:r>
      <w:r>
        <w:t xml:space="preserve"> </w:t>
      </w:r>
      <w:r>
        <w:t xml:space="preserve">with TASCO’s evaluation team in UAT, at a date of TASCO’s choosing in October.</w:t>
      </w:r>
    </w:p>
    <w:p>
      <w:pPr>
        <w:pStyle w:val="Compact"/>
        <w:numPr>
          <w:ilvl w:val="0"/>
          <w:numId w:val="1004"/>
        </w:numPr>
      </w:pPr>
      <w:r>
        <w:rPr>
          <w:b/>
          <w:bCs/>
        </w:rPr>
        <w:t xml:space="preserve">Clarification session</w:t>
      </w:r>
      <w:r>
        <w:t xml:space="preserve"> </w:t>
      </w:r>
      <w:r>
        <w:t xml:space="preserve">on this proposal, the core integration path and the pilot design.</w:t>
      </w:r>
    </w:p>
    <w:p>
      <w:pPr>
        <w:pStyle w:val="Compact"/>
        <w:numPr>
          <w:ilvl w:val="0"/>
          <w:numId w:val="1004"/>
        </w:numPr>
      </w:pPr>
      <w:r>
        <w:rPr>
          <w:b/>
          <w:bCs/>
        </w:rPr>
        <w:t xml:space="preserve">Early access to information</w:t>
      </w:r>
      <w:r>
        <w:t xml:space="preserve"> </w:t>
      </w:r>
      <w:r>
        <w:t xml:space="preserve">that shortens discovery: TASCO core interface documentation and a sample of VETC data (masked).</w:t>
      </w:r>
    </w:p>
    <w:p>
      <w:pPr>
        <w:pStyle w:val="Compact"/>
        <w:numPr>
          <w:ilvl w:val="0"/>
          <w:numId w:val="1004"/>
        </w:numPr>
      </w:pPr>
      <w:r>
        <w:rPr>
          <w:b/>
          <w:bCs/>
        </w:rPr>
        <w:t xml:space="preserve">Contract signature by 30 October 2026</w:t>
      </w:r>
      <w:r>
        <w:t xml:space="preserve">, to start on 2 November and have the pilot live before Tết.</w:t>
      </w:r>
    </w:p>
    <w:p>
      <w:pPr>
        <w:pStyle w:val="FirstParagraph"/>
      </w:pPr>
      <w:r>
        <w:t xml:space="preserve">We would be glad to present this proposal in person in Hà Nội.</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2" w:name="_Toc300000078"/>
      <w:r>
        <w:rPr>
          <w:rStyle w:val="BookTitle"/>
          <w:bCs w:val="0"/>
          <w:i w:val="0"/>
          <w:iCs w:val="0"/>
          <w:spacing w:val="0"/>
        </w:rPr>
        <w:t xml:space="preserve">Glossary</w:t>
      </w:r>
      <w:bookmarkEnd w:id="8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74"/>
        <w:gridCol w:w="7253"/>
      </w:tblGrid>
      <w:tr>
        <w:trPr>
          <w:cantSplit/>
          <w:tblHeader/>
        </w:trPr>
        <w:tc>
          <w:tcPr>
            <w:tcW w:w="1774" w:type="dxa"/>
            <w:shd w:val="clear" w:color="auto" w:fill="0F4761"/>
            <w:vAlign w:val="center"/>
          </w:tcPr>
          <w:p>
            <w:pPr>
              <w:pStyle w:val="TableHeading"/>
              <w:jc w:val="left"/>
            </w:pPr>
            <w:r>
              <w:rPr>
                <w:color w:val="FFFFFF"/>
              </w:rPr>
              <w:t xml:space="preserve">Term</w:t>
            </w:r>
          </w:p>
        </w:tc>
        <w:tc>
          <w:tcPr>
            <w:tcW w:w="7253" w:type="dxa"/>
            <w:shd w:val="clear" w:color="auto" w:fill="0F4761"/>
            <w:vAlign w:val="center"/>
          </w:tcPr>
          <w:p>
            <w:pPr>
              <w:pStyle w:val="TableHeading"/>
              <w:jc w:val="left"/>
            </w:pPr>
            <w:r>
              <w:rPr>
                <w:color w:val="FFFFFF"/>
              </w:rPr>
              <w:t xml:space="preserve">Meaning</w:t>
            </w:r>
          </w:p>
        </w:tc>
      </w:tr>
      <w:tr>
        <w:trPr>
          <w:cantSplit/>
        </w:trPr>
        <w:tc>
          <w:tcPr>
            <w:tcW w:w="1774" w:type="dxa"/>
            <w:vAlign w:val="top"/>
          </w:tcPr>
          <w:p>
            <w:pPr>
              <w:pStyle w:val="TableText"/>
              <w:jc w:val="left"/>
            </w:pPr>
            <w:r>
              <w:t xml:space="preserve">TNDS</w:t>
            </w:r>
          </w:p>
        </w:tc>
        <w:tc>
          <w:tcPr>
            <w:tcW w:w="7253" w:type="dxa"/>
            <w:vAlign w:val="top"/>
          </w:tcPr>
          <w:p>
            <w:pPr>
              <w:pStyle w:val="TableText"/>
              <w:jc w:val="left"/>
            </w:pPr>
            <w:r>
              <w:t xml:space="preserve">Compulsory motor third-party civil liability insurance (</w:t>
            </w:r>
            <w:r>
              <w:rPr>
                <w:i/>
                <w:iCs/>
              </w:rPr>
              <w:t xml:space="preserve">Bảo hiểm trách nhiệm dân sự bắt buộc</w:t>
            </w:r>
            <w:r>
              <w:t xml:space="preserve">)</w:t>
            </w:r>
          </w:p>
        </w:tc>
      </w:tr>
      <w:tr>
        <w:trPr>
          <w:cantSplit/>
        </w:trPr>
        <w:tc>
          <w:tcPr>
            <w:tcW w:w="1774" w:type="dxa"/>
            <w:shd w:val="clear" w:color="auto" w:fill="F4F7FB"/>
            <w:noWrap/>
            <w:vAlign w:val="top"/>
          </w:tcPr>
          <w:p>
            <w:pPr>
              <w:pStyle w:val="TableText"/>
              <w:jc w:val="left"/>
            </w:pPr>
            <w:r>
              <w:t xml:space="preserve">PA_SEAT</w:t>
            </w:r>
          </w:p>
        </w:tc>
        <w:tc>
          <w:tcPr>
            <w:tcW w:w="7253" w:type="dxa"/>
            <w:shd w:val="clear" w:color="auto" w:fill="F4F7FB"/>
            <w:vAlign w:val="top"/>
          </w:tcPr>
          <w:p>
            <w:pPr>
              <w:pStyle w:val="TableText"/>
              <w:jc w:val="left"/>
            </w:pPr>
            <w:r>
              <w:t xml:space="preserve">Personal accident cover per vehicle seat (voluntary add-on)</w:t>
            </w:r>
          </w:p>
        </w:tc>
      </w:tr>
      <w:tr>
        <w:trPr>
          <w:cantSplit/>
        </w:trPr>
        <w:tc>
          <w:tcPr>
            <w:tcW w:w="1774" w:type="dxa"/>
            <w:noWrap/>
            <w:vAlign w:val="top"/>
          </w:tcPr>
          <w:p>
            <w:pPr>
              <w:pStyle w:val="TableText"/>
              <w:jc w:val="left"/>
            </w:pPr>
            <w:r>
              <w:t xml:space="preserve">MOTOR_PD</w:t>
            </w:r>
          </w:p>
        </w:tc>
        <w:tc>
          <w:tcPr>
            <w:tcW w:w="7253" w:type="dxa"/>
            <w:vAlign w:val="top"/>
          </w:tcPr>
          <w:p>
            <w:pPr>
              <w:pStyle w:val="TableText"/>
              <w:jc w:val="left"/>
            </w:pPr>
            <w:r>
              <w:t xml:space="preserve">Physical damage cover for the vehicle (voluntary add-on)</w:t>
            </w:r>
          </w:p>
        </w:tc>
      </w:tr>
      <w:tr>
        <w:trPr>
          <w:cantSplit/>
        </w:trPr>
        <w:tc>
          <w:tcPr>
            <w:tcW w:w="1774" w:type="dxa"/>
            <w:shd w:val="clear" w:color="auto" w:fill="F4F7FB"/>
            <w:vAlign w:val="top"/>
          </w:tcPr>
          <w:p>
            <w:pPr>
              <w:pStyle w:val="TableText"/>
              <w:jc w:val="left"/>
            </w:pPr>
            <w:r>
              <w:t xml:space="preserve">Golden record</w:t>
            </w:r>
          </w:p>
        </w:tc>
        <w:tc>
          <w:tcPr>
            <w:tcW w:w="7253" w:type="dxa"/>
            <w:shd w:val="clear" w:color="auto" w:fill="F4F7FB"/>
            <w:vAlign w:val="top"/>
          </w:tcPr>
          <w:p>
            <w:pPr>
              <w:pStyle w:val="TableText"/>
              <w:jc w:val="left"/>
            </w:pPr>
            <w:r>
              <w:t xml:space="preserve">The single, best-quality profile for one vehicle, built from all sources</w:t>
            </w:r>
          </w:p>
        </w:tc>
      </w:tr>
      <w:tr>
        <w:trPr>
          <w:cantSplit/>
        </w:trPr>
        <w:tc>
          <w:tcPr>
            <w:tcW w:w="1774" w:type="dxa"/>
            <w:vAlign w:val="top"/>
          </w:tcPr>
          <w:p>
            <w:pPr>
              <w:pStyle w:val="TableText"/>
              <w:jc w:val="left"/>
            </w:pPr>
            <w:r>
              <w:t xml:space="preserve">NBA</w:t>
            </w:r>
          </w:p>
        </w:tc>
        <w:tc>
          <w:tcPr>
            <w:tcW w:w="7253" w:type="dxa"/>
            <w:vAlign w:val="top"/>
          </w:tcPr>
          <w:p>
            <w:pPr>
              <w:pStyle w:val="TableText"/>
              <w:jc w:val="left"/>
            </w:pPr>
            <w:r>
              <w:t xml:space="preserve">Next best action for a vehicle, chosen by rules</w:t>
            </w:r>
          </w:p>
        </w:tc>
      </w:tr>
      <w:tr>
        <w:trPr>
          <w:cantSplit/>
        </w:trPr>
        <w:tc>
          <w:tcPr>
            <w:tcW w:w="1774" w:type="dxa"/>
            <w:shd w:val="clear" w:color="auto" w:fill="F4F7FB"/>
            <w:vAlign w:val="top"/>
          </w:tcPr>
          <w:p>
            <w:pPr>
              <w:pStyle w:val="TableText"/>
              <w:jc w:val="left"/>
            </w:pPr>
            <w:r>
              <w:t xml:space="preserve">Journey</w:t>
            </w:r>
          </w:p>
        </w:tc>
        <w:tc>
          <w:tcPr>
            <w:tcW w:w="7253" w:type="dxa"/>
            <w:shd w:val="clear" w:color="auto" w:fill="F4F7FB"/>
            <w:vAlign w:val="top"/>
          </w:tcPr>
          <w:p>
            <w:pPr>
              <w:pStyle w:val="TableText"/>
              <w:jc w:val="left"/>
            </w:pPr>
            <w:r>
              <w:t xml:space="preserve">A timed sequence of contacts across channels with a defined goal</w:t>
            </w:r>
          </w:p>
        </w:tc>
      </w:tr>
      <w:tr>
        <w:trPr>
          <w:cantSplit/>
        </w:trPr>
        <w:tc>
          <w:tcPr>
            <w:tcW w:w="1774" w:type="dxa"/>
            <w:vAlign w:val="top"/>
          </w:tcPr>
          <w:p>
            <w:pPr>
              <w:pStyle w:val="TableText"/>
              <w:jc w:val="left"/>
            </w:pPr>
            <w:r>
              <w:t xml:space="preserve">ZNS</w:t>
            </w:r>
          </w:p>
        </w:tc>
        <w:tc>
          <w:tcPr>
            <w:tcW w:w="7253" w:type="dxa"/>
            <w:vAlign w:val="top"/>
          </w:tcPr>
          <w:p>
            <w:pPr>
              <w:pStyle w:val="TableText"/>
              <w:jc w:val="left"/>
            </w:pPr>
            <w:r>
              <w:t xml:space="preserve">Zalo Notification Service, for transactional messages through a Zalo official account</w:t>
            </w:r>
          </w:p>
        </w:tc>
      </w:tr>
      <w:tr>
        <w:trPr>
          <w:cantSplit/>
        </w:trPr>
        <w:tc>
          <w:tcPr>
            <w:tcW w:w="1774" w:type="dxa"/>
            <w:shd w:val="clear" w:color="auto" w:fill="F4F7FB"/>
            <w:vAlign w:val="top"/>
          </w:tcPr>
          <w:p>
            <w:pPr>
              <w:pStyle w:val="TableText"/>
              <w:jc w:val="left"/>
            </w:pPr>
            <w:r>
              <w:t xml:space="preserve">FNOL</w:t>
            </w:r>
          </w:p>
        </w:tc>
        <w:tc>
          <w:tcPr>
            <w:tcW w:w="7253" w:type="dxa"/>
            <w:shd w:val="clear" w:color="auto" w:fill="F4F7FB"/>
            <w:vAlign w:val="top"/>
          </w:tcPr>
          <w:p>
            <w:pPr>
              <w:pStyle w:val="TableText"/>
              <w:jc w:val="left"/>
            </w:pPr>
            <w:r>
              <w:t xml:space="preserve">First notice of loss: the first report of an accident or claim</w:t>
            </w:r>
          </w:p>
        </w:tc>
      </w:tr>
      <w:tr>
        <w:trPr>
          <w:cantSplit/>
        </w:trPr>
        <w:tc>
          <w:tcPr>
            <w:tcW w:w="1774" w:type="dxa"/>
            <w:noWrap/>
            <w:vAlign w:val="top"/>
          </w:tcPr>
          <w:p>
            <w:pPr>
              <w:pStyle w:val="TableText"/>
              <w:jc w:val="left"/>
            </w:pPr>
            <w:r>
              <w:t xml:space="preserve">Maker-checker</w:t>
            </w:r>
          </w:p>
        </w:tc>
        <w:tc>
          <w:tcPr>
            <w:tcW w:w="7253" w:type="dxa"/>
            <w:vAlign w:val="top"/>
          </w:tcPr>
          <w:p>
            <w:pPr>
              <w:pStyle w:val="TableText"/>
              <w:jc w:val="left"/>
            </w:pPr>
            <w:r>
              <w:t xml:space="preserve">Four-eyes control: one person drafts a change and a different person approves it</w:t>
            </w:r>
          </w:p>
        </w:tc>
      </w:tr>
      <w:tr>
        <w:trPr>
          <w:cantSplit/>
        </w:trPr>
        <w:tc>
          <w:tcPr>
            <w:tcW w:w="1774" w:type="dxa"/>
            <w:shd w:val="clear" w:color="auto" w:fill="F4F7FB"/>
            <w:vAlign w:val="top"/>
          </w:tcPr>
          <w:p>
            <w:pPr>
              <w:pStyle w:val="TableText"/>
              <w:jc w:val="left"/>
            </w:pPr>
            <w:r>
              <w:t xml:space="preserve">SIT and UAT</w:t>
            </w:r>
          </w:p>
        </w:tc>
        <w:tc>
          <w:tcPr>
            <w:tcW w:w="7253" w:type="dxa"/>
            <w:shd w:val="clear" w:color="auto" w:fill="F4F7FB"/>
            <w:vAlign w:val="top"/>
          </w:tcPr>
          <w:p>
            <w:pPr>
              <w:pStyle w:val="TableText"/>
              <w:jc w:val="left"/>
            </w:pPr>
            <w:r>
              <w:t xml:space="preserve">System integration testing and user acceptance testing</w:t>
            </w:r>
          </w:p>
        </w:tc>
      </w:tr>
      <w:tr>
        <w:trPr>
          <w:cantSplit/>
        </w:trPr>
        <w:tc>
          <w:tcPr>
            <w:tcW w:w="1774" w:type="dxa"/>
            <w:vAlign w:val="top"/>
          </w:tcPr>
          <w:p>
            <w:pPr>
              <w:pStyle w:val="TableText"/>
              <w:jc w:val="left"/>
            </w:pPr>
            <w:r>
              <w:t xml:space="preserve">RPO and RTO</w:t>
            </w:r>
          </w:p>
        </w:tc>
        <w:tc>
          <w:tcPr>
            <w:tcW w:w="7253" w:type="dxa"/>
            <w:vAlign w:val="top"/>
          </w:tcPr>
          <w:p>
            <w:pPr>
              <w:pStyle w:val="TableText"/>
              <w:jc w:val="left"/>
            </w:pPr>
            <w:r>
              <w:t xml:space="preserve">Recovery point objective (maximum data loss) and recovery time objective (maximum downtime)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3" w:name="_Toc300000079"/>
      <w:r>
        <w:rPr>
          <w:rStyle w:val="BookTitle"/>
          <w:bCs w:val="0"/>
          <w:i w:val="0"/>
          <w:iCs w:val="0"/>
          <w:spacing w:val="0"/>
        </w:rPr>
        <w:t xml:space="preserve">Supporting documents</w:t>
      </w:r>
      <w:bookmarkEnd w:id="83"/>
    </w:p>
    <w:p>
      <w:pPr>
        <w:pStyle w:val="FirstParagraph"/>
      </w:pPr>
      <w:r>
        <w:t xml:space="preserve">The proposal is accompanied by 38 supporting documents in Word, all in the iorta TechNXT document format. TGP-00 Document Register describes each one.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64"/>
        <w:gridCol w:w="7363"/>
      </w:tblGrid>
      <w:tr>
        <w:trPr>
          <w:cantSplit/>
          <w:tblHeader/>
        </w:trPr>
        <w:tc>
          <w:tcPr>
            <w:tcW w:w="1664" w:type="dxa"/>
            <w:shd w:val="clear" w:color="auto" w:fill="0F4761"/>
            <w:vAlign w:val="center"/>
          </w:tcPr>
          <w:p>
            <w:pPr>
              <w:pStyle w:val="TableHeading"/>
              <w:jc w:val="left"/>
            </w:pPr>
            <w:r>
              <w:rPr>
                <w:color w:val="FFFFFF"/>
              </w:rPr>
              <w:t xml:space="preserve">Area</w:t>
            </w:r>
          </w:p>
        </w:tc>
        <w:tc>
          <w:tcPr>
            <w:tcW w:w="7363" w:type="dxa"/>
            <w:shd w:val="clear" w:color="auto" w:fill="0F4761"/>
            <w:vAlign w:val="center"/>
          </w:tcPr>
          <w:p>
            <w:pPr>
              <w:pStyle w:val="TableHeading"/>
              <w:jc w:val="left"/>
            </w:pPr>
            <w:r>
              <w:rPr>
                <w:color w:val="FFFFFF"/>
              </w:rPr>
              <w:t xml:space="preserve">Documents</w:t>
            </w:r>
          </w:p>
        </w:tc>
      </w:tr>
      <w:tr>
        <w:trPr>
          <w:cantSplit/>
        </w:trPr>
        <w:tc>
          <w:tcPr>
            <w:tcW w:w="1664" w:type="dxa"/>
            <w:vAlign w:val="top"/>
          </w:tcPr>
          <w:p>
            <w:pPr>
              <w:pStyle w:val="TableText"/>
              <w:jc w:val="left"/>
            </w:pPr>
            <w:r>
              <w:t xml:space="preserve">Register</w:t>
            </w:r>
          </w:p>
        </w:tc>
        <w:tc>
          <w:tcPr>
            <w:tcW w:w="7363" w:type="dxa"/>
            <w:vAlign w:val="top"/>
          </w:tcPr>
          <w:p>
            <w:pPr>
              <w:pStyle w:val="TableText"/>
              <w:jc w:val="left"/>
            </w:pPr>
            <w:r>
              <w:t xml:space="preserve">TGP-00 Document Register</w:t>
            </w:r>
          </w:p>
        </w:tc>
      </w:tr>
      <w:tr>
        <w:trPr>
          <w:cantSplit/>
        </w:trPr>
        <w:tc>
          <w:tcPr>
            <w:tcW w:w="1664" w:type="dxa"/>
            <w:shd w:val="clear" w:color="auto" w:fill="F4F7FB"/>
            <w:vAlign w:val="top"/>
          </w:tcPr>
          <w:p>
            <w:pPr>
              <w:pStyle w:val="TableText"/>
              <w:jc w:val="left"/>
            </w:pPr>
            <w:r>
              <w:t xml:space="preserve">Business</w:t>
            </w:r>
          </w:p>
        </w:tc>
        <w:tc>
          <w:tcPr>
            <w:tcW w:w="7363" w:type="dxa"/>
            <w:shd w:val="clear" w:color="auto" w:fill="F4F7FB"/>
            <w:vAlign w:val="top"/>
          </w:tcPr>
          <w:p>
            <w:pPr>
              <w:pStyle w:val="TableText"/>
              <w:jc w:val="left"/>
            </w:pPr>
            <w:r>
              <w:t xml:space="preserve">TGP-BUS-01 Business Context and Growth Strategy; TGP-BUS-02 Functional Requirements Specification; TGP-BUS-03 Non-Functional Requirements; TGP-BUS-04 User Stories and Acceptance Criteria; TGP-BUS-05 Requirements Traceability Matrix; TGP-BUS-06 Personas and Customer Journeys; TGP-BUS-07 Commercials and Engagement Model</w:t>
            </w:r>
          </w:p>
        </w:tc>
      </w:tr>
      <w:tr>
        <w:trPr>
          <w:cantSplit/>
        </w:trPr>
        <w:tc>
          <w:tcPr>
            <w:tcW w:w="1664" w:type="dxa"/>
            <w:vAlign w:val="top"/>
          </w:tcPr>
          <w:p>
            <w:pPr>
              <w:pStyle w:val="TableText"/>
              <w:jc w:val="left"/>
            </w:pPr>
            <w:r>
              <w:t xml:space="preserve">Architecture</w:t>
            </w:r>
          </w:p>
        </w:tc>
        <w:tc>
          <w:tcPr>
            <w:tcW w:w="7363" w:type="dxa"/>
            <w:vAlign w:val="top"/>
          </w:tcPr>
          <w:p>
            <w:pPr>
              <w:pStyle w:val="TableText"/>
              <w:jc w:val="left"/>
            </w:pPr>
            <w:r>
              <w:t xml:space="preserve">TGP-ARC-01 Solution Architecture; TGP-ARC-02 Integration Architecture; TGP-ARC-03 Data Architecture; TGP-ARC-04 Security Architecture; TGP-ARC-05 Deployment and Infrastructure Architecture; TGP-ARC-06 AI Governance; TGP-ARC-07 Architecture Decision Records</w:t>
            </w:r>
          </w:p>
        </w:tc>
      </w:tr>
      <w:tr>
        <w:trPr>
          <w:cantSplit/>
        </w:trPr>
        <w:tc>
          <w:tcPr>
            <w:tcW w:w="1664" w:type="dxa"/>
            <w:shd w:val="clear" w:color="auto" w:fill="F4F7FB"/>
            <w:vAlign w:val="top"/>
          </w:tcPr>
          <w:p>
            <w:pPr>
              <w:pStyle w:val="TableText"/>
              <w:jc w:val="left"/>
            </w:pPr>
            <w:r>
              <w:t xml:space="preserve">Quality</w:t>
            </w:r>
          </w:p>
        </w:tc>
        <w:tc>
          <w:tcPr>
            <w:tcW w:w="7363" w:type="dxa"/>
            <w:shd w:val="clear" w:color="auto" w:fill="F4F7FB"/>
            <w:vAlign w:val="top"/>
          </w:tcPr>
          <w:p>
            <w:pPr>
              <w:pStyle w:val="TableText"/>
              <w:jc w:val="left"/>
            </w:pPr>
            <w:r>
              <w:t xml:space="preserve">TGP-QA-01 Test Strategy; TGP-QA-02 Test Case Catalogue (with the test cases and results workbook); TGP-QA-03 Performance and Capacity Test Plan; TGP-QA-04 User Acceptance Test Plan</w:t>
            </w:r>
          </w:p>
        </w:tc>
      </w:tr>
      <w:tr>
        <w:trPr>
          <w:cantSplit/>
        </w:trPr>
        <w:tc>
          <w:tcPr>
            <w:tcW w:w="1664" w:type="dxa"/>
            <w:vAlign w:val="top"/>
          </w:tcPr>
          <w:p>
            <w:pPr>
              <w:pStyle w:val="TableText"/>
              <w:jc w:val="left"/>
            </w:pPr>
            <w:r>
              <w:t xml:space="preserve">Operations</w:t>
            </w:r>
          </w:p>
        </w:tc>
        <w:tc>
          <w:tcPr>
            <w:tcW w:w="7363" w:type="dxa"/>
            <w:vAlign w:val="top"/>
          </w:tcPr>
          <w:p>
            <w:pPr>
              <w:pStyle w:val="TableText"/>
              <w:jc w:val="left"/>
            </w:pPr>
            <w:r>
              <w:t xml:space="preserve">TGP-OPS-01 Runbook and Support Guide; TGP-OPS-02 Monitoring and Alerting; TGP-OPS-03 Disaster Recovery and Business Continuity Plan; TGP-OPS-04 Production Readiness Checklist; TGP-OPS-05 Go-Live and Hypercare Plan; TGP-OPS-06 Release and Change Management</w:t>
            </w:r>
          </w:p>
        </w:tc>
      </w:tr>
      <w:tr>
        <w:trPr>
          <w:cantSplit/>
        </w:trPr>
        <w:tc>
          <w:tcPr>
            <w:tcW w:w="1664" w:type="dxa"/>
            <w:shd w:val="clear" w:color="auto" w:fill="F4F7FB"/>
            <w:vAlign w:val="top"/>
          </w:tcPr>
          <w:p>
            <w:pPr>
              <w:pStyle w:val="TableText"/>
              <w:jc w:val="left"/>
            </w:pPr>
            <w:r>
              <w:t xml:space="preserve">Delivery</w:t>
            </w:r>
          </w:p>
        </w:tc>
        <w:tc>
          <w:tcPr>
            <w:tcW w:w="7363" w:type="dxa"/>
            <w:shd w:val="clear" w:color="auto" w:fill="F4F7FB"/>
            <w:vAlign w:val="top"/>
          </w:tcPr>
          <w:p>
            <w:pPr>
              <w:pStyle w:val="TableText"/>
              <w:jc w:val="left"/>
            </w:pPr>
            <w:r>
              <w:t xml:space="preserve">TGP-DEL-01 Project Plan; TGP-DEL-02 Delivery Methodology; TGP-DEL-03 RACI Matrix; TGP-DEL-04 Risk Register; TGP-DEL-05 Knowledge Transfer Plan; TGP-DEL-06 Organisational Change and Training Plan</w:t>
            </w:r>
          </w:p>
        </w:tc>
      </w:tr>
      <w:tr>
        <w:trPr>
          <w:cantSplit/>
        </w:trPr>
        <w:tc>
          <w:tcPr>
            <w:tcW w:w="1664" w:type="dxa"/>
            <w:vAlign w:val="top"/>
          </w:tcPr>
          <w:p>
            <w:pPr>
              <w:pStyle w:val="TableText"/>
              <w:jc w:val="left"/>
            </w:pPr>
            <w:r>
              <w:t xml:space="preserve">User experience</w:t>
            </w:r>
          </w:p>
        </w:tc>
        <w:tc>
          <w:tcPr>
            <w:tcW w:w="7363" w:type="dxa"/>
            <w:vAlign w:val="top"/>
          </w:tcPr>
          <w:p>
            <w:pPr>
              <w:pStyle w:val="TableText"/>
              <w:jc w:val="left"/>
            </w:pPr>
            <w:r>
              <w:t xml:space="preserve">TGP-UX-01 Design System; TGP-UX-02 UX Standards and Accessibility; TGP-UX-03 Information Architecture and Navigation; TGP-UX-04 Usability Testing Plan</w:t>
            </w:r>
          </w:p>
        </w:tc>
      </w:tr>
      <w:tr>
        <w:trPr>
          <w:cantSplit/>
        </w:trPr>
        <w:tc>
          <w:tcPr>
            <w:tcW w:w="1664" w:type="dxa"/>
            <w:shd w:val="clear" w:color="auto" w:fill="F4F7FB"/>
            <w:vAlign w:val="top"/>
          </w:tcPr>
          <w:p>
            <w:pPr>
              <w:pStyle w:val="TableText"/>
              <w:jc w:val="left"/>
            </w:pPr>
            <w:r>
              <w:t xml:space="preserve">Manuals</w:t>
            </w:r>
          </w:p>
        </w:tc>
        <w:tc>
          <w:tcPr>
            <w:tcW w:w="7363" w:type="dxa"/>
            <w:shd w:val="clear" w:color="auto" w:fill="F4F7FB"/>
            <w:vAlign w:val="top"/>
          </w:tcPr>
          <w:p>
            <w:pPr>
              <w:pStyle w:val="TableText"/>
              <w:jc w:val="left"/>
            </w:pPr>
            <w:r>
              <w:t xml:space="preserve">TGP-MAN-01 Staff Console User Manual; TGP-MAN-02 Customer App Guide; TGP-MAN-03 Partner API Integration Guide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84" w:name="_Toc300000080"/>
      <w:r>
        <w:rPr>
          <w:rStyle w:val="BookTitle"/>
          <w:bCs w:val="0"/>
          <w:i w:val="0"/>
          <w:iCs w:val="0"/>
          <w:spacing w:val="0"/>
        </w:rPr>
        <w:t xml:space="preserve">Sign-Off</w:t>
      </w:r>
      <w:bookmarkEnd w:id="8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887"/>
        <w:gridCol w:w="2196"/>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887"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196"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88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Core integration path (rating API or interim tariff tables) agreed</w:t>
            </w:r>
          </w:p>
        </w:tc>
        <w:tc>
          <w:tcPr>
            <w:tcW w:w="219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and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88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Regulatory positions in section 5.4 confirmed</w:t>
            </w:r>
          </w:p>
        </w:tc>
        <w:tc>
          <w:tcPr>
            <w:tcW w:w="219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88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VETC data sharing, app web view and wallet interfaces committed</w:t>
            </w:r>
          </w:p>
        </w:tc>
        <w:tc>
          <w:tcPr>
            <w:tcW w:w="219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488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Pilot provinces, cohort size and control group agreed</w:t>
            </w:r>
          </w:p>
        </w:tc>
        <w:tc>
          <w:tcPr>
            <w:tcW w:w="219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and VETC sponsors</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488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Commercial terms and payment milestones accepted</w:t>
            </w:r>
          </w:p>
        </w:tc>
        <w:tc>
          <w:tcPr>
            <w:tcW w:w="219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Procurement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123"/>
        <w:gridCol w:w="1767"/>
        <w:gridCol w:w="2496"/>
        <w:gridCol w:w="3641"/>
      </w:tblGrid>
      <w:tr w:rsidR="002B183A" w14:paraId="731A77C7" w14:textId="77777777" w:rsidTr="002923F3">
        <w:trPr>
          <w:cantSplit/>
          <w:trHeight w:val="440"/>
          <w:tblHeader/>
        </w:trPr>
        <w:tc>
          <w:tcPr>
            <w:tcW w:w="1123"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767"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496"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41"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12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6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496"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41"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Managing Director</w:t>
            </w:r>
          </w:p>
        </w:tc>
      </w:tr>
      <w:tr w:rsidR="002B183A" w:rsidRPr="00BB346A" w14:paraId="2AD1806B" w14:textId="77777777" w:rsidTr="002923F3">
        <w:trPr>
          <w:cantSplit/>
          <w:trHeight w:val="760"/>
        </w:trPr>
        <w:tc>
          <w:tcPr>
            <w:tcW w:w="112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6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496"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41"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Delivery Director</w:t>
            </w:r>
          </w:p>
        </w:tc>
      </w:tr>
      <w:tr w:rsidR="002B183A" w:rsidRPr="00BB346A" w14:paraId="2AD1806B" w14:textId="77777777" w:rsidTr="002923F3">
        <w:trPr>
          <w:cantSplit/>
          <w:trHeight w:val="760"/>
        </w:trPr>
        <w:tc>
          <w:tcPr>
            <w:tcW w:w="112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6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496"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41"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Engagement Lead</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hyperlink" Target="mailto:info@baohiemtasco.vn" TargetMode="External"/><Relationship Id="rIdG2" Type="http://schemas.openxmlformats.org/officeDocument/2006/relationships/image" Target="media/body_001.png"/><Relationship Id="rIdG3" Type="http://schemas.openxmlformats.org/officeDocument/2006/relationships/image" Target="media/body_002.png"/><Relationship Id="rIdG4" Type="http://schemas.openxmlformats.org/officeDocument/2006/relationships/image" Target="media/body_003.png"/><Relationship Id="rIdG5" Type="http://schemas.openxmlformats.org/officeDocument/2006/relationships/image" Target="media/body_004.png"/><Relationship Id="rIdG6" Type="http://schemas.openxmlformats.org/officeDocument/2006/relationships/image" Target="media/body_005.png"/><Relationship Id="rIdG7" Type="http://schemas.openxmlformats.org/officeDocument/2006/relationships/image" Target="media/body_006.png"/><Relationship Id="rIdG8" Type="http://schemas.openxmlformats.org/officeDocument/2006/relationships/image" Target="media/body_007.png"/><Relationship Id="rIdG9" Type="http://schemas.openxmlformats.org/officeDocument/2006/relationships/image" Target="media/body_008.png"/><Relationship Id="rIdG10" Type="http://schemas.openxmlformats.org/officeDocument/2006/relationships/image" Target="media/body_009.png"/><Relationship Id="rIdG11" Type="http://schemas.openxmlformats.org/officeDocument/2006/relationships/image" Target="media/body_010.png"/><Relationship Id="rIdG12" Type="http://schemas.openxmlformats.org/officeDocument/2006/relationships/image" Target="media/body_011.png"/><Relationship Id="rIdG13" Type="http://schemas.openxmlformats.org/officeDocument/2006/relationships/image" Target="media/body_012.png"/><Relationship Id="rIdG14" Type="http://schemas.openxmlformats.org/officeDocument/2006/relationships/image" Target="media/body_013.png"/><Relationship Id="rIdG15" Type="http://schemas.openxmlformats.org/officeDocument/2006/relationships/image" Target="media/body_014.png"/><Relationship Id="rIdG16" Type="http://schemas.openxmlformats.org/officeDocument/2006/relationships/image" Target="media/body_015.png"/><Relationship Id="rIdG17" Type="http://schemas.openxmlformats.org/officeDocument/2006/relationships/image" Target="media/body_016.png"/><Relationship Id="rIdG18" Type="http://schemas.openxmlformats.org/officeDocument/2006/relationships/image" Target="media/body_017.png"/><Relationship Id="rIdG19" Type="http://schemas.openxmlformats.org/officeDocument/2006/relationships/image" Target="media/body_018.png"/><Relationship Id="rIdG20" Type="http://schemas.openxmlformats.org/officeDocument/2006/relationships/image" Target="media/body_019.png"/><Relationship Id="rIdG21" Type="http://schemas.openxmlformats.org/officeDocument/2006/relationships/image" Target="media/body_020.png"/><Relationship Id="rIdG22" Type="http://schemas.openxmlformats.org/officeDocument/2006/relationships/image" Target="media/body_021.png"/><Relationship Id="rIdG23" Type="http://schemas.openxmlformats.org/officeDocument/2006/relationships/image" Target="media/body_022.png"/><Relationship Id="rIdG24" Type="http://schemas.openxmlformats.org/officeDocument/2006/relationships/image" Target="media/body_023.png"/><Relationship Id="rIdG25" Type="http://schemas.openxmlformats.org/officeDocument/2006/relationships/image" Target="media/body_024.png"/><Relationship Id="rIdG26" Type="http://schemas.openxmlformats.org/officeDocument/2006/relationships/image" Target="media/body_025.png"/><Relationship Id="rIdG27" Type="http://schemas.openxmlformats.org/officeDocument/2006/relationships/image" Target="media/body_026.png"/><Relationship Id="rIdG28" Type="http://schemas.openxmlformats.org/officeDocument/2006/relationships/image" Target="media/body_027.png"/><Relationship Id="rIdG29" Type="http://schemas.openxmlformats.org/officeDocument/2006/relationships/image" Target="media/body_028.png"/><Relationship Id="rIdG30" Type="http://schemas.openxmlformats.org/officeDocument/2006/relationships/image" Target="media/body_029.png"/><Relationship Id="rIdG31" Type="http://schemas.openxmlformats.org/officeDocument/2006/relationships/image" Target="media/body_030.png"/><Relationship Id="rIdG32" Type="http://schemas.openxmlformats.org/officeDocument/2006/relationships/image" Target="media/body_03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the TASCO Motor Insurance Growth Platform</dc:title>
  <dc:subject>ITN-TASCO-2026-001</dc:subject>
  <dc:creator>iorta TechNXT</dc:creator>
  <cp:keywords>ITN-TASCO-2026-001; TASCO Insurance; iorta TechNXT</cp:keywords>
  <dc:description>Prepared for TASCO Insurance, in partnership with VETC</dc:description>
  <cp:lastModifiedBy>iorta TechNXT</cp:lastModifiedBy>
  <cp:revision>1</cp:revision>
  <dcterms:created xsi:type="dcterms:W3CDTF">2026-10-08T02:24:07Z</dcterms:created>
  <dcterms:modified xsi:type="dcterms:W3CDTF">2026-10-08T02:24:07Z</dcterms:modified>
</cp:coreProperties>
</file>