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TGP-QA-01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Test Strategy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Sandbox and production</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1"/>
      </w:pPr>
      <w:hyperlink w:anchor="_Toc300000005" w:history="1">
        <w:r>
          <w:rPr>
            <w:noProof/>
          </w:rPr>
          <w:t>4.</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4.1.</w:t>
        </w:r>
        <w:r>
          <w:rPr>
            <w:noProof/>
          </w:rPr>
          <w:tab/>
        </w:r>
        <w:r>
          <w:rPr>
            <w:noProof/>
          </w:rPr>
          <w:t xml:space="preserve">In scope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4.2.</w:t>
        </w:r>
        <w:r>
          <w:rPr>
            <w:noProof/>
          </w:rPr>
          <w:tab/>
        </w:r>
        <w:r>
          <w:rPr>
            <w:noProof/>
          </w:rPr>
          <w:t xml:space="preserve">Out of scope</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6</w:t>
        </w:r>
        <w:r>
          <w:rPr>
            <w:noProof/>
            <w:webHidden/>
          </w:rPr>
          <w:fldChar w:fldCharType="end"/>
        </w:r>
      </w:hyperlink>
    </w:p>
    <w:p>
      <w:pPr>
        <w:pStyle w:val="TOC1"/>
      </w:pPr>
      <w:hyperlink w:anchor="_Toc300000008" w:history="1">
        <w:r>
          <w:rPr>
            <w:noProof/>
          </w:rPr>
          <w:t>5.</w:t>
        </w:r>
        <w:r>
          <w:rPr>
            <w:noProof/>
          </w:rPr>
          <w:tab/>
        </w:r>
        <w:r>
          <w:rPr>
            <w:noProof/>
          </w:rPr>
          <w:t xml:space="preserve">Test approach</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7</w:t>
        </w:r>
        <w:r>
          <w:rPr>
            <w:noProof/>
            <w:webHidden/>
          </w:rPr>
          <w:fldChar w:fldCharType="end"/>
        </w:r>
      </w:hyperlink>
    </w:p>
    <w:p>
      <w:pPr>
        <w:pStyle w:val="TOC2"/>
      </w:pPr>
      <w:hyperlink w:anchor="_Toc300000009" w:history="1">
        <w:r>
          <w:rPr>
            <w:noProof/>
          </w:rPr>
          <w:t>5.1.</w:t>
        </w:r>
        <w:r>
          <w:rPr>
            <w:noProof/>
          </w:rPr>
          <w:tab/>
        </w:r>
        <w:r>
          <w:rPr>
            <w:noProof/>
          </w:rPr>
          <w:t xml:space="preserve">Unit tests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7</w:t>
        </w:r>
        <w:r>
          <w:rPr>
            <w:noProof/>
            <w:webHidden/>
          </w:rPr>
          <w:fldChar w:fldCharType="end"/>
        </w:r>
      </w:hyperlink>
    </w:p>
    <w:p>
      <w:pPr>
        <w:pStyle w:val="TOC2"/>
      </w:pPr>
      <w:hyperlink w:anchor="_Toc300000010" w:history="1">
        <w:r>
          <w:rPr>
            <w:noProof/>
          </w:rPr>
          <w:t>5.2.</w:t>
        </w:r>
        <w:r>
          <w:rPr>
            <w:noProof/>
          </w:rPr>
          <w:tab/>
        </w:r>
        <w:r>
          <w:rPr>
            <w:noProof/>
          </w:rPr>
          <w:t xml:space="preserve">Integration tests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8</w:t>
        </w:r>
        <w:r>
          <w:rPr>
            <w:noProof/>
            <w:webHidden/>
          </w:rPr>
          <w:fldChar w:fldCharType="end"/>
        </w:r>
      </w:hyperlink>
    </w:p>
    <w:p>
      <w:pPr>
        <w:pStyle w:val="TOC2"/>
      </w:pPr>
      <w:hyperlink w:anchor="_Toc300000011" w:history="1">
        <w:r>
          <w:rPr>
            <w:noProof/>
          </w:rPr>
          <w:t>5.3.</w:t>
        </w:r>
        <w:r>
          <w:rPr>
            <w:noProof/>
          </w:rPr>
          <w:tab/>
        </w:r>
        <w:r>
          <w:rPr>
            <w:noProof/>
          </w:rPr>
          <w:t xml:space="preserve">API and contract tests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8</w:t>
        </w:r>
        <w:r>
          <w:rPr>
            <w:noProof/>
            <w:webHidden/>
          </w:rPr>
          <w:fldChar w:fldCharType="end"/>
        </w:r>
      </w:hyperlink>
    </w:p>
    <w:p>
      <w:pPr>
        <w:pStyle w:val="TOC2"/>
      </w:pPr>
      <w:hyperlink w:anchor="_Toc300000012" w:history="1">
        <w:r>
          <w:rPr>
            <w:noProof/>
          </w:rPr>
          <w:t>5.4.</w:t>
        </w:r>
        <w:r>
          <w:rPr>
            <w:noProof/>
          </w:rPr>
          <w:tab/>
        </w:r>
        <w:r>
          <w:rPr>
            <w:noProof/>
          </w:rPr>
          <w:t xml:space="preserve">Functional acceptance tests</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8</w:t>
        </w:r>
        <w:r>
          <w:rPr>
            <w:noProof/>
            <w:webHidden/>
          </w:rPr>
          <w:fldChar w:fldCharType="end"/>
        </w:r>
      </w:hyperlink>
    </w:p>
    <w:p>
      <w:pPr>
        <w:pStyle w:val="TOC2"/>
      </w:pPr>
      <w:hyperlink w:anchor="_Toc300000013" w:history="1">
        <w:r>
          <w:rPr>
            <w:noProof/>
          </w:rPr>
          <w:t>5.5.</w:t>
        </w:r>
        <w:r>
          <w:rPr>
            <w:noProof/>
          </w:rPr>
          <w:tab/>
        </w:r>
        <w:r>
          <w:rPr>
            <w:noProof/>
          </w:rPr>
          <w:t xml:space="preserve">System integration testing</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8</w:t>
        </w:r>
        <w:r>
          <w:rPr>
            <w:noProof/>
            <w:webHidden/>
          </w:rPr>
          <w:fldChar w:fldCharType="end"/>
        </w:r>
      </w:hyperlink>
    </w:p>
    <w:p>
      <w:pPr>
        <w:pStyle w:val="TOC2"/>
      </w:pPr>
      <w:hyperlink w:anchor="_Toc300000014" w:history="1">
        <w:r>
          <w:rPr>
            <w:noProof/>
          </w:rPr>
          <w:t>5.6.</w:t>
        </w:r>
        <w:r>
          <w:rPr>
            <w:noProof/>
          </w:rPr>
          <w:tab/>
        </w:r>
        <w:r>
          <w:rPr>
            <w:noProof/>
          </w:rPr>
          <w:t xml:space="preserve">User acceptance testing</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9</w:t>
        </w:r>
        <w:r>
          <w:rPr>
            <w:noProof/>
            <w:webHidden/>
          </w:rPr>
          <w:fldChar w:fldCharType="end"/>
        </w:r>
      </w:hyperlink>
    </w:p>
    <w:p>
      <w:pPr>
        <w:pStyle w:val="TOC2"/>
      </w:pPr>
      <w:hyperlink w:anchor="_Toc300000015" w:history="1">
        <w:r>
          <w:rPr>
            <w:noProof/>
          </w:rPr>
          <w:t>5.7.</w:t>
        </w:r>
        <w:r>
          <w:rPr>
            <w:noProof/>
          </w:rPr>
          <w:tab/>
        </w:r>
        <w:r>
          <w:rPr>
            <w:noProof/>
          </w:rPr>
          <w:t xml:space="preserve">Non-functional testing</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9</w:t>
        </w:r>
        <w:r>
          <w:rPr>
            <w:noProof/>
            <w:webHidden/>
          </w:rPr>
          <w:fldChar w:fldCharType="end"/>
        </w:r>
      </w:hyperlink>
    </w:p>
    <w:p>
      <w:pPr>
        <w:pStyle w:val="TOC2"/>
      </w:pPr>
      <w:hyperlink w:anchor="_Toc300000016" w:history="1">
        <w:r>
          <w:rPr>
            <w:noProof/>
          </w:rPr>
          <w:t>5.8.</w:t>
        </w:r>
        <w:r>
          <w:rPr>
            <w:noProof/>
          </w:rPr>
          <w:tab/>
        </w:r>
        <w:r>
          <w:rPr>
            <w:noProof/>
          </w:rPr>
          <w:t xml:space="preserve">Security testing</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2"/>
      </w:pPr>
      <w:hyperlink w:anchor="_Toc300000017" w:history="1">
        <w:r>
          <w:rPr>
            <w:noProof/>
          </w:rPr>
          <w:t>5.9.</w:t>
        </w:r>
        <w:r>
          <w:rPr>
            <w:noProof/>
          </w:rPr>
          <w:tab/>
        </w:r>
        <w:r>
          <w:rPr>
            <w:noProof/>
          </w:rPr>
          <w:t xml:space="preserve">Resilience testing</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11</w:t>
        </w:r>
        <w:r>
          <w:rPr>
            <w:noProof/>
            <w:webHidden/>
          </w:rPr>
          <w:fldChar w:fldCharType="end"/>
        </w:r>
      </w:hyperlink>
    </w:p>
    <w:p>
      <w:pPr>
        <w:pStyle w:val="TOC2"/>
      </w:pPr>
      <w:hyperlink w:anchor="_Toc300000018" w:history="1">
        <w:r>
          <w:rPr>
            <w:noProof/>
          </w:rPr>
          <w:t>5.10.</w:t>
        </w:r>
        <w:r>
          <w:rPr>
            <w:noProof/>
          </w:rPr>
          <w:tab/>
        </w:r>
        <w:r>
          <w:rPr>
            <w:noProof/>
          </w:rPr>
          <w:t xml:space="preserve">Accessibility and localisation</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11</w:t>
        </w:r>
        <w:r>
          <w:rPr>
            <w:noProof/>
            <w:webHidden/>
          </w:rPr>
          <w:fldChar w:fldCharType="end"/>
        </w:r>
      </w:hyperlink>
    </w:p>
    <w:p>
      <w:pPr>
        <w:pStyle w:val="TOC2"/>
      </w:pPr>
      <w:hyperlink w:anchor="_Toc300000019" w:history="1">
        <w:r>
          <w:rPr>
            <w:noProof/>
          </w:rPr>
          <w:t>5.11.</w:t>
        </w:r>
        <w:r>
          <w:rPr>
            <w:noProof/>
          </w:rPr>
          <w:tab/>
        </w:r>
        <w:r>
          <w:rPr>
            <w:noProof/>
          </w:rPr>
          <w:t xml:space="preserve">Compliance testing</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12</w:t>
        </w:r>
        <w:r>
          <w:rPr>
            <w:noProof/>
            <w:webHidden/>
          </w:rPr>
          <w:fldChar w:fldCharType="end"/>
        </w:r>
      </w:hyperlink>
    </w:p>
    <w:p>
      <w:pPr>
        <w:pStyle w:val="TOC2"/>
      </w:pPr>
      <w:hyperlink w:anchor="_Toc300000020" w:history="1">
        <w:r>
          <w:rPr>
            <w:noProof/>
          </w:rPr>
          <w:t>5.12.</w:t>
        </w:r>
        <w:r>
          <w:rPr>
            <w:noProof/>
          </w:rPr>
          <w:tab/>
        </w:r>
        <w:r>
          <w:rPr>
            <w:noProof/>
          </w:rPr>
          <w:t xml:space="preserve">Data quality, reconciliation and migration</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12</w:t>
        </w:r>
        <w:r>
          <w:rPr>
            <w:noProof/>
            <w:webHidden/>
          </w:rPr>
          <w:fldChar w:fldCharType="end"/>
        </w:r>
      </w:hyperlink>
    </w:p>
    <w:p>
      <w:pPr>
        <w:pStyle w:val="TOC1"/>
      </w:pPr>
      <w:hyperlink w:anchor="_Toc300000021" w:history="1">
        <w:r>
          <w:rPr>
            <w:noProof/>
          </w:rPr>
          <w:t>6.</w:t>
        </w:r>
        <w:r>
          <w:rPr>
            <w:noProof/>
          </w:rPr>
          <w:tab/>
        </w:r>
        <w:r>
          <w:rPr>
            <w:noProof/>
          </w:rPr>
          <w:t xml:space="preserve">Automation and regression</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13</w:t>
        </w:r>
        <w:r>
          <w:rPr>
            <w:noProof/>
            <w:webHidden/>
          </w:rPr>
          <w:fldChar w:fldCharType="end"/>
        </w:r>
      </w:hyperlink>
    </w:p>
    <w:p>
      <w:pPr>
        <w:pStyle w:val="TOC2"/>
      </w:pPr>
      <w:hyperlink w:anchor="_Toc300000022" w:history="1">
        <w:r>
          <w:rPr>
            <w:noProof/>
          </w:rPr>
          <w:t>6.1.</w:t>
        </w:r>
        <w:r>
          <w:rPr>
            <w:noProof/>
          </w:rPr>
          <w:tab/>
        </w:r>
        <w:r>
          <w:rPr>
            <w:noProof/>
          </w:rPr>
          <w:t xml:space="preserve">Automated test layers</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13</w:t>
        </w:r>
        <w:r>
          <w:rPr>
            <w:noProof/>
            <w:webHidden/>
          </w:rPr>
          <w:fldChar w:fldCharType="end"/>
        </w:r>
      </w:hyperlink>
    </w:p>
    <w:p>
      <w:pPr>
        <w:pStyle w:val="TOC2"/>
      </w:pPr>
      <w:hyperlink w:anchor="_Toc300000023" w:history="1">
        <w:r>
          <w:rPr>
            <w:noProof/>
          </w:rPr>
          <w:t>6.2.</w:t>
        </w:r>
        <w:r>
          <w:rPr>
            <w:noProof/>
          </w:rPr>
          <w:tab/>
        </w:r>
        <w:r>
          <w:rPr>
            <w:noProof/>
          </w:rPr>
          <w:t xml:space="preserve">CI gates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14</w:t>
        </w:r>
        <w:r>
          <w:rPr>
            <w:noProof/>
            <w:webHidden/>
          </w:rPr>
          <w:fldChar w:fldCharType="end"/>
        </w:r>
      </w:hyperlink>
    </w:p>
    <w:p>
      <w:pPr>
        <w:pStyle w:val="TOC2"/>
      </w:pPr>
      <w:hyperlink w:anchor="_Toc300000024" w:history="1">
        <w:r>
          <w:rPr>
            <w:noProof/>
          </w:rPr>
          <w:t>6.3.</w:t>
        </w:r>
        <w:r>
          <w:rPr>
            <w:noProof/>
          </w:rPr>
          <w:tab/>
        </w:r>
        <w:r>
          <w:rPr>
            <w:noProof/>
          </w:rPr>
          <w:t xml:space="preserve">Regression</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14</w:t>
        </w:r>
        <w:r>
          <w:rPr>
            <w:noProof/>
            <w:webHidden/>
          </w:rPr>
          <w:fldChar w:fldCharType="end"/>
        </w:r>
      </w:hyperlink>
    </w:p>
    <w:p>
      <w:pPr>
        <w:pStyle w:val="TOC1"/>
      </w:pPr>
      <w:hyperlink w:anchor="_Toc300000025" w:history="1">
        <w:r>
          <w:rPr>
            <w:noProof/>
          </w:rPr>
          <w:t>7.</w:t>
        </w:r>
        <w:r>
          <w:rPr>
            <w:noProof/>
          </w:rPr>
          <w:tab/>
        </w:r>
        <w:r>
          <w:rPr>
            <w:noProof/>
          </w:rPr>
          <w:t xml:space="preserve">Environments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15</w:t>
        </w:r>
        <w:r>
          <w:rPr>
            <w:noProof/>
            <w:webHidden/>
          </w:rPr>
          <w:fldChar w:fldCharType="end"/>
        </w:r>
      </w:hyperlink>
    </w:p>
    <w:p>
      <w:pPr>
        <w:pStyle w:val="TOC1"/>
      </w:pPr>
      <w:hyperlink w:anchor="_Toc300000026" w:history="1">
        <w:r>
          <w:rPr>
            <w:noProof/>
          </w:rPr>
          <w:t>8.</w:t>
        </w:r>
        <w:r>
          <w:rPr>
            <w:noProof/>
          </w:rPr>
          <w:tab/>
        </w:r>
        <w:r>
          <w:rPr>
            <w:noProof/>
          </w:rPr>
          <w:t xml:space="preserve">Test data management</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16</w:t>
        </w:r>
        <w:r>
          <w:rPr>
            <w:noProof/>
            <w:webHidden/>
          </w:rPr>
          <w:fldChar w:fldCharType="end"/>
        </w:r>
      </w:hyperlink>
    </w:p>
    <w:p>
      <w:pPr>
        <w:pStyle w:val="TOC1"/>
      </w:pPr>
      <w:hyperlink w:anchor="_Toc300000027" w:history="1">
        <w:r>
          <w:rPr>
            <w:noProof/>
          </w:rPr>
          <w:t>9.</w:t>
        </w:r>
        <w:r>
          <w:rPr>
            <w:noProof/>
          </w:rPr>
          <w:tab/>
        </w:r>
        <w:r>
          <w:rPr>
            <w:noProof/>
          </w:rPr>
          <w:t xml:space="preserve">Entry and exit criteria</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16</w:t>
        </w:r>
        <w:r>
          <w:rPr>
            <w:noProof/>
            <w:webHidden/>
          </w:rPr>
          <w:fldChar w:fldCharType="end"/>
        </w:r>
      </w:hyperlink>
    </w:p>
    <w:p>
      <w:pPr>
        <w:pStyle w:val="TOC1"/>
      </w:pPr>
      <w:hyperlink w:anchor="_Toc300000028" w:history="1">
        <w:r>
          <w:rPr>
            <w:noProof/>
          </w:rPr>
          <w:t>10.</w:t>
        </w:r>
        <w:r>
          <w:rPr>
            <w:noProof/>
          </w:rPr>
          <w:tab/>
        </w:r>
        <w:r>
          <w:rPr>
            <w:noProof/>
          </w:rPr>
          <w:t xml:space="preserve">Defect management</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17</w:t>
        </w:r>
        <w:r>
          <w:rPr>
            <w:noProof/>
            <w:webHidden/>
          </w:rPr>
          <w:fldChar w:fldCharType="end"/>
        </w:r>
      </w:hyperlink>
    </w:p>
    <w:p>
      <w:pPr>
        <w:pStyle w:val="TOC2"/>
      </w:pPr>
      <w:hyperlink w:anchor="_Toc300000029" w:history="1">
        <w:r>
          <w:rPr>
            <w:noProof/>
          </w:rPr>
          <w:t>10.1.</w:t>
        </w:r>
        <w:r>
          <w:rPr>
            <w:noProof/>
          </w:rPr>
          <w:tab/>
        </w:r>
        <w:r>
          <w:rPr>
            <w:noProof/>
          </w:rPr>
          <w:t xml:space="preserve">Severity</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17</w:t>
        </w:r>
        <w:r>
          <w:rPr>
            <w:noProof/>
            <w:webHidden/>
          </w:rPr>
          <w:fldChar w:fldCharType="end"/>
        </w:r>
      </w:hyperlink>
    </w:p>
    <w:p>
      <w:pPr>
        <w:pStyle w:val="TOC2"/>
      </w:pPr>
      <w:hyperlink w:anchor="_Toc300000030" w:history="1">
        <w:r>
          <w:rPr>
            <w:noProof/>
          </w:rPr>
          <w:t>10.2.</w:t>
        </w:r>
        <w:r>
          <w:rPr>
            <w:noProof/>
          </w:rPr>
          <w:tab/>
        </w:r>
        <w:r>
          <w:rPr>
            <w:noProof/>
          </w:rPr>
          <w:t xml:space="preserve">Workflow</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17</w:t>
        </w:r>
        <w:r>
          <w:rPr>
            <w:noProof/>
            <w:webHidden/>
          </w:rPr>
          <w:fldChar w:fldCharType="end"/>
        </w:r>
      </w:hyperlink>
    </w:p>
    <w:p>
      <w:pPr>
        <w:pStyle w:val="TOC1"/>
      </w:pPr>
      <w:hyperlink w:anchor="_Toc300000031" w:history="1">
        <w:r>
          <w:rPr>
            <w:noProof/>
          </w:rPr>
          <w:t>11.</w:t>
        </w:r>
        <w:r>
          <w:rPr>
            <w:noProof/>
          </w:rPr>
          <w:tab/>
        </w:r>
        <w:r>
          <w:rPr>
            <w:noProof/>
          </w:rPr>
          <w:t xml:space="preserve">Metrics</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18</w:t>
        </w:r>
        <w:r>
          <w:rPr>
            <w:noProof/>
            <w:webHidden/>
          </w:rPr>
          <w:fldChar w:fldCharType="end"/>
        </w:r>
      </w:hyperlink>
    </w:p>
    <w:p>
      <w:pPr>
        <w:pStyle w:val="TOC1"/>
      </w:pPr>
      <w:hyperlink w:anchor="_Toc300000032" w:history="1">
        <w:r>
          <w:rPr>
            <w:noProof/>
          </w:rPr>
          <w:t>12.</w:t>
        </w:r>
        <w:r>
          <w:rPr>
            <w:noProof/>
          </w:rPr>
          <w:tab/>
        </w:r>
        <w:r>
          <w:rPr>
            <w:noProof/>
          </w:rPr>
          <w:t xml:space="preserve">Roles and responsibilities</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19</w:t>
        </w:r>
        <w:r>
          <w:rPr>
            <w:noProof/>
            <w:webHidden/>
          </w:rPr>
          <w:fldChar w:fldCharType="end"/>
        </w:r>
      </w:hyperlink>
    </w:p>
    <w:p>
      <w:pPr>
        <w:pStyle w:val="TOC1"/>
      </w:pPr>
      <w:hyperlink w:anchor="_Toc300000033" w:history="1">
        <w:r>
          <w:rPr>
            <w:noProof/>
          </w:rPr>
          <w:t>13.</w:t>
        </w:r>
        <w:r>
          <w:rPr>
            <w:noProof/>
          </w:rPr>
          <w:tab/>
        </w:r>
        <w:r>
          <w:rPr>
            <w:noProof/>
          </w:rPr>
          <w:t xml:space="preserve">Current results</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19</w:t>
        </w:r>
        <w:r>
          <w:rPr>
            <w:noProof/>
            <w:webHidden/>
          </w:rPr>
          <w:fldChar w:fldCharType="end"/>
        </w:r>
      </w:hyperlink>
    </w:p>
    <w:p>
      <w:pPr>
        <w:pStyle w:val="TOC1"/>
      </w:pPr>
      <w:hyperlink w:anchor="_Toc300000034" w:history="1">
        <w:r>
          <w:rPr>
            <w:noProof/>
          </w:rPr>
          <w:t>14.</w:t>
        </w:r>
        <w:r>
          <w:rPr>
            <w:noProof/>
          </w:rPr>
          <w:tab/>
        </w:r>
        <w:r>
          <w:rPr>
            <w:noProof/>
          </w:rPr>
          <w:t xml:space="preserve">Known issues</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20</w:t>
        </w:r>
        <w:r>
          <w:rPr>
            <w:noProof/>
            <w:webHidden/>
          </w:rPr>
          <w:fldChar w:fldCharType="end"/>
        </w:r>
      </w:hyperlink>
    </w:p>
    <w:p>
      <w:pPr>
        <w:pStyle w:val="TOC1"/>
      </w:pPr>
      <w:hyperlink w:anchor="_Toc300000035" w:history="1">
        <w:r>
          <w:rPr>
            <w:noProof/>
          </w:rPr>
          <w:t>15.</w:t>
        </w:r>
        <w:r>
          <w:rPr>
            <w:noProof/>
          </w:rPr>
          <w:tab/>
        </w:r>
        <w:r>
          <w:rPr>
            <w:noProof/>
          </w:rPr>
          <w:t xml:space="preserve">Appendix</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22</w:t>
        </w:r>
        <w:r>
          <w:rPr>
            <w:noProof/>
            <w:webHidden/>
          </w:rPr>
          <w:fldChar w:fldCharType="end"/>
        </w:r>
      </w:hyperlink>
    </w:p>
    <w:p>
      <w:pPr>
        <w:pStyle w:val="TOC2"/>
      </w:pPr>
      <w:hyperlink w:anchor="_Toc300000036" w:history="1">
        <w:r>
          <w:rPr>
            <w:noProof/>
          </w:rPr>
          <w:t>15.1.</w:t>
        </w:r>
        <w:r>
          <w:rPr>
            <w:noProof/>
          </w:rPr>
          <w:tab/>
        </w:r>
        <w:r>
          <w:rPr>
            <w:noProof/>
          </w:rPr>
          <w:t xml:space="preserve">Fixed known issues</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22</w:t>
        </w:r>
        <w:r>
          <w:rPr>
            <w:noProof/>
            <w:webHidden/>
          </w:rPr>
          <w:fldChar w:fldCharType="end"/>
        </w:r>
      </w:hyperlink>
    </w:p>
    <w:p>
      <w:pPr>
        <w:pStyle w:val="TOC1"/>
      </w:pPr>
      <w:hyperlink w:anchor="_Toc300000037" w:history="1">
        <w:r>
          <w:rPr>
            <w:noProof/>
          </w:rPr>
          <w:t>16.</w:t>
        </w:r>
        <w:r>
          <w:rPr>
            <w:noProof/>
          </w:rPr>
          <w:tab/>
        </w:r>
        <w:r>
          <w:rPr>
            <w:noProof/>
          </w:rPr>
          <w:t xml:space="preserve">Sign-Off</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23</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318"/>
        <w:gridCol w:w="1015"/>
        <w:gridCol w:w="1756"/>
        <w:gridCol w:w="1427"/>
        <w:gridCol w:w="2194"/>
        <w:gridCol w:w="1317"/>
      </w:tblGrid>
      <w:tr w:rsidR="002B183A" w14:paraId="4E198CD6" w14:textId="77777777" w:rsidTr="002923F3">
        <w:trPr>
          <w:cantSplit/>
          <w:trHeight w:val="440"/>
          <w:tblHeader/>
        </w:trPr>
        <w:tc>
          <w:tcPr>
            <w:tcW w:w="131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1015"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56"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427"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194"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317"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31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1015"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56"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Quality Engineering</w:t>
            </w:r>
          </w:p>
        </w:tc>
        <w:tc>
          <w:tcPr>
            <w:tcW w:w="1427"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Quality Assurance</w:t>
            </w:r>
          </w:p>
        </w:tc>
        <w:tc>
          <w:tcPr>
            <w:tcW w:w="2194"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317"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605"/>
        <w:gridCol w:w="7422"/>
      </w:tblGrid>
      <w:tr w:rsidR="002B183A" w14:paraId="388F227F" w14:textId="77777777" w:rsidTr="002923F3">
        <w:trPr>
          <w:cantSplit/>
          <w:trHeight w:val="440"/>
          <w:tblHeader/>
        </w:trPr>
        <w:tc>
          <w:tcPr>
            <w:tcW w:w="1605"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22"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ASVS</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Security Verification Standard</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DBA</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Database Administrator</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DNC</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Do Not Contact</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DR</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Disaster Recovery</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DSAR</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Subject Access Request</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HA</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High Availability</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IDOR</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Insecure Direct Object Reference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KI</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Known Issue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MDM</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Master Data Management</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MiB</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Mebibyte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NBA</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Next Best Action</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NFT</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Non-Functional Testing</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NVDA</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NonVisual Desktop Access (screen reader)</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OAuth</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Authorization</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Worldwide Application Security Project</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PERF</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Performance test environment</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PITR</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Point-In-Time Recovery</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Pre-production environment</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RB</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Runbook procedure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REST</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Representational State Transfer</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SBOM</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Software Bill of Materials</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SOP</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Standard Operating Procedure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SRE</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Site Reliability Engineering</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TC</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Test Case</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URL</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Uniform Resource Locator</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WCAG</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Content Accessibility Guidelines</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ZAP</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Zed Attack Proxy</w:t>
            </w:r>
          </w:p>
        </w:tc>
      </w:tr>
      <w:tr w:rsidR="002B183A" w:rsidRPr="00BB346A" w14:paraId="73CFB63E" w14:textId="77777777" w:rsidTr="002923F3">
        <w:trPr>
          <w:cantSplit/>
          <w:trHeight w:val="449"/>
        </w:trPr>
        <w:tc>
          <w:tcPr>
            <w:tcW w:w="160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2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strategy sets out how the TASCO Growth Platform is tested from the first sprint to go-live: what is tested, at which level, in which environment, with which data, and what evidence each gate needs. It also records the latest execution results and the known issues found while the tests were derived.</w:t>
      </w:r>
    </w:p>
    <w:p>
      <w:pPr>
        <w:pStyle w:val="BodyText"/>
      </w:pPr>
      <w:r>
        <w:t xml:space="preserve">The system under test is</w:t>
      </w:r>
      <w:r>
        <w:t xml:space="preserve"> </w:t>
      </w:r>
      <w:r>
        <w:rPr>
          <w:rStyle w:val="CodeChar"/>
        </w:rPr>
        <w:t xml:space="preserve">tasco-growth-platform</w:t>
      </w:r>
      <w:r>
        <w:t xml:space="preserve"> </w:t>
      </w:r>
      <w:r>
        <w:t xml:space="preserve">release 1.0.0 (Node.js 22, PostgreSQL 16). The client is TASCO Insurance, with VETC as ecosystem and channel partner. iorta TechNXT owns this strategy; TASCO IT, the TASCO Business Owner, TASCO Compliance and VETC IT approve it.</w:t>
      </w:r>
    </w:p>
    <w:p>
      <w:pPr>
        <w:pStyle w:val="BodyText"/>
      </w:pPr>
      <w:r>
        <w:t xml:space="preserve">The audience is the test team, developers, TASCO IT and the Steering Committee.</w:t>
      </w:r>
    </w:p>
    <w:p>
      <w:pPr>
        <w:pStyle w:val="BodyText"/>
      </w:pPr>
      <w:r>
        <w:t xml:space="preserve">Related documents:</w:t>
      </w:r>
    </w:p>
    <w:p>
      <w:pPr>
        <w:pStyle w:val="Compact"/>
        <w:numPr>
          <w:ilvl w:val="0"/>
          <w:numId w:val="1001"/>
        </w:numPr>
      </w:pPr>
      <w:r>
        <w:t xml:space="preserve">TGP-QA-02 Test Case Catalogue (TC-001 to TC-180).</w:t>
      </w:r>
    </w:p>
    <w:p>
      <w:pPr>
        <w:pStyle w:val="Compact"/>
        <w:numPr>
          <w:ilvl w:val="0"/>
          <w:numId w:val="1001"/>
        </w:numPr>
      </w:pPr>
      <w:r>
        <w:t xml:space="preserve">TGP-QA-03 Performance and Capacity Test Plan.</w:t>
      </w:r>
    </w:p>
    <w:p>
      <w:pPr>
        <w:pStyle w:val="Compact"/>
        <w:numPr>
          <w:ilvl w:val="0"/>
          <w:numId w:val="1001"/>
        </w:numPr>
      </w:pPr>
      <w:r>
        <w:t xml:space="preserve">TGP-QA-04 User Acceptance Test Plan.</w:t>
      </w:r>
    </w:p>
    <w:p>
      <w:pPr>
        <w:pStyle w:val="Compact"/>
        <w:numPr>
          <w:ilvl w:val="0"/>
          <w:numId w:val="1001"/>
        </w:numPr>
      </w:pPr>
      <w:r>
        <w:t xml:space="preserve">TGP-OPS-04 Production Readiness Checklist and TGP-OPS-06 Release and Change Management.</w:t>
      </w:r>
    </w:p>
    <w:p>
      <w:pPr>
        <w:pStyle w:val="Compact"/>
        <w:numPr>
          <w:ilvl w:val="0"/>
          <w:numId w:val="1001"/>
        </w:numPr>
      </w:pPr>
      <w:r>
        <w:t xml:space="preserve">TGP-DEL-01 Project Plan (gates G1 to G4).</w:t>
      </w:r>
    </w:p>
    <w:p>
      <w:pPr>
        <w:pStyle w:val="Compact"/>
        <w:numPr>
          <w:ilvl w:val="0"/>
          <w:numId w:val="1001"/>
        </w:numPr>
      </w:pPr>
      <w:r>
        <w:t xml:space="preserve">TGP-ARC-02 Integration Architecture (TASCO core, VETC and channel interfaces).</w:t>
      </w:r>
    </w:p>
    <w:p>
      <w:pPr>
        <w:pStyle w:val="FirstParagraph"/>
      </w:pPr>
      <w:r>
        <w:t xml:space="preserve">The record of execution is the workbook TASCO-Test-Cases-and-Results.xlsx.</w:t>
      </w:r>
    </w:p>
    <w:p>
      <w:pPr>
        <w:pStyle w:val="Heading2"/>
      </w:pPr>
      <w:bookmarkStart w:id="8" w:name="_Toc300000004"/>
      <w:r>
        <w:t xml:space="preserve">Sandbox and production</w:t>
      </w:r>
      <w:bookmarkEnd w:id="8"/>
    </w:p>
    <w:p>
      <w:pPr>
        <w:pStyle w:val="FirstParagraph"/>
      </w:pPr>
      <w:r>
        <w:t xml:space="preserve">The repository ships sandbox adapters for the VETC wallet, TASCO core policy issuance, Zalo ZNS, SMS, app push and the voice-AI caller, and a synthetic VETC data source. For TASCO core rating and the product catalogue there is a production REST client (</w:t>
      </w:r>
      <w:r>
        <w:rPr>
          <w:rStyle w:val="CodeChar"/>
        </w:rPr>
        <w:t xml:space="preserve">tascoCoreRatingClient.js</w:t>
      </w:r>
      <w:r>
        <w:t xml:space="preserve">), tested against a local HTTP stub; UAT uses a simulated core. The client’s paths are assumptions until TASCO’s interface specification arrives.</w:t>
      </w:r>
    </w:p>
    <w:p>
      <w:pPr>
        <w:pStyle w:val="BodyText"/>
      </w:pPr>
      <w:r>
        <w:t xml:space="preserve">Unit, integration, API, security and performance results in this document were produced against these sandboxes. They are not evidence of real partner behaviour. That evidence comes from SIT and later phases, against the partner UAT endpoints, once the production adapters exist.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Scope</w:t>
      </w:r>
      <w:bookmarkEnd w:id="9"/>
    </w:p>
    <w:p>
      <w:pPr>
        <w:pStyle w:val="Heading2"/>
      </w:pPr>
      <w:bookmarkStart w:id="10" w:name="_Toc300000006"/>
      <w:r>
        <w:t xml:space="preserve">In scope</w:t>
      </w:r>
      <w:bookmarkEnd w:id="1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82"/>
        <w:gridCol w:w="3824"/>
        <w:gridCol w:w="3421"/>
      </w:tblGrid>
      <w:tr>
        <w:trPr>
          <w:cantSplit/>
          <w:tblHeader/>
        </w:trPr>
        <w:tc>
          <w:tcPr>
            <w:tcW w:w="1782" w:type="dxa"/>
            <w:shd w:val="clear" w:color="auto" w:fill="0F4761"/>
            <w:vAlign w:val="center"/>
          </w:tcPr>
          <w:p>
            <w:pPr>
              <w:pStyle w:val="TableHeading"/>
              <w:jc w:val="left"/>
            </w:pPr>
            <w:r>
              <w:rPr>
                <w:color w:val="FFFFFF"/>
              </w:rPr>
              <w:t xml:space="preserve">Area</w:t>
            </w:r>
          </w:p>
        </w:tc>
        <w:tc>
          <w:tcPr>
            <w:tcW w:w="3824" w:type="dxa"/>
            <w:shd w:val="clear" w:color="auto" w:fill="0F4761"/>
            <w:vAlign w:val="center"/>
          </w:tcPr>
          <w:p>
            <w:pPr>
              <w:pStyle w:val="TableHeading"/>
              <w:jc w:val="left"/>
            </w:pPr>
            <w:r>
              <w:rPr>
                <w:color w:val="FFFFFF"/>
              </w:rPr>
              <w:t xml:space="preserve">Main components</w:t>
            </w:r>
          </w:p>
        </w:tc>
        <w:tc>
          <w:tcPr>
            <w:tcW w:w="3421" w:type="dxa"/>
            <w:shd w:val="clear" w:color="auto" w:fill="0F4761"/>
            <w:vAlign w:val="center"/>
          </w:tcPr>
          <w:p>
            <w:pPr>
              <w:pStyle w:val="TableHeading"/>
              <w:jc w:val="left"/>
            </w:pPr>
            <w:r>
              <w:rPr>
                <w:color w:val="FFFFFF"/>
              </w:rPr>
              <w:t xml:space="preserve">Main risks tested</w:t>
            </w:r>
          </w:p>
        </w:tc>
      </w:tr>
      <w:tr>
        <w:trPr>
          <w:cantSplit/>
        </w:trPr>
        <w:tc>
          <w:tcPr>
            <w:tcW w:w="1782" w:type="dxa"/>
            <w:vAlign w:val="top"/>
          </w:tcPr>
          <w:p>
            <w:pPr>
              <w:pStyle w:val="TableText"/>
              <w:jc w:val="left"/>
            </w:pPr>
            <w:r>
              <w:t xml:space="preserve">HTTP pipeline and platform</w:t>
            </w:r>
          </w:p>
        </w:tc>
        <w:tc>
          <w:tcPr>
            <w:tcW w:w="3824" w:type="dxa"/>
            <w:vAlign w:val="top"/>
          </w:tcPr>
          <w:p>
            <w:pPr>
              <w:pStyle w:val="TableText"/>
              <w:jc w:val="left"/>
            </w:pPr>
            <w:r>
              <w:rPr>
                <w:rStyle w:val="CodeChar"/>
              </w:rPr>
              <w:t xml:space="preserve">app.js</w:t>
            </w:r>
            <w:r>
              <w:t xml:space="preserve">,</w:t>
            </w:r>
            <w:r>
              <w:t xml:space="preserve"> </w:t>
            </w:r>
            <w:r>
              <w:rPr>
                <w:rStyle w:val="CodeChar"/>
              </w:rPr>
              <w:t xml:space="preserve">router.js</w:t>
            </w:r>
            <w:r>
              <w:t xml:space="preserve">,</w:t>
            </w:r>
            <w:r>
              <w:t xml:space="preserve"> </w:t>
            </w:r>
            <w:r>
              <w:rPr>
                <w:rStyle w:val="CodeChar"/>
              </w:rPr>
              <w:t xml:space="preserve">security.js</w:t>
            </w:r>
            <w:r>
              <w:t xml:space="preserve">,</w:t>
            </w:r>
            <w:r>
              <w:t xml:space="preserve"> </w:t>
            </w:r>
            <w:r>
              <w:rPr>
                <w:rStyle w:val="CodeChar"/>
              </w:rPr>
              <w:t xml:space="preserve">openapi.js</w:t>
            </w:r>
            <w:r>
              <w:t xml:space="preserve">; health, metrics and OpenAPI endpoints</w:t>
            </w:r>
          </w:p>
        </w:tc>
        <w:tc>
          <w:tcPr>
            <w:tcW w:w="3421" w:type="dxa"/>
            <w:vAlign w:val="top"/>
          </w:tcPr>
          <w:p>
            <w:pPr>
              <w:pStyle w:val="TableText"/>
              <w:jc w:val="left"/>
            </w:pPr>
            <w:r>
              <w:t xml:space="preserve">Wrong status codes, missing security headers, request-size abuse, contract drift</w:t>
            </w:r>
          </w:p>
        </w:tc>
      </w:tr>
      <w:tr>
        <w:trPr>
          <w:cantSplit/>
        </w:trPr>
        <w:tc>
          <w:tcPr>
            <w:tcW w:w="1782" w:type="dxa"/>
            <w:shd w:val="clear" w:color="auto" w:fill="F4F7FB"/>
            <w:vAlign w:val="top"/>
          </w:tcPr>
          <w:p>
            <w:pPr>
              <w:pStyle w:val="TableText"/>
              <w:jc w:val="left"/>
            </w:pPr>
            <w:r>
              <w:t xml:space="preserve">Identity and access</w:t>
            </w:r>
          </w:p>
        </w:tc>
        <w:tc>
          <w:tcPr>
            <w:tcW w:w="3824" w:type="dxa"/>
            <w:shd w:val="clear" w:color="auto" w:fill="F4F7FB"/>
            <w:vAlign w:val="top"/>
          </w:tcPr>
          <w:p>
            <w:pPr>
              <w:pStyle w:val="TableText"/>
              <w:jc w:val="left"/>
            </w:pPr>
            <w:r>
              <w:rPr>
                <w:rStyle w:val="CodeChar"/>
              </w:rPr>
              <w:t xml:space="preserve">identityService.js</w:t>
            </w:r>
            <w:r>
              <w:t xml:space="preserve">,</w:t>
            </w:r>
            <w:r>
              <w:t xml:space="preserve"> </w:t>
            </w:r>
            <w:r>
              <w:rPr>
                <w:rStyle w:val="CodeChar"/>
              </w:rPr>
              <w:t xml:space="preserve">accessPolicy.js</w:t>
            </w:r>
            <w:r>
              <w:t xml:space="preserve">,</w:t>
            </w:r>
            <w:r>
              <w:t xml:space="preserve"> </w:t>
            </w:r>
            <w:r>
              <w:rPr>
                <w:rStyle w:val="CodeChar"/>
              </w:rPr>
              <w:t xml:space="preserve">rbac.json</w:t>
            </w:r>
            <w:r>
              <w:t xml:space="preserve">,</w:t>
            </w:r>
            <w:r>
              <w:t xml:space="preserve"> </w:t>
            </w:r>
            <w:r>
              <w:rPr>
                <w:rStyle w:val="CodeChar"/>
              </w:rPr>
              <w:t xml:space="preserve">abac.json</w:t>
            </w:r>
          </w:p>
        </w:tc>
        <w:tc>
          <w:tcPr>
            <w:tcW w:w="3421" w:type="dxa"/>
            <w:shd w:val="clear" w:color="auto" w:fill="F4F7FB"/>
            <w:vAlign w:val="top"/>
          </w:tcPr>
          <w:p>
            <w:pPr>
              <w:pStyle w:val="TableText"/>
              <w:jc w:val="left"/>
            </w:pPr>
            <w:r>
              <w:t xml:space="preserve">Broken sign-in, MFA bypass, privilege escalation, IDOR, personal data leakage</w:t>
            </w:r>
          </w:p>
        </w:tc>
      </w:tr>
      <w:tr>
        <w:trPr>
          <w:cantSplit/>
        </w:trPr>
        <w:tc>
          <w:tcPr>
            <w:tcW w:w="1782" w:type="dxa"/>
            <w:vAlign w:val="top"/>
          </w:tcPr>
          <w:p>
            <w:pPr>
              <w:pStyle w:val="TableText"/>
              <w:jc w:val="left"/>
            </w:pPr>
            <w:r>
              <w:t xml:space="preserve">Data enrichment and MDM</w:t>
            </w:r>
          </w:p>
        </w:tc>
        <w:tc>
          <w:tcPr>
            <w:tcW w:w="3824" w:type="dxa"/>
            <w:vAlign w:val="top"/>
          </w:tcPr>
          <w:p>
            <w:pPr>
              <w:pStyle w:val="TableText"/>
              <w:jc w:val="left"/>
            </w:pPr>
            <w:r>
              <w:rPr>
                <w:rStyle w:val="CodeChar"/>
              </w:rPr>
              <w:t xml:space="preserve">ingestionService.js</w:t>
            </w:r>
            <w:r>
              <w:t xml:space="preserve">,</w:t>
            </w:r>
            <w:r>
              <w:t xml:space="preserve"> </w:t>
            </w:r>
            <w:r>
              <w:rPr>
                <w:rStyle w:val="CodeChar"/>
              </w:rPr>
              <w:t xml:space="preserve">enrichment.js</w:t>
            </w:r>
            <w:r>
              <w:t xml:space="preserve">,</w:t>
            </w:r>
            <w:r>
              <w:t xml:space="preserve"> </w:t>
            </w:r>
            <w:r>
              <w:rPr>
                <w:rStyle w:val="CodeChar"/>
              </w:rPr>
              <w:t xml:space="preserve">identity.js</w:t>
            </w:r>
          </w:p>
        </w:tc>
        <w:tc>
          <w:tcPr>
            <w:tcW w:w="3421" w:type="dxa"/>
            <w:vAlign w:val="top"/>
          </w:tcPr>
          <w:p>
            <w:pPr>
              <w:pStyle w:val="TableText"/>
              <w:jc w:val="left"/>
            </w:pPr>
            <w:r>
              <w:t xml:space="preserve">Wrong golden record, plate and phone errors, lost customer declarations</w:t>
            </w:r>
          </w:p>
        </w:tc>
      </w:tr>
      <w:tr>
        <w:trPr>
          <w:cantSplit/>
        </w:trPr>
        <w:tc>
          <w:tcPr>
            <w:tcW w:w="1782" w:type="dxa"/>
            <w:shd w:val="clear" w:color="auto" w:fill="F4F7FB"/>
            <w:vAlign w:val="top"/>
          </w:tcPr>
          <w:p>
            <w:pPr>
              <w:pStyle w:val="TableText"/>
              <w:jc w:val="left"/>
            </w:pPr>
            <w:r>
              <w:t xml:space="preserve">Lead scoring and next best action</w:t>
            </w:r>
          </w:p>
        </w:tc>
        <w:tc>
          <w:tcPr>
            <w:tcW w:w="3824" w:type="dxa"/>
            <w:shd w:val="clear" w:color="auto" w:fill="F4F7FB"/>
            <w:vAlign w:val="top"/>
          </w:tcPr>
          <w:p>
            <w:pPr>
              <w:pStyle w:val="TableText"/>
              <w:jc w:val="left"/>
            </w:pPr>
            <w:r>
              <w:rPr>
                <w:rStyle w:val="CodeChar"/>
              </w:rPr>
              <w:t xml:space="preserve">leadService.js</w:t>
            </w:r>
            <w:r>
              <w:t xml:space="preserve">,</w:t>
            </w:r>
            <w:r>
              <w:t xml:space="preserve"> </w:t>
            </w:r>
            <w:r>
              <w:rPr>
                <w:rStyle w:val="CodeChar"/>
              </w:rPr>
              <w:t xml:space="preserve">leads.js</w:t>
            </w:r>
            <w:r>
              <w:t xml:space="preserve">, scoring, NBA and benefits rules</w:t>
            </w:r>
          </w:p>
        </w:tc>
        <w:tc>
          <w:tcPr>
            <w:tcW w:w="3421" w:type="dxa"/>
            <w:shd w:val="clear" w:color="auto" w:fill="F4F7FB"/>
            <w:vAlign w:val="top"/>
          </w:tcPr>
          <w:p>
            <w:pPr>
              <w:pStyle w:val="TableText"/>
              <w:jc w:val="left"/>
            </w:pPr>
            <w:r>
              <w:t xml:space="preserve">Mis-prioritised leads, unexplainable scores, unapproved benefits reaching customers</w:t>
            </w:r>
          </w:p>
        </w:tc>
      </w:tr>
      <w:tr>
        <w:trPr>
          <w:cantSplit/>
        </w:trPr>
        <w:tc>
          <w:tcPr>
            <w:tcW w:w="1782" w:type="dxa"/>
            <w:vAlign w:val="top"/>
          </w:tcPr>
          <w:p>
            <w:pPr>
              <w:pStyle w:val="TableText"/>
              <w:jc w:val="left"/>
            </w:pPr>
            <w:r>
              <w:t xml:space="preserve">Journey engine</w:t>
            </w:r>
          </w:p>
        </w:tc>
        <w:tc>
          <w:tcPr>
            <w:tcW w:w="3824" w:type="dxa"/>
            <w:vAlign w:val="top"/>
          </w:tcPr>
          <w:p>
            <w:pPr>
              <w:pStyle w:val="TableText"/>
              <w:jc w:val="left"/>
            </w:pPr>
            <w:r>
              <w:rPr>
                <w:rStyle w:val="CodeChar"/>
              </w:rPr>
              <w:t xml:space="preserve">journeyService.js</w:t>
            </w:r>
            <w:r>
              <w:t xml:space="preserve">,</w:t>
            </w:r>
            <w:r>
              <w:t xml:space="preserve"> </w:t>
            </w:r>
            <w:r>
              <w:rPr>
                <w:rStyle w:val="CodeChar"/>
              </w:rPr>
              <w:t xml:space="preserve">contactPolicy.js</w:t>
            </w:r>
            <w:r>
              <w:t xml:space="preserve">, journey, trigger, contact policy and copy guard rules</w:t>
            </w:r>
          </w:p>
        </w:tc>
        <w:tc>
          <w:tcPr>
            <w:tcW w:w="3421" w:type="dxa"/>
            <w:vAlign w:val="top"/>
          </w:tcPr>
          <w:p>
            <w:pPr>
              <w:pStyle w:val="TableText"/>
              <w:jc w:val="left"/>
            </w:pPr>
            <w:r>
              <w:t xml:space="preserve">Spam, contact outside 08:00 to 20:00, contact with DNC customers, banned discount wording</w:t>
            </w:r>
          </w:p>
        </w:tc>
      </w:tr>
      <w:tr>
        <w:trPr>
          <w:cantSplit/>
        </w:trPr>
        <w:tc>
          <w:tcPr>
            <w:tcW w:w="1782" w:type="dxa"/>
            <w:shd w:val="clear" w:color="auto" w:fill="F4F7FB"/>
            <w:vAlign w:val="top"/>
          </w:tcPr>
          <w:p>
            <w:pPr>
              <w:pStyle w:val="TableText"/>
              <w:jc w:val="left"/>
            </w:pPr>
            <w:r>
              <w:t xml:space="preserve">Voice bot and telesales</w:t>
            </w:r>
          </w:p>
        </w:tc>
        <w:tc>
          <w:tcPr>
            <w:tcW w:w="3824" w:type="dxa"/>
            <w:shd w:val="clear" w:color="auto" w:fill="F4F7FB"/>
            <w:vAlign w:val="top"/>
          </w:tcPr>
          <w:p>
            <w:pPr>
              <w:pStyle w:val="TableText"/>
              <w:jc w:val="left"/>
            </w:pPr>
            <w:r>
              <w:rPr>
                <w:rStyle w:val="CodeChar"/>
              </w:rPr>
              <w:t xml:space="preserve">voiceService.js</w:t>
            </w:r>
            <w:r>
              <w:t xml:space="preserve">,</w:t>
            </w:r>
            <w:r>
              <w:t xml:space="preserve"> </w:t>
            </w:r>
            <w:r>
              <w:rPr>
                <w:rStyle w:val="CodeChar"/>
              </w:rPr>
              <w:t xml:space="preserve">voicebot.js</w:t>
            </w:r>
            <w:r>
              <w:t xml:space="preserve">, handoff routes</w:t>
            </w:r>
          </w:p>
        </w:tc>
        <w:tc>
          <w:tcPr>
            <w:tcW w:w="3421" w:type="dxa"/>
            <w:shd w:val="clear" w:color="auto" w:fill="F4F7FB"/>
            <w:vAlign w:val="top"/>
          </w:tcPr>
          <w:p>
            <w:pPr>
              <w:pStyle w:val="TableText"/>
              <w:jc w:val="left"/>
            </w:pPr>
            <w:r>
              <w:t xml:space="preserve">Plate disclosure, opt-out ignored, agents seeing others’ work</w:t>
            </w:r>
          </w:p>
        </w:tc>
      </w:tr>
      <w:tr>
        <w:trPr>
          <w:cantSplit/>
        </w:trPr>
        <w:tc>
          <w:tcPr>
            <w:tcW w:w="1782" w:type="dxa"/>
            <w:vAlign w:val="top"/>
          </w:tcPr>
          <w:p>
            <w:pPr>
              <w:pStyle w:val="TableText"/>
              <w:jc w:val="left"/>
            </w:pPr>
            <w:r>
              <w:t xml:space="preserve">Sales</w:t>
            </w:r>
          </w:p>
        </w:tc>
        <w:tc>
          <w:tcPr>
            <w:tcW w:w="3824" w:type="dxa"/>
            <w:vAlign w:val="top"/>
          </w:tcPr>
          <w:p>
            <w:pPr>
              <w:pStyle w:val="TableText"/>
              <w:jc w:val="left"/>
            </w:pPr>
            <w:r>
              <w:rPr>
                <w:rStyle w:val="CodeChar"/>
              </w:rPr>
              <w:t xml:space="preserve">salesService.js</w:t>
            </w:r>
            <w:r>
              <w:t xml:space="preserve">,</w:t>
            </w:r>
            <w:r>
              <w:t xml:space="preserve"> </w:t>
            </w:r>
            <w:r>
              <w:rPr>
                <w:rStyle w:val="CodeChar"/>
              </w:rPr>
              <w:t xml:space="preserve">rating.js</w:t>
            </w:r>
            <w:r>
              <w:t xml:space="preserve">, products and commission rules</w:t>
            </w:r>
          </w:p>
        </w:tc>
        <w:tc>
          <w:tcPr>
            <w:tcW w:w="3421" w:type="dxa"/>
            <w:vAlign w:val="top"/>
          </w:tcPr>
          <w:p>
            <w:pPr>
              <w:pStyle w:val="TableText"/>
              <w:jc w:val="left"/>
            </w:pPr>
            <w:r>
              <w:t xml:space="preserve">Wrong premium, double charge, payment without policy, commission above the cap</w:t>
            </w:r>
          </w:p>
        </w:tc>
      </w:tr>
      <w:tr>
        <w:trPr>
          <w:cantSplit/>
        </w:trPr>
        <w:tc>
          <w:tcPr>
            <w:tcW w:w="1782" w:type="dxa"/>
            <w:shd w:val="clear" w:color="auto" w:fill="F4F7FB"/>
            <w:vAlign w:val="top"/>
          </w:tcPr>
          <w:p>
            <w:pPr>
              <w:pStyle w:val="TableText"/>
              <w:jc w:val="left"/>
            </w:pPr>
            <w:r>
              <w:t xml:space="preserve">TASCO core rating and catalogue</w:t>
            </w:r>
          </w:p>
        </w:tc>
        <w:tc>
          <w:tcPr>
            <w:tcW w:w="3824" w:type="dxa"/>
            <w:shd w:val="clear" w:color="auto" w:fill="F4F7FB"/>
            <w:vAlign w:val="top"/>
          </w:tcPr>
          <w:p>
            <w:pPr>
              <w:pStyle w:val="TableText"/>
              <w:jc w:val="left"/>
            </w:pPr>
            <w:r>
              <w:rPr>
                <w:rStyle w:val="CodeChar"/>
              </w:rPr>
              <w:t xml:space="preserve">ratingService.js</w:t>
            </w:r>
            <w:r>
              <w:t xml:space="preserve">,</w:t>
            </w:r>
            <w:r>
              <w:t xml:space="preserve"> </w:t>
            </w:r>
            <w:r>
              <w:rPr>
                <w:rStyle w:val="CodeChar"/>
              </w:rPr>
              <w:t xml:space="preserve">catalogueService.js</w:t>
            </w:r>
            <w:r>
              <w:t xml:space="preserve">,</w:t>
            </w:r>
            <w:r>
              <w:t xml:space="preserve"> </w:t>
            </w:r>
            <w:r>
              <w:rPr>
                <w:rStyle w:val="CodeChar"/>
              </w:rPr>
              <w:t xml:space="preserve">tascoCoreRatingClient.js</w:t>
            </w:r>
          </w:p>
        </w:tc>
        <w:tc>
          <w:tcPr>
            <w:tcW w:w="3421" w:type="dxa"/>
            <w:shd w:val="clear" w:color="auto" w:fill="F4F7FB"/>
            <w:vAlign w:val="top"/>
          </w:tcPr>
          <w:p>
            <w:pPr>
              <w:pStyle w:val="TableText"/>
              <w:jc w:val="left"/>
            </w:pPr>
            <w:r>
              <w:t xml:space="preserve">Local price overriding core, indicative quote paid, catalogue change activated without approval, personal data sent at rating</w:t>
            </w:r>
          </w:p>
        </w:tc>
      </w:tr>
      <w:tr>
        <w:trPr>
          <w:cantSplit/>
        </w:trPr>
        <w:tc>
          <w:tcPr>
            <w:tcW w:w="1782" w:type="dxa"/>
            <w:vAlign w:val="top"/>
          </w:tcPr>
          <w:p>
            <w:pPr>
              <w:pStyle w:val="TableText"/>
              <w:jc w:val="left"/>
            </w:pPr>
            <w:r>
              <w:t xml:space="preserve">Partner channel</w:t>
            </w:r>
          </w:p>
        </w:tc>
        <w:tc>
          <w:tcPr>
            <w:tcW w:w="3824" w:type="dxa"/>
            <w:vAlign w:val="top"/>
          </w:tcPr>
          <w:p>
            <w:pPr>
              <w:pStyle w:val="TableText"/>
              <w:jc w:val="left"/>
            </w:pPr>
            <w:r>
              <w:rPr>
                <w:rStyle w:val="CodeChar"/>
              </w:rPr>
              <w:t xml:space="preserve">partnerService.js</w:t>
            </w:r>
            <w:r>
              <w:t xml:space="preserve">, partner API</w:t>
            </w:r>
          </w:p>
        </w:tc>
        <w:tc>
          <w:tcPr>
            <w:tcW w:w="3421" w:type="dxa"/>
            <w:vAlign w:val="top"/>
          </w:tcPr>
          <w:p>
            <w:pPr>
              <w:pStyle w:val="TableText"/>
              <w:jc w:val="left"/>
            </w:pPr>
            <w:r>
              <w:t xml:space="preserve">Key leakage, cross-partner IDOR</w:t>
            </w:r>
          </w:p>
        </w:tc>
      </w:tr>
      <w:tr>
        <w:trPr>
          <w:cantSplit/>
        </w:trPr>
        <w:tc>
          <w:tcPr>
            <w:tcW w:w="1782" w:type="dxa"/>
            <w:shd w:val="clear" w:color="auto" w:fill="F4F7FB"/>
            <w:vAlign w:val="top"/>
          </w:tcPr>
          <w:p>
            <w:pPr>
              <w:pStyle w:val="TableText"/>
              <w:jc w:val="left"/>
            </w:pPr>
            <w:r>
              <w:t xml:space="preserve">Claims first notice of loss</w:t>
            </w:r>
          </w:p>
        </w:tc>
        <w:tc>
          <w:tcPr>
            <w:tcW w:w="3824" w:type="dxa"/>
            <w:shd w:val="clear" w:color="auto" w:fill="F4F7FB"/>
            <w:vAlign w:val="top"/>
          </w:tcPr>
          <w:p>
            <w:pPr>
              <w:pStyle w:val="TableText"/>
              <w:jc w:val="left"/>
            </w:pPr>
            <w:r>
              <w:rPr>
                <w:rStyle w:val="CodeChar"/>
              </w:rPr>
              <w:t xml:space="preserve">claimsService.js</w:t>
            </w:r>
          </w:p>
        </w:tc>
        <w:tc>
          <w:tcPr>
            <w:tcW w:w="3421" w:type="dxa"/>
            <w:shd w:val="clear" w:color="auto" w:fill="F4F7FB"/>
            <w:vAlign w:val="top"/>
          </w:tcPr>
          <w:p>
            <w:pPr>
              <w:pStyle w:val="TableText"/>
              <w:jc w:val="left"/>
            </w:pPr>
            <w:r>
              <w:t xml:space="preserve">Illegal status changes, claims on other customers’ policies</w:t>
            </w:r>
          </w:p>
        </w:tc>
      </w:tr>
      <w:tr>
        <w:trPr>
          <w:cantSplit/>
        </w:trPr>
        <w:tc>
          <w:tcPr>
            <w:tcW w:w="1782" w:type="dxa"/>
            <w:vAlign w:val="top"/>
          </w:tcPr>
          <w:p>
            <w:pPr>
              <w:pStyle w:val="TableText"/>
              <w:jc w:val="left"/>
            </w:pPr>
            <w:r>
              <w:t xml:space="preserve">Rules governance</w:t>
            </w:r>
          </w:p>
        </w:tc>
        <w:tc>
          <w:tcPr>
            <w:tcW w:w="3824" w:type="dxa"/>
            <w:vAlign w:val="top"/>
          </w:tcPr>
          <w:p>
            <w:pPr>
              <w:pStyle w:val="TableText"/>
              <w:jc w:val="left"/>
            </w:pPr>
            <w:r>
              <w:rPr>
                <w:rStyle w:val="CodeChar"/>
              </w:rPr>
              <w:t xml:space="preserve">rulesService.js</w:t>
            </w:r>
            <w:r>
              <w:t xml:space="preserve">,</w:t>
            </w:r>
            <w:r>
              <w:t xml:space="preserve"> </w:t>
            </w:r>
            <w:r>
              <w:rPr>
                <w:rStyle w:val="CodeChar"/>
              </w:rPr>
              <w:t xml:space="preserve">validators.js</w:t>
            </w:r>
            <w:r>
              <w:t xml:space="preserve">,</w:t>
            </w:r>
            <w:r>
              <w:t xml:space="preserve"> </w:t>
            </w:r>
            <w:r>
              <w:rPr>
                <w:rStyle w:val="CodeChar"/>
              </w:rPr>
              <w:t xml:space="preserve">jsonLogic.js</w:t>
            </w:r>
          </w:p>
        </w:tc>
        <w:tc>
          <w:tcPr>
            <w:tcW w:w="3421" w:type="dxa"/>
            <w:vAlign w:val="top"/>
          </w:tcPr>
          <w:p>
            <w:pPr>
              <w:pStyle w:val="TableText"/>
              <w:jc w:val="left"/>
            </w:pPr>
            <w:r>
              <w:t xml:space="preserve">Self-approval, invalid rule activated, stale cache across replicas</w:t>
            </w:r>
          </w:p>
        </w:tc>
      </w:tr>
      <w:tr>
        <w:trPr>
          <w:cantSplit/>
        </w:trPr>
        <w:tc>
          <w:tcPr>
            <w:tcW w:w="1782" w:type="dxa"/>
            <w:shd w:val="clear" w:color="auto" w:fill="F4F7FB"/>
            <w:vAlign w:val="top"/>
          </w:tcPr>
          <w:p>
            <w:pPr>
              <w:pStyle w:val="TableText"/>
              <w:jc w:val="left"/>
            </w:pPr>
            <w:r>
              <w:t xml:space="preserve">Privacy and audit</w:t>
            </w:r>
          </w:p>
        </w:tc>
        <w:tc>
          <w:tcPr>
            <w:tcW w:w="3824" w:type="dxa"/>
            <w:shd w:val="clear" w:color="auto" w:fill="F4F7FB"/>
            <w:vAlign w:val="top"/>
          </w:tcPr>
          <w:p>
            <w:pPr>
              <w:pStyle w:val="TableText"/>
              <w:jc w:val="left"/>
            </w:pPr>
            <w:r>
              <w:t xml:space="preserve">DSAR in</w:t>
            </w:r>
            <w:r>
              <w:t xml:space="preserve"> </w:t>
            </w:r>
            <w:r>
              <w:rPr>
                <w:rStyle w:val="CodeChar"/>
              </w:rPr>
              <w:t xml:space="preserve">customerService.js</w:t>
            </w:r>
            <w:r>
              <w:t xml:space="preserve">,</w:t>
            </w:r>
            <w:r>
              <w:t xml:space="preserve"> </w:t>
            </w:r>
            <w:r>
              <w:rPr>
                <w:rStyle w:val="CodeChar"/>
              </w:rPr>
              <w:t xml:space="preserve">auditService.js</w:t>
            </w:r>
            <w:r>
              <w:t xml:space="preserve">,</w:t>
            </w:r>
            <w:r>
              <w:t xml:space="preserve"> </w:t>
            </w:r>
            <w:r>
              <w:rPr>
                <w:rStyle w:val="CodeChar"/>
              </w:rPr>
              <w:t xml:space="preserve">auditChain.js</w:t>
            </w:r>
          </w:p>
        </w:tc>
        <w:tc>
          <w:tcPr>
            <w:tcW w:w="3421" w:type="dxa"/>
            <w:shd w:val="clear" w:color="auto" w:fill="F4F7FB"/>
            <w:vAlign w:val="top"/>
          </w:tcPr>
          <w:p>
            <w:pPr>
              <w:pStyle w:val="TableText"/>
              <w:jc w:val="left"/>
            </w:pPr>
            <w:r>
              <w:t xml:space="preserve">Erasure with an active policy, personal data in clear at rest, undetected audit tampering</w:t>
            </w:r>
          </w:p>
        </w:tc>
      </w:tr>
      <w:tr>
        <w:trPr>
          <w:cantSplit/>
        </w:trPr>
        <w:tc>
          <w:tcPr>
            <w:tcW w:w="1782" w:type="dxa"/>
            <w:vAlign w:val="top"/>
          </w:tcPr>
          <w:p>
            <w:pPr>
              <w:pStyle w:val="TableText"/>
              <w:jc w:val="left"/>
            </w:pPr>
            <w:r>
              <w:t xml:space="preserve">Operations and persistence</w:t>
            </w:r>
          </w:p>
        </w:tc>
        <w:tc>
          <w:tcPr>
            <w:tcW w:w="3824" w:type="dxa"/>
            <w:vAlign w:val="top"/>
          </w:tcPr>
          <w:p>
            <w:pPr>
              <w:pStyle w:val="TableText"/>
              <w:jc w:val="left"/>
            </w:pPr>
            <w:r>
              <w:rPr>
                <w:rStyle w:val="CodeChar"/>
              </w:rPr>
              <w:t xml:space="preserve">opsService.js</w:t>
            </w:r>
            <w:r>
              <w:t xml:space="preserve">, outbox, jobs,</w:t>
            </w:r>
            <w:r>
              <w:t xml:space="preserve"> </w:t>
            </w:r>
            <w:r>
              <w:rPr>
                <w:rStyle w:val="CodeChar"/>
              </w:rPr>
              <w:t xml:space="preserve">postgresStore.js</w:t>
            </w:r>
            <w:r>
              <w:t xml:space="preserve">, migrations</w:t>
            </w:r>
          </w:p>
        </w:tc>
        <w:tc>
          <w:tcPr>
            <w:tcW w:w="3421" w:type="dxa"/>
            <w:vAlign w:val="top"/>
          </w:tcPr>
          <w:p>
            <w:pPr>
              <w:pStyle w:val="TableText"/>
              <w:jc w:val="left"/>
            </w:pPr>
            <w:r>
              <w:t xml:space="preserve">Lost events, unreconciled orders, unsafe shutdown, memory and PostgreSQL drift</w:t>
            </w:r>
          </w:p>
        </w:tc>
      </w:tr>
      <w:tr>
        <w:trPr>
          <w:cantSplit/>
        </w:trPr>
        <w:tc>
          <w:tcPr>
            <w:tcW w:w="1782" w:type="dxa"/>
            <w:shd w:val="clear" w:color="auto" w:fill="F4F7FB"/>
            <w:vAlign w:val="top"/>
          </w:tcPr>
          <w:p>
            <w:pPr>
              <w:pStyle w:val="TableText"/>
              <w:jc w:val="left"/>
            </w:pPr>
            <w:r>
              <w:t xml:space="preserve">Front ends</w:t>
            </w:r>
          </w:p>
        </w:tc>
        <w:tc>
          <w:tcPr>
            <w:tcW w:w="3824" w:type="dxa"/>
            <w:shd w:val="clear" w:color="auto" w:fill="F4F7FB"/>
            <w:vAlign w:val="top"/>
          </w:tcPr>
          <w:p>
            <w:pPr>
              <w:pStyle w:val="TableText"/>
              <w:jc w:val="left"/>
            </w:pPr>
            <w:r>
              <w:t xml:space="preserve">Staff console, customer app, certificate verification page</w:t>
            </w:r>
          </w:p>
        </w:tc>
        <w:tc>
          <w:tcPr>
            <w:tcW w:w="3421" w:type="dxa"/>
            <w:shd w:val="clear" w:color="auto" w:fill="F4F7FB"/>
            <w:vAlign w:val="top"/>
          </w:tcPr>
          <w:p>
            <w:pPr>
              <w:pStyle w:val="TableText"/>
              <w:jc w:val="left"/>
            </w:pPr>
            <w:r>
              <w:t xml:space="preserve">Accessibility, localisation, usability (being redesigned)</w:t>
            </w:r>
          </w:p>
        </w:tc>
      </w:tr>
      <w:tr>
        <w:trPr>
          <w:cantSplit/>
        </w:trPr>
        <w:tc>
          <w:tcPr>
            <w:tcW w:w="1782" w:type="dxa"/>
            <w:vAlign w:val="top"/>
          </w:tcPr>
          <w:p>
            <w:pPr>
              <w:pStyle w:val="TableText"/>
              <w:jc w:val="left"/>
            </w:pPr>
            <w:r>
              <w:t xml:space="preserve">Deployment assets</w:t>
            </w:r>
          </w:p>
        </w:tc>
        <w:tc>
          <w:tcPr>
            <w:tcW w:w="3824" w:type="dxa"/>
            <w:vAlign w:val="top"/>
          </w:tcPr>
          <w:p>
            <w:pPr>
              <w:pStyle w:val="TableText"/>
              <w:jc w:val="left"/>
            </w:pPr>
            <w:r>
              <w:rPr>
                <w:rStyle w:val="CodeChar"/>
              </w:rPr>
              <w:t xml:space="preserve">Dockerfile</w:t>
            </w:r>
            <w:r>
              <w:t xml:space="preserve">,</w:t>
            </w:r>
            <w:r>
              <w:t xml:space="preserve"> </w:t>
            </w:r>
            <w:r>
              <w:rPr>
                <w:rStyle w:val="CodeChar"/>
              </w:rPr>
              <w:t xml:space="preserve">deploy/k8s</w:t>
            </w:r>
            <w:r>
              <w:t xml:space="preserve">,</w:t>
            </w:r>
            <w:r>
              <w:t xml:space="preserve"> </w:t>
            </w:r>
            <w:r>
              <w:rPr>
                <w:rStyle w:val="CodeChar"/>
              </w:rPr>
              <w:t xml:space="preserve">railway.json</w:t>
            </w:r>
            <w:r>
              <w:t xml:space="preserve">, CI workflow</w:t>
            </w:r>
          </w:p>
        </w:tc>
        <w:tc>
          <w:tcPr>
            <w:tcW w:w="3421" w:type="dxa"/>
            <w:vAlign w:val="top"/>
          </w:tcPr>
          <w:p>
            <w:pPr>
              <w:pStyle w:val="TableText"/>
              <w:jc w:val="left"/>
            </w:pPr>
            <w:r>
              <w:t xml:space="preserve">Image vulnerabilities, probe errors, missing scheduled jobs</w:t>
            </w:r>
          </w:p>
        </w:tc>
      </w:tr>
    </w:tbl>
    <w:p>
      <w:pPr>
        <w:pStyle w:val="Heading2"/>
      </w:pPr>
      <w:bookmarkStart w:id="11" w:name="_Toc300000007"/>
      <w:r>
        <w:t xml:space="preserve">Out of scope</w:t>
      </w:r>
      <w:bookmarkEnd w:id="11"/>
    </w:p>
    <w:p>
      <w:pPr>
        <w:pStyle w:val="FirstParagraph"/>
      </w:pPr>
      <w:r>
        <w:t xml:space="preserve">The owning party tests the internals of TASCO core, the VETC wallet and identity service, Zalo ZNS, the SMS gateway and the voice vendor’s speech engine. We test our contract with each of them in SIT. Claims adjudication is outside the platform, which is the first-notice front door only. Federation with the TASCO identity provider is tested in SIT once TASCO configures it.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Test approach</w:t>
      </w:r>
      <w:bookmarkEnd w:id="12"/>
    </w:p>
    <w:p>
      <w:pPr>
        <w:pStyle w:val="FirstParagraph"/>
      </w:pPr>
      <w:r>
        <w:t xml:space="preserve">The approach runs from automated checks on every change, through integration with the partners, to business acceptance and the go-live decision.</w:t>
      </w:r>
    </w:p>
    <w:p xmlns:a="http://schemas.openxmlformats.org/drawingml/2006/main" xmlns:pic="http://schemas.openxmlformats.org/drawingml/2006/picture">
      <w:pPr>
        <w:pStyle w:val="Figure"/>
      </w:pPr>
      <w:r>
        <w:drawing>
          <wp:inline>
            <wp:extent cx="2768399" cy="6479999"/>
            <wp:effectExtent b="0" l="0" r="0" t="0"/>
            <wp:docPr descr="Test approach, from automated gates on every change to the go-live decision" title="" id="5002" name="Picture"/>
            <a:graphic>
              <a:graphicData uri="http://schemas.openxmlformats.org/drawingml/2006/picture">
                <pic:pic>
                  <pic:nvPicPr>
                    <pic:cNvPr descr="/tmp/claude-0/-home-user-TASCO/19e5534d-12b5-5956-9b60-3e77efde0f49/scratchpad/gen/.cache/mermaid/e157f704eeaf0ec9.png" id="27" name="Picture"/>
                    <pic:cNvPicPr>
                      <a:picLocks noChangeArrowheads="1" noChangeAspect="1"/>
                    </pic:cNvPicPr>
                  </pic:nvPicPr>
                  <pic:blipFill>
                    <a:blip r:embed="rIdG1"/>
                    <a:stretch>
                      <a:fillRect/>
                    </a:stretch>
                  </pic:blipFill>
                  <pic:spPr bwMode="auto">
                    <a:xfrm>
                      <a:off x="0" y="0"/>
                      <a:ext cx="2768399" cy="6479999"/>
                    </a:xfrm>
                    <a:prstGeom prst="rect">
                      <a:avLst/>
                    </a:prstGeom>
                    <a:noFill/>
                    <a:ln w="9525">
                      <a:noFill/>
                      <a:headEnd/>
                      <a:tailEnd/>
                    </a:ln>
                  </pic:spPr>
                </pic:pic>
              </a:graphicData>
            </a:graphic>
          </wp:inline>
        </w:drawing>
      </w:r>
    </w:p>
    <w:p>
      <w:pPr>
        <w:pStyle w:val="Caption"/>
      </w:pPr>
      <w:r>
        <w:t xml:space="preserve">Figure 1 – Test approach, from automated gates on every change to the go-live decision</w:t>
      </w:r>
    </w:p>
    <w:p>
      <w:pPr>
        <w:pStyle w:val="Heading2"/>
      </w:pPr>
      <w:bookmarkStart w:id="13" w:name="_Toc300000009"/>
      <w:r>
        <w:t xml:space="preserve">Unit tests</w:t>
      </w:r>
      <w:bookmarkEnd w:id="13"/>
    </w:p>
    <w:p>
      <w:pPr>
        <w:pStyle w:val="FirstParagraph"/>
      </w:pPr>
      <w:r>
        <w:t xml:space="preserve">Unit tests cover the pure domain and shared modules: plate and phone normalisation, enrichment, scoring and next best action, the three rating methods, contact policy, the voice dialogue, rules evaluation, encryption, resilience, metrics and log redaction. They use the built-in</w:t>
      </w:r>
      <w:r>
        <w:t xml:space="preserve"> </w:t>
      </w:r>
      <w:r>
        <w:rPr>
          <w:rStyle w:val="CodeChar"/>
        </w:rPr>
        <w:t xml:space="preserve">node:test</w:t>
      </w:r>
      <w:r>
        <w:t xml:space="preserve"> </w:t>
      </w:r>
      <w:r>
        <w:t xml:space="preserve">runner, consistent with the platform’s single runtime dependency (</w:t>
      </w:r>
      <w:r>
        <w:rPr>
          <w:rStyle w:val="CodeChar"/>
        </w:rPr>
        <w:t xml:space="preserve">pg</w:t>
      </w:r>
      <w:r>
        <w:t xml:space="preserve">). Tests are deterministic: the clock, business date and random seed are injected, and there is no network access.</w:t>
      </w:r>
    </w:p>
    <w:p>
      <w:pPr>
        <w:pStyle w:val="Heading2"/>
      </w:pPr>
      <w:bookmarkStart w:id="14" w:name="_Toc300000010"/>
      <w:r>
        <w:t xml:space="preserve">Integration tests</w:t>
      </w:r>
      <w:bookmarkEnd w:id="14"/>
    </w:p>
    <w:p>
      <w:pPr>
        <w:pStyle w:val="FirstParagraph"/>
      </w:pPr>
      <w:r>
        <w:t xml:space="preserve">Integration tests wire the application services through</w:t>
      </w:r>
      <w:r>
        <w:t xml:space="preserve"> </w:t>
      </w:r>
      <w:r>
        <w:rPr>
          <w:rStyle w:val="CodeChar"/>
        </w:rPr>
        <w:t xml:space="preserve">createContainer(config)</w:t>
      </w:r>
      <w:r>
        <w:t xml:space="preserve"> </w:t>
      </w:r>
      <w:r>
        <w:t xml:space="preserve">with the in-memory store and sandbox gateways. Typical flows are ingest, rebuild, lead recompute and touchpoints; purchase, issuance, confirmation and cross-sell; rule approval and cache refresh; and core rating, fallback, re-rate and catalogue sync. Faults are injected by replacing a gateway port, for example a wallet that fails or a TASCO core that times out.</w:t>
      </w:r>
    </w:p>
    <w:p>
      <w:pPr>
        <w:pStyle w:val="Heading2"/>
      </w:pPr>
      <w:bookmarkStart w:id="15" w:name="_Toc300000011"/>
      <w:r>
        <w:t xml:space="preserve">API and contract tests</w:t>
      </w:r>
      <w:bookmarkEnd w:id="15"/>
    </w:p>
    <w:p>
      <w:pPr>
        <w:pStyle w:val="FirstParagraph"/>
      </w:pPr>
      <w:r>
        <w:t xml:space="preserve">API tests call every route in the route table over real HTTP: 97 routes in release 1.0.0 (6 public, 76 staff, 11 customer, 4 partner). The OpenAPI document is generated from the same table, so contract tests check that it lists every route, declares security per audience, requires</w:t>
      </w:r>
      <w:r>
        <w:t xml:space="preserve"> </w:t>
      </w:r>
      <w:r>
        <w:rPr>
          <w:rStyle w:val="CodeChar"/>
        </w:rPr>
        <w:t xml:space="preserve">Idempotency-Key</w:t>
      </w:r>
      <w:r>
        <w:t xml:space="preserve"> </w:t>
      </w:r>
      <w:r>
        <w:t xml:space="preserve">on both order routes and rejects unknown body properties. CI regenerates the document and fails if it differs from the committed copy.</w:t>
      </w:r>
    </w:p>
    <w:p>
      <w:pPr>
        <w:pStyle w:val="BodyText"/>
      </w:pPr>
      <w:r>
        <w:t xml:space="preserve">The authorisation matrix calls every route with each of 15 principals (13 staff roles, a customer and a partner) and checks for 2xx, 401 or 403. Negative tests cover 400, 404, 405, 409, 413, 415, 422, 423 and 429.</w:t>
      </w:r>
    </w:p>
    <w:p>
      <w:pPr>
        <w:pStyle w:val="Heading2"/>
      </w:pPr>
      <w:bookmarkStart w:id="16" w:name="_Toc300000012"/>
      <w:r>
        <w:t xml:space="preserve">Functional acceptance tests</w:t>
      </w:r>
      <w:bookmarkEnd w:id="16"/>
    </w:p>
    <w:p>
      <w:pPr>
        <w:pStyle w:val="FirstParagraph"/>
      </w:pPr>
      <w:r>
        <w:t xml:space="preserve">There is one automated test for every Given/When/Then scenario in TGP-BUS-04 User Stories and Acceptance Criteria, named</w:t>
      </w:r>
      <w:r>
        <w:t xml:space="preserve"> </w:t>
      </w:r>
      <w:r>
        <w:rPr>
          <w:rStyle w:val="CodeChar"/>
        </w:rPr>
        <w:t xml:space="preserve">US-xxx · scenario</w:t>
      </w:r>
      <w:r>
        <w:t xml:space="preserve">, running against the real API with the in-memory store. The suite has 124 scenarios: 121 automated and 3 recorded as to-do because they are manual or roadmap items (US-055 fleet dashboard, US-076 language toggle and US-077 physical QR scan, the last two verified in UAT). Each scenario is a row of the workbook sheet</w:t>
      </w:r>
      <w:r>
        <w:t xml:space="preserve"> </w:t>
      </w:r>
      <w:r>
        <w:rPr>
          <w:i/>
          <w:iCs/>
        </w:rPr>
        <w:t xml:space="preserve">Functional Test Cases</w:t>
      </w:r>
      <w:r>
        <w:t xml:space="preserve">.</w:t>
      </w:r>
    </w:p>
    <w:p>
      <w:pPr>
        <w:pStyle w:val="Heading2"/>
      </w:pPr>
      <w:bookmarkStart w:id="17" w:name="_Toc300000013"/>
      <w:r>
        <w:t xml:space="preserve">System integration testing</w:t>
      </w:r>
      <w:bookmarkEnd w:id="17"/>
    </w:p>
    <w:p>
      <w:pPr>
        <w:pStyle w:val="FirstParagraph"/>
      </w:pPr>
      <w:r>
        <w:t xml:space="preserve">SIT runs in the SIT environment (PostgreSQL, demo mode off, production adapters pointing at partner UAT endpoints). Exit needs all P1 SIT cases passed and interface defects closed or waived by both parties.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5"/>
        <w:gridCol w:w="1876"/>
        <w:gridCol w:w="3140"/>
        <w:gridCol w:w="2236"/>
      </w:tblGrid>
      <w:tr>
        <w:trPr>
          <w:cantSplit/>
          <w:tblHeader/>
        </w:trPr>
        <w:tc>
          <w:tcPr>
            <w:tcW w:w="1775" w:type="dxa"/>
            <w:shd w:val="clear" w:color="auto" w:fill="0F4761"/>
            <w:vAlign w:val="center"/>
          </w:tcPr>
          <w:p>
            <w:pPr>
              <w:pStyle w:val="TableHeading"/>
              <w:jc w:val="left"/>
            </w:pPr>
            <w:r>
              <w:rPr>
                <w:color w:val="FFFFFF"/>
              </w:rPr>
              <w:t xml:space="preserve">Interface</w:t>
            </w:r>
          </w:p>
        </w:tc>
        <w:tc>
          <w:tcPr>
            <w:tcW w:w="1876" w:type="dxa"/>
            <w:shd w:val="clear" w:color="auto" w:fill="0F4761"/>
            <w:vAlign w:val="center"/>
          </w:tcPr>
          <w:p>
            <w:pPr>
              <w:pStyle w:val="TableHeading"/>
              <w:jc w:val="left"/>
            </w:pPr>
            <w:r>
              <w:rPr>
                <w:color w:val="FFFFFF"/>
              </w:rPr>
              <w:t xml:space="preserve">Counterparty environment</w:t>
            </w:r>
          </w:p>
        </w:tc>
        <w:tc>
          <w:tcPr>
            <w:tcW w:w="3140" w:type="dxa"/>
            <w:shd w:val="clear" w:color="auto" w:fill="0F4761"/>
            <w:vAlign w:val="center"/>
          </w:tcPr>
          <w:p>
            <w:pPr>
              <w:pStyle w:val="TableHeading"/>
              <w:jc w:val="left"/>
            </w:pPr>
            <w:r>
              <w:rPr>
                <w:color w:val="FFFFFF"/>
              </w:rPr>
              <w:t xml:space="preserve">Key scenarios</w:t>
            </w:r>
          </w:p>
        </w:tc>
        <w:tc>
          <w:tcPr>
            <w:tcW w:w="2236" w:type="dxa"/>
            <w:shd w:val="clear" w:color="auto" w:fill="0F4761"/>
            <w:vAlign w:val="center"/>
          </w:tcPr>
          <w:p>
            <w:pPr>
              <w:pStyle w:val="TableHeading"/>
              <w:jc w:val="left"/>
            </w:pPr>
            <w:r>
              <w:rPr>
                <w:color w:val="FFFFFF"/>
              </w:rPr>
              <w:t xml:space="preserve">Prerequisite</w:t>
            </w:r>
          </w:p>
        </w:tc>
      </w:tr>
      <w:tr>
        <w:trPr>
          <w:cantSplit/>
        </w:trPr>
        <w:tc>
          <w:tcPr>
            <w:tcW w:w="1775" w:type="dxa"/>
            <w:vAlign w:val="top"/>
          </w:tcPr>
          <w:p>
            <w:pPr>
              <w:pStyle w:val="TableText"/>
              <w:jc w:val="left"/>
            </w:pPr>
            <w:r>
              <w:t xml:space="preserve">Core rating and catalogue</w:t>
            </w:r>
          </w:p>
        </w:tc>
        <w:tc>
          <w:tcPr>
            <w:tcW w:w="1876" w:type="dxa"/>
            <w:vAlign w:val="top"/>
          </w:tcPr>
          <w:p>
            <w:pPr>
              <w:pStyle w:val="TableText"/>
              <w:jc w:val="left"/>
            </w:pPr>
            <w:r>
              <w:t xml:space="preserve">TASCO core UAT</w:t>
            </w:r>
          </w:p>
        </w:tc>
        <w:tc>
          <w:tcPr>
            <w:tcW w:w="3140" w:type="dxa"/>
            <w:vAlign w:val="top"/>
          </w:tcPr>
          <w:p>
            <w:pPr>
              <w:pStyle w:val="TableText"/>
              <w:jc w:val="left"/>
            </w:pPr>
            <w:r>
              <w:t xml:space="preserve">Quote each product; validity and quote reference; catalogue fetch and sync proposal; fail-closed and fallback behaviour (TC-180)</w:t>
            </w:r>
          </w:p>
        </w:tc>
        <w:tc>
          <w:tcPr>
            <w:tcW w:w="2236" w:type="dxa"/>
            <w:vAlign w:val="top"/>
          </w:tcPr>
          <w:p>
            <w:pPr>
              <w:pStyle w:val="TableText"/>
              <w:jc w:val="left"/>
            </w:pPr>
            <w:r>
              <w:t xml:space="preserve">Confirmed interface specification; OAuth client credentials</w:t>
            </w:r>
          </w:p>
        </w:tc>
      </w:tr>
      <w:tr>
        <w:trPr>
          <w:cantSplit/>
        </w:trPr>
        <w:tc>
          <w:tcPr>
            <w:tcW w:w="1775" w:type="dxa"/>
            <w:shd w:val="clear" w:color="auto" w:fill="F4F7FB"/>
            <w:vAlign w:val="top"/>
          </w:tcPr>
          <w:p>
            <w:pPr>
              <w:pStyle w:val="TableText"/>
              <w:jc w:val="left"/>
            </w:pPr>
            <w:r>
              <w:t xml:space="preserve">Policy issuance and cancellation</w:t>
            </w:r>
          </w:p>
        </w:tc>
        <w:tc>
          <w:tcPr>
            <w:tcW w:w="1876" w:type="dxa"/>
            <w:shd w:val="clear" w:color="auto" w:fill="F4F7FB"/>
            <w:vAlign w:val="top"/>
          </w:tcPr>
          <w:p>
            <w:pPr>
              <w:pStyle w:val="TableText"/>
              <w:jc w:val="left"/>
            </w:pPr>
            <w:r>
              <w:t xml:space="preserve">TASCO core UAT</w:t>
            </w:r>
          </w:p>
        </w:tc>
        <w:tc>
          <w:tcPr>
            <w:tcW w:w="3140" w:type="dxa"/>
            <w:shd w:val="clear" w:color="auto" w:fill="F4F7FB"/>
            <w:vAlign w:val="top"/>
          </w:tcPr>
          <w:p>
            <w:pPr>
              <w:pStyle w:val="TableText"/>
              <w:jc w:val="left"/>
            </w:pPr>
            <w:r>
              <w:t xml:space="preserve">Issue TNDS car and motorbike, physical damage cover after inspection, personal accident cover per seat; multi-line failure and compensation (TC-153)</w:t>
            </w:r>
          </w:p>
        </w:tc>
        <w:tc>
          <w:tcPr>
            <w:tcW w:w="2236" w:type="dxa"/>
            <w:shd w:val="clear" w:color="auto" w:fill="F4F7FB"/>
            <w:vAlign w:val="top"/>
          </w:tcPr>
          <w:p>
            <w:pPr>
              <w:pStyle w:val="TableText"/>
              <w:jc w:val="left"/>
            </w:pPr>
            <w:r>
              <w:t xml:space="preserve">Production issuance adapter; product mapping signed off</w:t>
            </w:r>
          </w:p>
        </w:tc>
      </w:tr>
      <w:tr>
        <w:trPr>
          <w:cantSplit/>
        </w:trPr>
        <w:tc>
          <w:tcPr>
            <w:tcW w:w="1775" w:type="dxa"/>
            <w:vAlign w:val="top"/>
          </w:tcPr>
          <w:p>
            <w:pPr>
              <w:pStyle w:val="TableText"/>
              <w:jc w:val="left"/>
            </w:pPr>
            <w:r>
              <w:t xml:space="preserve">Wallet debit and refund</w:t>
            </w:r>
          </w:p>
        </w:tc>
        <w:tc>
          <w:tcPr>
            <w:tcW w:w="1876" w:type="dxa"/>
            <w:vAlign w:val="top"/>
          </w:tcPr>
          <w:p>
            <w:pPr>
              <w:pStyle w:val="TableText"/>
              <w:jc w:val="left"/>
            </w:pPr>
            <w:r>
              <w:t xml:space="preserve">VETC wallet UAT</w:t>
            </w:r>
          </w:p>
        </w:tc>
        <w:tc>
          <w:tcPr>
            <w:tcW w:w="3140" w:type="dxa"/>
            <w:vAlign w:val="top"/>
          </w:tcPr>
          <w:p>
            <w:pPr>
              <w:pStyle w:val="TableText"/>
              <w:jc w:val="left"/>
            </w:pPr>
            <w:r>
              <w:t xml:space="preserve">Idempotent debit; timeout then retry; refund after issuance failure; insufficient balance (TC-152)</w:t>
            </w:r>
          </w:p>
        </w:tc>
        <w:tc>
          <w:tcPr>
            <w:tcW w:w="2236" w:type="dxa"/>
            <w:vAlign w:val="top"/>
          </w:tcPr>
          <w:p>
            <w:pPr>
              <w:pStyle w:val="TableText"/>
              <w:jc w:val="left"/>
            </w:pPr>
            <w:r>
              <w:t xml:space="preserve">Wallet adapter; funded test wallets</w:t>
            </w:r>
          </w:p>
        </w:tc>
      </w:tr>
      <w:tr>
        <w:trPr>
          <w:cantSplit/>
        </w:trPr>
        <w:tc>
          <w:tcPr>
            <w:tcW w:w="1775" w:type="dxa"/>
            <w:shd w:val="clear" w:color="auto" w:fill="F4F7FB"/>
            <w:vAlign w:val="top"/>
          </w:tcPr>
          <w:p>
            <w:pPr>
              <w:pStyle w:val="TableText"/>
              <w:jc w:val="left"/>
            </w:pPr>
            <w:r>
              <w:t xml:space="preserve">Customer sign-on</w:t>
            </w:r>
          </w:p>
        </w:tc>
        <w:tc>
          <w:tcPr>
            <w:tcW w:w="1876" w:type="dxa"/>
            <w:shd w:val="clear" w:color="auto" w:fill="F4F7FB"/>
            <w:vAlign w:val="top"/>
          </w:tcPr>
          <w:p>
            <w:pPr>
              <w:pStyle w:val="TableText"/>
              <w:jc w:val="left"/>
            </w:pPr>
            <w:r>
              <w:t xml:space="preserve">VETC identity UAT</w:t>
            </w:r>
          </w:p>
        </w:tc>
        <w:tc>
          <w:tcPr>
            <w:tcW w:w="3140" w:type="dxa"/>
            <w:shd w:val="clear" w:color="auto" w:fill="F4F7FB"/>
            <w:vAlign w:val="top"/>
          </w:tcPr>
          <w:p>
            <w:pPr>
              <w:pStyle w:val="TableText"/>
              <w:jc w:val="left"/>
            </w:pPr>
            <w:r>
              <w:t xml:space="preserve">Token exchange; expired and foreign-audience tokens (TC-151)</w:t>
            </w:r>
          </w:p>
        </w:tc>
        <w:tc>
          <w:tcPr>
            <w:tcW w:w="2236" w:type="dxa"/>
            <w:shd w:val="clear" w:color="auto" w:fill="F4F7FB"/>
            <w:vAlign w:val="top"/>
          </w:tcPr>
          <w:p>
            <w:pPr>
              <w:pStyle w:val="TableText"/>
              <w:jc w:val="left"/>
            </w:pPr>
            <w:r>
              <w:t xml:space="preserve">Production token verification</w:t>
            </w:r>
          </w:p>
        </w:tc>
      </w:tr>
      <w:tr>
        <w:trPr>
          <w:cantSplit/>
        </w:trPr>
        <w:tc>
          <w:tcPr>
            <w:tcW w:w="1775" w:type="dxa"/>
            <w:vAlign w:val="top"/>
          </w:tcPr>
          <w:p>
            <w:pPr>
              <w:pStyle w:val="TableText"/>
              <w:jc w:val="left"/>
            </w:pPr>
            <w:r>
              <w:t xml:space="preserve">Messaging</w:t>
            </w:r>
          </w:p>
        </w:tc>
        <w:tc>
          <w:tcPr>
            <w:tcW w:w="1876" w:type="dxa"/>
            <w:vAlign w:val="top"/>
          </w:tcPr>
          <w:p>
            <w:pPr>
              <w:pStyle w:val="TableText"/>
              <w:jc w:val="left"/>
            </w:pPr>
            <w:r>
              <w:t xml:space="preserve">Zalo ZNS, SMS brandname, VETC app push</w:t>
            </w:r>
          </w:p>
        </w:tc>
        <w:tc>
          <w:tcPr>
            <w:tcW w:w="3140" w:type="dxa"/>
            <w:vAlign w:val="top"/>
          </w:tcPr>
          <w:p>
            <w:pPr>
              <w:pStyle w:val="TableText"/>
              <w:jc w:val="left"/>
            </w:pPr>
            <w:r>
              <w:t xml:space="preserve">Approved templates and parameters; diacritics and length; deep link opens the renewal (TC-149, TC-150)</w:t>
            </w:r>
          </w:p>
        </w:tc>
        <w:tc>
          <w:tcPr>
            <w:tcW w:w="2236" w:type="dxa"/>
            <w:vAlign w:val="top"/>
          </w:tcPr>
          <w:p>
            <w:pPr>
              <w:pStyle w:val="TableText"/>
              <w:jc w:val="left"/>
            </w:pPr>
            <w:r>
              <w:t xml:space="preserve">Zalo template approval; brandname registration; app build</w:t>
            </w:r>
          </w:p>
        </w:tc>
      </w:tr>
      <w:tr>
        <w:trPr>
          <w:cantSplit/>
        </w:trPr>
        <w:tc>
          <w:tcPr>
            <w:tcW w:w="1775" w:type="dxa"/>
            <w:shd w:val="clear" w:color="auto" w:fill="F4F7FB"/>
            <w:vAlign w:val="top"/>
          </w:tcPr>
          <w:p>
            <w:pPr>
              <w:pStyle w:val="TableText"/>
              <w:jc w:val="left"/>
            </w:pPr>
            <w:r>
              <w:t xml:space="preserve">Voice</w:t>
            </w:r>
          </w:p>
        </w:tc>
        <w:tc>
          <w:tcPr>
            <w:tcW w:w="1876" w:type="dxa"/>
            <w:shd w:val="clear" w:color="auto" w:fill="F4F7FB"/>
            <w:vAlign w:val="top"/>
          </w:tcPr>
          <w:p>
            <w:pPr>
              <w:pStyle w:val="TableText"/>
              <w:jc w:val="left"/>
            </w:pPr>
            <w:r>
              <w:t xml:space="preserve">Voice vendor test trunk</w:t>
            </w:r>
          </w:p>
        </w:tc>
        <w:tc>
          <w:tcPr>
            <w:tcW w:w="3140" w:type="dxa"/>
            <w:shd w:val="clear" w:color="auto" w:fill="F4F7FB"/>
            <w:vAlign w:val="top"/>
          </w:tcPr>
          <w:p>
            <w:pPr>
              <w:pStyle w:val="TableText"/>
              <w:jc w:val="left"/>
            </w:pPr>
            <w:r>
              <w:t xml:space="preserve">Real speech into the dialogue; plate-first check; opt-out; transfer (TC-154)</w:t>
            </w:r>
          </w:p>
        </w:tc>
        <w:tc>
          <w:tcPr>
            <w:tcW w:w="2236" w:type="dxa"/>
            <w:shd w:val="clear" w:color="auto" w:fill="F4F7FB"/>
            <w:vAlign w:val="top"/>
          </w:tcPr>
          <w:p>
            <w:pPr>
              <w:pStyle w:val="TableText"/>
              <w:jc w:val="left"/>
            </w:pPr>
            <w:r>
              <w:t xml:space="preserve">Vendor contract and test numbers</w:t>
            </w:r>
          </w:p>
        </w:tc>
      </w:tr>
      <w:tr>
        <w:trPr>
          <w:cantSplit/>
        </w:trPr>
        <w:tc>
          <w:tcPr>
            <w:tcW w:w="1775" w:type="dxa"/>
            <w:vAlign w:val="top"/>
          </w:tcPr>
          <w:p>
            <w:pPr>
              <w:pStyle w:val="TableText"/>
              <w:jc w:val="left"/>
            </w:pPr>
            <w:r>
              <w:t xml:space="preserve">Events and extracts</w:t>
            </w:r>
          </w:p>
        </w:tc>
        <w:tc>
          <w:tcPr>
            <w:tcW w:w="1876" w:type="dxa"/>
            <w:vAlign w:val="top"/>
          </w:tcPr>
          <w:p>
            <w:pPr>
              <w:pStyle w:val="TableText"/>
              <w:jc w:val="left"/>
            </w:pPr>
            <w:r>
              <w:t xml:space="preserve">VETC event feed, VETC and TASCO extracts</w:t>
            </w:r>
          </w:p>
        </w:tc>
        <w:tc>
          <w:tcPr>
            <w:tcW w:w="3140" w:type="dxa"/>
            <w:vAlign w:val="top"/>
          </w:tcPr>
          <w:p>
            <w:pPr>
              <w:pStyle w:val="TableText"/>
              <w:jc w:val="left"/>
            </w:pPr>
            <w:r>
              <w:t xml:space="preserve">Tag activation and inspection events; batches of 2,000 records or fewer; lineage; settlement comparison (TC-155)</w:t>
            </w:r>
          </w:p>
        </w:tc>
        <w:tc>
          <w:tcPr>
            <w:tcW w:w="2236" w:type="dxa"/>
            <w:vAlign w:val="top"/>
          </w:tcPr>
          <w:p>
            <w:pPr>
              <w:pStyle w:val="TableText"/>
              <w:jc w:val="left"/>
            </w:pPr>
            <w:r>
              <w:t xml:space="preserve">Data-sharing agreement; masking</w:t>
            </w:r>
          </w:p>
        </w:tc>
      </w:tr>
    </w:tbl>
    <w:p>
      <w:pPr>
        <w:pStyle w:val="Heading2"/>
      </w:pPr>
      <w:bookmarkStart w:id="18" w:name="_Toc300000014"/>
      <w:r>
        <w:t xml:space="preserve">User acceptance testing</w:t>
      </w:r>
      <w:bookmarkEnd w:id="18"/>
    </w:p>
    <w:p>
      <w:pPr>
        <w:pStyle w:val="FirstParagraph"/>
      </w:pPr>
      <w:r>
        <w:t xml:space="preserve">Business users run scenarios by persona: campaign manager, telesales agent and supervisor, rule author and approver, compliance officer, data steward, claims handler, partner manager and developer, customer, executive, auditor, administrator and support engineer. The plan, scenarios and sign-off sheet are in TGP-QA-04 User Acceptance Test Plan.</w:t>
      </w:r>
    </w:p>
    <w:p>
      <w:pPr>
        <w:pStyle w:val="Heading2"/>
      </w:pPr>
      <w:bookmarkStart w:id="19" w:name="_Toc300000015"/>
      <w:r>
        <w:t xml:space="preserve">Non-functional testing</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4"/>
        <w:gridCol w:w="2421"/>
        <w:gridCol w:w="2910"/>
        <w:gridCol w:w="1922"/>
      </w:tblGrid>
      <w:tr>
        <w:trPr>
          <w:cantSplit/>
          <w:tblHeader/>
        </w:trPr>
        <w:tc>
          <w:tcPr>
            <w:tcW w:w="1774" w:type="dxa"/>
            <w:shd w:val="clear" w:color="auto" w:fill="0F4761"/>
            <w:vAlign w:val="center"/>
          </w:tcPr>
          <w:p>
            <w:pPr>
              <w:pStyle w:val="TableHeading"/>
              <w:jc w:val="left"/>
            </w:pPr>
            <w:r>
              <w:rPr>
                <w:color w:val="FFFFFF"/>
              </w:rPr>
              <w:t xml:space="preserve">Type</w:t>
            </w:r>
          </w:p>
        </w:tc>
        <w:tc>
          <w:tcPr>
            <w:tcW w:w="2421" w:type="dxa"/>
            <w:shd w:val="clear" w:color="auto" w:fill="0F4761"/>
            <w:vAlign w:val="center"/>
          </w:tcPr>
          <w:p>
            <w:pPr>
              <w:pStyle w:val="TableHeading"/>
              <w:jc w:val="left"/>
            </w:pPr>
            <w:r>
              <w:rPr>
                <w:color w:val="FFFFFF"/>
              </w:rPr>
              <w:t xml:space="preserve">Objective</w:t>
            </w:r>
          </w:p>
        </w:tc>
        <w:tc>
          <w:tcPr>
            <w:tcW w:w="2910" w:type="dxa"/>
            <w:shd w:val="clear" w:color="auto" w:fill="0F4761"/>
            <w:vAlign w:val="center"/>
          </w:tcPr>
          <w:p>
            <w:pPr>
              <w:pStyle w:val="TableHeading"/>
              <w:jc w:val="left"/>
            </w:pPr>
            <w:r>
              <w:rPr>
                <w:color w:val="FFFFFF"/>
              </w:rPr>
              <w:t xml:space="preserve">Approach</w:t>
            </w:r>
          </w:p>
        </w:tc>
        <w:tc>
          <w:tcPr>
            <w:tcW w:w="1922" w:type="dxa"/>
            <w:shd w:val="clear" w:color="auto" w:fill="0F4761"/>
            <w:vAlign w:val="center"/>
          </w:tcPr>
          <w:p>
            <w:pPr>
              <w:pStyle w:val="TableHeading"/>
              <w:jc w:val="left"/>
            </w:pPr>
            <w:r>
              <w:rPr>
                <w:color w:val="FFFFFF"/>
              </w:rPr>
              <w:t xml:space="preserve">Reference</w:t>
            </w:r>
          </w:p>
        </w:tc>
      </w:tr>
      <w:tr>
        <w:trPr>
          <w:cantSplit/>
        </w:trPr>
        <w:tc>
          <w:tcPr>
            <w:tcW w:w="1774" w:type="dxa"/>
            <w:vAlign w:val="top"/>
          </w:tcPr>
          <w:p>
            <w:pPr>
              <w:pStyle w:val="TableText"/>
              <w:jc w:val="left"/>
            </w:pPr>
            <w:r>
              <w:t xml:space="preserve">Load</w:t>
            </w:r>
          </w:p>
        </w:tc>
        <w:tc>
          <w:tcPr>
            <w:tcW w:w="2421" w:type="dxa"/>
            <w:vAlign w:val="top"/>
          </w:tcPr>
          <w:p>
            <w:pPr>
              <w:pStyle w:val="TableText"/>
              <w:jc w:val="left"/>
            </w:pPr>
            <w:r>
              <w:t xml:space="preserve">Meet the p95 targets at the design point</w:t>
            </w:r>
          </w:p>
        </w:tc>
        <w:tc>
          <w:tcPr>
            <w:tcW w:w="2910" w:type="dxa"/>
            <w:vAlign w:val="top"/>
          </w:tcPr>
          <w:p>
            <w:pPr>
              <w:pStyle w:val="TableText"/>
              <w:jc w:val="left"/>
            </w:pPr>
            <w:r>
              <w:rPr>
                <w:rStyle w:val="CodeChar"/>
              </w:rPr>
              <w:t xml:space="preserve">npm run test:perf</w:t>
            </w:r>
            <w:r>
              <w:t xml:space="preserve"> </w:t>
            </w:r>
            <w:r>
              <w:t xml:space="preserve">(p50, p95, p99, requests per second); k6 for distributed load</w:t>
            </w:r>
          </w:p>
        </w:tc>
        <w:tc>
          <w:tcPr>
            <w:tcW w:w="1922" w:type="dxa"/>
            <w:vAlign w:val="top"/>
          </w:tcPr>
          <w:p>
            <w:pPr>
              <w:pStyle w:val="TableText"/>
              <w:jc w:val="left"/>
            </w:pPr>
            <w:r>
              <w:t xml:space="preserve">TGP-QA-03, PERF-S1 to S6</w:t>
            </w:r>
          </w:p>
        </w:tc>
      </w:tr>
      <w:tr>
        <w:trPr>
          <w:cantSplit/>
        </w:trPr>
        <w:tc>
          <w:tcPr>
            <w:tcW w:w="1774" w:type="dxa"/>
            <w:shd w:val="clear" w:color="auto" w:fill="F4F7FB"/>
            <w:vAlign w:val="top"/>
          </w:tcPr>
          <w:p>
            <w:pPr>
              <w:pStyle w:val="TableText"/>
              <w:jc w:val="left"/>
            </w:pPr>
            <w:r>
              <w:t xml:space="preserve">Volume</w:t>
            </w:r>
          </w:p>
        </w:tc>
        <w:tc>
          <w:tcPr>
            <w:tcW w:w="2421" w:type="dxa"/>
            <w:shd w:val="clear" w:color="auto" w:fill="F4F7FB"/>
            <w:vAlign w:val="top"/>
          </w:tcPr>
          <w:p>
            <w:pPr>
              <w:pStyle w:val="TableText"/>
              <w:jc w:val="left"/>
            </w:pPr>
            <w:r>
              <w:t xml:space="preserve">Pilot cohort, then 6 million profiles</w:t>
            </w:r>
          </w:p>
        </w:tc>
        <w:tc>
          <w:tcPr>
            <w:tcW w:w="2910" w:type="dxa"/>
            <w:shd w:val="clear" w:color="auto" w:fill="F4F7FB"/>
            <w:vAlign w:val="top"/>
          </w:tcPr>
          <w:p>
            <w:pPr>
              <w:pStyle w:val="TableText"/>
              <w:jc w:val="left"/>
            </w:pPr>
            <w:r>
              <w:t xml:space="preserve">Synthetic generator in the PERF environment</w:t>
            </w:r>
          </w:p>
        </w:tc>
        <w:tc>
          <w:tcPr>
            <w:tcW w:w="1922" w:type="dxa"/>
            <w:shd w:val="clear" w:color="auto" w:fill="F4F7FB"/>
            <w:vAlign w:val="top"/>
          </w:tcPr>
          <w:p>
            <w:pPr>
              <w:pStyle w:val="TableText"/>
              <w:jc w:val="left"/>
            </w:pPr>
            <w:r>
              <w:t xml:space="preserve">PERF-S7 to S9</w:t>
            </w:r>
          </w:p>
        </w:tc>
      </w:tr>
      <w:tr>
        <w:trPr>
          <w:cantSplit/>
        </w:trPr>
        <w:tc>
          <w:tcPr>
            <w:tcW w:w="1774" w:type="dxa"/>
            <w:vAlign w:val="top"/>
          </w:tcPr>
          <w:p>
            <w:pPr>
              <w:pStyle w:val="TableText"/>
              <w:jc w:val="left"/>
            </w:pPr>
            <w:r>
              <w:t xml:space="preserve">Stress and soak</w:t>
            </w:r>
          </w:p>
        </w:tc>
        <w:tc>
          <w:tcPr>
            <w:tcW w:w="2421" w:type="dxa"/>
            <w:vAlign w:val="top"/>
          </w:tcPr>
          <w:p>
            <w:pPr>
              <w:pStyle w:val="TableText"/>
              <w:jc w:val="left"/>
            </w:pPr>
            <w:r>
              <w:t xml:space="preserve">Graceful degradation; no leaks over 12 to 24 hours</w:t>
            </w:r>
          </w:p>
        </w:tc>
        <w:tc>
          <w:tcPr>
            <w:tcW w:w="2910" w:type="dxa"/>
            <w:vAlign w:val="top"/>
          </w:tcPr>
          <w:p>
            <w:pPr>
              <w:pStyle w:val="TableText"/>
              <w:jc w:val="left"/>
            </w:pPr>
            <w:r>
              <w:t xml:space="preserve">Ramp to 2× the design point; 60 % load for 12 hours</w:t>
            </w:r>
          </w:p>
        </w:tc>
        <w:tc>
          <w:tcPr>
            <w:tcW w:w="1922" w:type="dxa"/>
            <w:vAlign w:val="top"/>
          </w:tcPr>
          <w:p>
            <w:pPr>
              <w:pStyle w:val="TableText"/>
              <w:jc w:val="left"/>
            </w:pPr>
            <w:r>
              <w:t xml:space="preserve">PERF-S10, S11</w:t>
            </w:r>
          </w:p>
        </w:tc>
      </w:tr>
      <w:tr>
        <w:trPr>
          <w:cantSplit/>
        </w:trPr>
        <w:tc>
          <w:tcPr>
            <w:tcW w:w="1774" w:type="dxa"/>
            <w:shd w:val="clear" w:color="auto" w:fill="F4F7FB"/>
            <w:vAlign w:val="top"/>
          </w:tcPr>
          <w:p>
            <w:pPr>
              <w:pStyle w:val="TableText"/>
              <w:jc w:val="left"/>
            </w:pPr>
            <w:r>
              <w:t xml:space="preserve">Security</w:t>
            </w:r>
          </w:p>
        </w:tc>
        <w:tc>
          <w:tcPr>
            <w:tcW w:w="2421" w:type="dxa"/>
            <w:shd w:val="clear" w:color="auto" w:fill="F4F7FB"/>
            <w:vAlign w:val="top"/>
          </w:tcPr>
          <w:p>
            <w:pPr>
              <w:pStyle w:val="TableText"/>
              <w:jc w:val="left"/>
            </w:pPr>
            <w:r>
              <w:t xml:space="preserve">No open critical or high findings</w:t>
            </w:r>
          </w:p>
        </w:tc>
        <w:tc>
          <w:tcPr>
            <w:tcW w:w="2910" w:type="dxa"/>
            <w:shd w:val="clear" w:color="auto" w:fill="F4F7FB"/>
            <w:vAlign w:val="top"/>
          </w:tcPr>
          <w:p>
            <w:pPr>
              <w:pStyle w:val="TableText"/>
              <w:jc w:val="left"/>
            </w:pPr>
            <w:r>
              <w:t xml:space="preserve">Static, dependency, secret, container and dynamic scans; abuse-case suite; penetration test</w:t>
            </w:r>
          </w:p>
        </w:tc>
        <w:tc>
          <w:tcPr>
            <w:tcW w:w="1922" w:type="dxa"/>
            <w:shd w:val="clear" w:color="auto" w:fill="F4F7FB"/>
            <w:vAlign w:val="top"/>
          </w:tcPr>
          <w:p>
            <w:pPr>
              <w:pStyle w:val="TableText"/>
              <w:jc w:val="left"/>
            </w:pPr>
            <w:r>
              <w:t xml:space="preserve">Security testing below</w:t>
            </w:r>
          </w:p>
        </w:tc>
      </w:tr>
      <w:tr>
        <w:trPr>
          <w:cantSplit/>
        </w:trPr>
        <w:tc>
          <w:tcPr>
            <w:tcW w:w="1774" w:type="dxa"/>
            <w:vAlign w:val="top"/>
          </w:tcPr>
          <w:p>
            <w:pPr>
              <w:pStyle w:val="TableText"/>
              <w:jc w:val="left"/>
            </w:pPr>
            <w:r>
              <w:t xml:space="preserve">Resilience</w:t>
            </w:r>
          </w:p>
        </w:tc>
        <w:tc>
          <w:tcPr>
            <w:tcW w:w="2421" w:type="dxa"/>
            <w:vAlign w:val="top"/>
          </w:tcPr>
          <w:p>
            <w:pPr>
              <w:pStyle w:val="TableText"/>
              <w:jc w:val="left"/>
            </w:pPr>
            <w:r>
              <w:t xml:space="preserve">Breakers, outbox, database failover, pod loss</w:t>
            </w:r>
          </w:p>
        </w:tc>
        <w:tc>
          <w:tcPr>
            <w:tcW w:w="2910" w:type="dxa"/>
            <w:vAlign w:val="top"/>
          </w:tcPr>
          <w:p>
            <w:pPr>
              <w:pStyle w:val="TableText"/>
              <w:jc w:val="left"/>
            </w:pPr>
            <w:r>
              <w:t xml:space="preserve">Fault injection</w:t>
            </w:r>
          </w:p>
        </w:tc>
        <w:tc>
          <w:tcPr>
            <w:tcW w:w="1922" w:type="dxa"/>
            <w:vAlign w:val="top"/>
          </w:tcPr>
          <w:p>
            <w:pPr>
              <w:pStyle w:val="TableText"/>
              <w:jc w:val="left"/>
            </w:pPr>
            <w:r>
              <w:t xml:space="preserve">Resilience testing below</w:t>
            </w:r>
          </w:p>
        </w:tc>
      </w:tr>
      <w:tr>
        <w:trPr>
          <w:cantSplit/>
        </w:trPr>
        <w:tc>
          <w:tcPr>
            <w:tcW w:w="1774" w:type="dxa"/>
            <w:shd w:val="clear" w:color="auto" w:fill="F4F7FB"/>
            <w:vAlign w:val="top"/>
          </w:tcPr>
          <w:p>
            <w:pPr>
              <w:pStyle w:val="TableText"/>
              <w:jc w:val="left"/>
            </w:pPr>
            <w:r>
              <w:t xml:space="preserve">DR</w:t>
            </w:r>
          </w:p>
        </w:tc>
        <w:tc>
          <w:tcPr>
            <w:tcW w:w="2421" w:type="dxa"/>
            <w:shd w:val="clear" w:color="auto" w:fill="F4F7FB"/>
            <w:vAlign w:val="top"/>
          </w:tcPr>
          <w:p>
            <w:pPr>
              <w:pStyle w:val="TableText"/>
              <w:jc w:val="left"/>
            </w:pPr>
            <w:r>
              <w:t xml:space="preserve">Recovery within the targets</w:t>
            </w:r>
          </w:p>
        </w:tc>
        <w:tc>
          <w:tcPr>
            <w:tcW w:w="2910" w:type="dxa"/>
            <w:shd w:val="clear" w:color="auto" w:fill="F4F7FB"/>
            <w:vAlign w:val="top"/>
          </w:tcPr>
          <w:p>
            <w:pPr>
              <w:pStyle w:val="TableText"/>
              <w:jc w:val="left"/>
            </w:pPr>
            <w:r>
              <w:t xml:space="preserve">PITR restore; failover drills</w:t>
            </w:r>
          </w:p>
        </w:tc>
        <w:tc>
          <w:tcPr>
            <w:tcW w:w="1922" w:type="dxa"/>
            <w:shd w:val="clear" w:color="auto" w:fill="F4F7FB"/>
            <w:vAlign w:val="top"/>
          </w:tcPr>
          <w:p>
            <w:pPr>
              <w:pStyle w:val="TableText"/>
              <w:jc w:val="left"/>
            </w:pPr>
            <w:r>
              <w:t xml:space="preserve">TGP-OPS-03, DR-T1 to DR-T7</w:t>
            </w:r>
          </w:p>
        </w:tc>
      </w:tr>
      <w:tr>
        <w:trPr>
          <w:cantSplit/>
        </w:trPr>
        <w:tc>
          <w:tcPr>
            <w:tcW w:w="1774" w:type="dxa"/>
            <w:vAlign w:val="top"/>
          </w:tcPr>
          <w:p>
            <w:pPr>
              <w:pStyle w:val="TableText"/>
              <w:jc w:val="left"/>
            </w:pPr>
            <w:r>
              <w:t xml:space="preserve">Accessibility</w:t>
            </w:r>
          </w:p>
        </w:tc>
        <w:tc>
          <w:tcPr>
            <w:tcW w:w="2421" w:type="dxa"/>
            <w:vAlign w:val="top"/>
          </w:tcPr>
          <w:p>
            <w:pPr>
              <w:pStyle w:val="TableText"/>
              <w:jc w:val="left"/>
            </w:pPr>
            <w:r>
              <w:t xml:space="preserve">WCAG 2.2 AA</w:t>
            </w:r>
          </w:p>
        </w:tc>
        <w:tc>
          <w:tcPr>
            <w:tcW w:w="2910" w:type="dxa"/>
            <w:vAlign w:val="top"/>
          </w:tcPr>
          <w:p>
            <w:pPr>
              <w:pStyle w:val="TableText"/>
              <w:jc w:val="left"/>
            </w:pPr>
            <w:r>
              <w:t xml:space="preserve">Automated scan plus screen reader and keyboard passes</w:t>
            </w:r>
          </w:p>
        </w:tc>
        <w:tc>
          <w:tcPr>
            <w:tcW w:w="1922" w:type="dxa"/>
            <w:vAlign w:val="top"/>
          </w:tcPr>
          <w:p>
            <w:pPr>
              <w:pStyle w:val="TableText"/>
              <w:jc w:val="left"/>
            </w:pPr>
            <w:r>
              <w:t xml:space="preserve">TC-144 to TC-146</w:t>
            </w:r>
          </w:p>
        </w:tc>
      </w:tr>
      <w:tr>
        <w:trPr>
          <w:cantSplit/>
        </w:trPr>
        <w:tc>
          <w:tcPr>
            <w:tcW w:w="1774" w:type="dxa"/>
            <w:shd w:val="clear" w:color="auto" w:fill="F4F7FB"/>
            <w:vAlign w:val="top"/>
          </w:tcPr>
          <w:p>
            <w:pPr>
              <w:pStyle w:val="TableText"/>
              <w:jc w:val="left"/>
            </w:pPr>
            <w:r>
              <w:t xml:space="preserve">Usability</w:t>
            </w:r>
          </w:p>
        </w:tc>
        <w:tc>
          <w:tcPr>
            <w:tcW w:w="2421" w:type="dxa"/>
            <w:shd w:val="clear" w:color="auto" w:fill="F4F7FB"/>
            <w:vAlign w:val="top"/>
          </w:tcPr>
          <w:p>
            <w:pPr>
              <w:pStyle w:val="TableText"/>
              <w:jc w:val="left"/>
            </w:pPr>
            <w:r>
              <w:t xml:space="preserve">Key tasks completed by agents and customers</w:t>
            </w:r>
          </w:p>
        </w:tc>
        <w:tc>
          <w:tcPr>
            <w:tcW w:w="2910" w:type="dxa"/>
            <w:shd w:val="clear" w:color="auto" w:fill="F4F7FB"/>
            <w:vAlign w:val="top"/>
          </w:tcPr>
          <w:p>
            <w:pPr>
              <w:pStyle w:val="TableText"/>
              <w:jc w:val="left"/>
            </w:pPr>
            <w:r>
              <w:t xml:space="preserve">Moderated sessions</w:t>
            </w:r>
          </w:p>
        </w:tc>
        <w:tc>
          <w:tcPr>
            <w:tcW w:w="1922" w:type="dxa"/>
            <w:shd w:val="clear" w:color="auto" w:fill="F4F7FB"/>
            <w:vAlign w:val="top"/>
          </w:tcPr>
          <w:p>
            <w:pPr>
              <w:pStyle w:val="TableText"/>
              <w:jc w:val="left"/>
            </w:pPr>
            <w:r>
              <w:t xml:space="preserve">TGP-UX-04 Usability Testing Plan</w:t>
            </w:r>
          </w:p>
        </w:tc>
      </w:tr>
    </w:tbl>
    <w:p>
      <w:pPr>
        <w:pStyle w:val="Heading2"/>
      </w:pPr>
      <w:bookmarkStart w:id="20" w:name="_Toc300000016"/>
      <w:r>
        <w:t xml:space="preserve">Security testing</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19"/>
        <w:gridCol w:w="4300"/>
        <w:gridCol w:w="3008"/>
      </w:tblGrid>
      <w:tr>
        <w:trPr>
          <w:cantSplit/>
          <w:tblHeader/>
        </w:trPr>
        <w:tc>
          <w:tcPr>
            <w:tcW w:w="1719" w:type="dxa"/>
            <w:shd w:val="clear" w:color="auto" w:fill="0F4761"/>
            <w:vAlign w:val="center"/>
          </w:tcPr>
          <w:p>
            <w:pPr>
              <w:pStyle w:val="TableHeading"/>
              <w:jc w:val="left"/>
            </w:pPr>
            <w:r>
              <w:rPr>
                <w:color w:val="FFFFFF"/>
              </w:rPr>
              <w:t xml:space="preserve">Control</w:t>
            </w:r>
          </w:p>
        </w:tc>
        <w:tc>
          <w:tcPr>
            <w:tcW w:w="4300" w:type="dxa"/>
            <w:shd w:val="clear" w:color="auto" w:fill="0F4761"/>
            <w:vAlign w:val="center"/>
          </w:tcPr>
          <w:p>
            <w:pPr>
              <w:pStyle w:val="TableHeading"/>
              <w:jc w:val="left"/>
            </w:pPr>
            <w:r>
              <w:rPr>
                <w:color w:val="FFFFFF"/>
              </w:rPr>
              <w:t xml:space="preserve">Tool or test</w:t>
            </w:r>
          </w:p>
        </w:tc>
        <w:tc>
          <w:tcPr>
            <w:tcW w:w="3008" w:type="dxa"/>
            <w:shd w:val="clear" w:color="auto" w:fill="0F4761"/>
            <w:vAlign w:val="center"/>
          </w:tcPr>
          <w:p>
            <w:pPr>
              <w:pStyle w:val="TableHeading"/>
              <w:jc w:val="left"/>
            </w:pPr>
            <w:r>
              <w:rPr>
                <w:color w:val="FFFFFF"/>
              </w:rPr>
              <w:t xml:space="preserve">Gate</w:t>
            </w:r>
          </w:p>
        </w:tc>
      </w:tr>
      <w:tr>
        <w:trPr>
          <w:cantSplit/>
        </w:trPr>
        <w:tc>
          <w:tcPr>
            <w:tcW w:w="1719" w:type="dxa"/>
            <w:vAlign w:val="top"/>
          </w:tcPr>
          <w:p>
            <w:pPr>
              <w:pStyle w:val="TableText"/>
              <w:jc w:val="left"/>
            </w:pPr>
            <w:r>
              <w:t xml:space="preserve">Static analysis</w:t>
            </w:r>
          </w:p>
        </w:tc>
        <w:tc>
          <w:tcPr>
            <w:tcW w:w="4300" w:type="dxa"/>
            <w:vAlign w:val="top"/>
          </w:tcPr>
          <w:p>
            <w:pPr>
              <w:pStyle w:val="TableText"/>
              <w:jc w:val="left"/>
            </w:pPr>
            <w:r>
              <w:t xml:space="preserve">CodeQL (security-extended)</w:t>
            </w:r>
          </w:p>
        </w:tc>
        <w:tc>
          <w:tcPr>
            <w:tcW w:w="3008" w:type="dxa"/>
            <w:vAlign w:val="top"/>
          </w:tcPr>
          <w:p>
            <w:pPr>
              <w:pStyle w:val="TableText"/>
              <w:jc w:val="left"/>
            </w:pPr>
            <w:r>
              <w:t xml:space="preserve">No new high or critical alerts</w:t>
            </w:r>
          </w:p>
        </w:tc>
      </w:tr>
      <w:tr>
        <w:trPr>
          <w:cantSplit/>
        </w:trPr>
        <w:tc>
          <w:tcPr>
            <w:tcW w:w="1719" w:type="dxa"/>
            <w:shd w:val="clear" w:color="auto" w:fill="F4F7FB"/>
            <w:vAlign w:val="top"/>
          </w:tcPr>
          <w:p>
            <w:pPr>
              <w:pStyle w:val="TableText"/>
              <w:jc w:val="left"/>
            </w:pPr>
            <w:r>
              <w:t xml:space="preserve">Lint</w:t>
            </w:r>
          </w:p>
        </w:tc>
        <w:tc>
          <w:tcPr>
            <w:tcW w:w="4300" w:type="dxa"/>
            <w:shd w:val="clear" w:color="auto" w:fill="F4F7FB"/>
            <w:vAlign w:val="top"/>
          </w:tcPr>
          <w:p>
            <w:pPr>
              <w:pStyle w:val="TableText"/>
              <w:jc w:val="left"/>
            </w:pPr>
            <w:r>
              <w:t xml:space="preserve">ESLint 9</w:t>
            </w:r>
          </w:p>
        </w:tc>
        <w:tc>
          <w:tcPr>
            <w:tcW w:w="3008" w:type="dxa"/>
            <w:shd w:val="clear" w:color="auto" w:fill="F4F7FB"/>
            <w:vAlign w:val="top"/>
          </w:tcPr>
          <w:p>
            <w:pPr>
              <w:pStyle w:val="TableText"/>
              <w:jc w:val="left"/>
            </w:pPr>
            <w:r>
              <w:t xml:space="preserve">Zero errors</w:t>
            </w:r>
          </w:p>
        </w:tc>
      </w:tr>
      <w:tr>
        <w:trPr>
          <w:cantSplit/>
        </w:trPr>
        <w:tc>
          <w:tcPr>
            <w:tcW w:w="1719" w:type="dxa"/>
            <w:vAlign w:val="top"/>
          </w:tcPr>
          <w:p>
            <w:pPr>
              <w:pStyle w:val="TableText"/>
              <w:jc w:val="left"/>
            </w:pPr>
            <w:r>
              <w:t xml:space="preserve">Dependencies</w:t>
            </w:r>
          </w:p>
        </w:tc>
        <w:tc>
          <w:tcPr>
            <w:tcW w:w="4300" w:type="dxa"/>
            <w:vAlign w:val="top"/>
          </w:tcPr>
          <w:p>
            <w:pPr>
              <w:pStyle w:val="TableText"/>
              <w:jc w:val="left"/>
            </w:pPr>
            <w:r>
              <w:rPr>
                <w:rStyle w:val="CodeChar"/>
              </w:rPr>
              <w:t xml:space="preserve">npm run audit</w:t>
            </w:r>
            <w:r>
              <w:t xml:space="preserve"> </w:t>
            </w:r>
            <w:r>
              <w:t xml:space="preserve">(production dependencies)</w:t>
            </w:r>
          </w:p>
        </w:tc>
        <w:tc>
          <w:tcPr>
            <w:tcW w:w="3008" w:type="dxa"/>
            <w:vAlign w:val="top"/>
          </w:tcPr>
          <w:p>
            <w:pPr>
              <w:pStyle w:val="TableText"/>
              <w:jc w:val="left"/>
            </w:pPr>
            <w:r>
              <w:t xml:space="preserve">No high or critical</w:t>
            </w:r>
          </w:p>
        </w:tc>
      </w:tr>
      <w:tr>
        <w:trPr>
          <w:cantSplit/>
        </w:trPr>
        <w:tc>
          <w:tcPr>
            <w:tcW w:w="1719" w:type="dxa"/>
            <w:shd w:val="clear" w:color="auto" w:fill="F4F7FB"/>
            <w:vAlign w:val="top"/>
          </w:tcPr>
          <w:p>
            <w:pPr>
              <w:pStyle w:val="TableText"/>
              <w:jc w:val="left"/>
            </w:pPr>
            <w:r>
              <w:t xml:space="preserve">SBOM</w:t>
            </w:r>
          </w:p>
        </w:tc>
        <w:tc>
          <w:tcPr>
            <w:tcW w:w="4300" w:type="dxa"/>
            <w:shd w:val="clear" w:color="auto" w:fill="F4F7FB"/>
            <w:vAlign w:val="top"/>
          </w:tcPr>
          <w:p>
            <w:pPr>
              <w:pStyle w:val="TableText"/>
              <w:jc w:val="left"/>
            </w:pPr>
            <w:r>
              <w:t xml:space="preserve">CycloneDX</w:t>
            </w:r>
          </w:p>
        </w:tc>
        <w:tc>
          <w:tcPr>
            <w:tcW w:w="3008" w:type="dxa"/>
            <w:shd w:val="clear" w:color="auto" w:fill="F4F7FB"/>
            <w:vAlign w:val="top"/>
          </w:tcPr>
          <w:p>
            <w:pPr>
              <w:pStyle w:val="TableText"/>
              <w:jc w:val="left"/>
            </w:pPr>
            <w:r>
              <w:t xml:space="preserve">Attached to every tagged build</w:t>
            </w:r>
          </w:p>
        </w:tc>
      </w:tr>
      <w:tr>
        <w:trPr>
          <w:cantSplit/>
        </w:trPr>
        <w:tc>
          <w:tcPr>
            <w:tcW w:w="1719" w:type="dxa"/>
            <w:vAlign w:val="top"/>
          </w:tcPr>
          <w:p>
            <w:pPr>
              <w:pStyle w:val="TableText"/>
              <w:jc w:val="left"/>
            </w:pPr>
            <w:r>
              <w:t xml:space="preserve">Secrets</w:t>
            </w:r>
          </w:p>
        </w:tc>
        <w:tc>
          <w:tcPr>
            <w:tcW w:w="4300" w:type="dxa"/>
            <w:vAlign w:val="top"/>
          </w:tcPr>
          <w:p>
            <w:pPr>
              <w:pStyle w:val="TableText"/>
              <w:jc w:val="left"/>
            </w:pPr>
            <w:r>
              <w:t xml:space="preserve">gitleaks over the full history</w:t>
            </w:r>
          </w:p>
        </w:tc>
        <w:tc>
          <w:tcPr>
            <w:tcW w:w="3008" w:type="dxa"/>
            <w:vAlign w:val="top"/>
          </w:tcPr>
          <w:p>
            <w:pPr>
              <w:pStyle w:val="TableText"/>
              <w:jc w:val="left"/>
            </w:pPr>
            <w:r>
              <w:t xml:space="preserve">Zero findings</w:t>
            </w:r>
          </w:p>
        </w:tc>
      </w:tr>
      <w:tr>
        <w:trPr>
          <w:cantSplit/>
        </w:trPr>
        <w:tc>
          <w:tcPr>
            <w:tcW w:w="1719" w:type="dxa"/>
            <w:shd w:val="clear" w:color="auto" w:fill="F4F7FB"/>
            <w:vAlign w:val="top"/>
          </w:tcPr>
          <w:p>
            <w:pPr>
              <w:pStyle w:val="TableText"/>
              <w:jc w:val="left"/>
            </w:pPr>
            <w:r>
              <w:t xml:space="preserve">Container</w:t>
            </w:r>
          </w:p>
        </w:tc>
        <w:tc>
          <w:tcPr>
            <w:tcW w:w="4300" w:type="dxa"/>
            <w:shd w:val="clear" w:color="auto" w:fill="F4F7FB"/>
            <w:vAlign w:val="top"/>
          </w:tcPr>
          <w:p>
            <w:pPr>
              <w:pStyle w:val="TableText"/>
              <w:jc w:val="left"/>
            </w:pPr>
            <w:r>
              <w:t xml:space="preserve">Trivy image scan</w:t>
            </w:r>
          </w:p>
        </w:tc>
        <w:tc>
          <w:tcPr>
            <w:tcW w:w="3008" w:type="dxa"/>
            <w:shd w:val="clear" w:color="auto" w:fill="F4F7FB"/>
            <w:vAlign w:val="top"/>
          </w:tcPr>
          <w:p>
            <w:pPr>
              <w:pStyle w:val="TableText"/>
              <w:jc w:val="left"/>
            </w:pPr>
            <w:r>
              <w:t xml:space="preserve">No high or critical without a dated waiver</w:t>
            </w:r>
          </w:p>
        </w:tc>
      </w:tr>
      <w:tr>
        <w:trPr>
          <w:cantSplit/>
        </w:trPr>
        <w:tc>
          <w:tcPr>
            <w:tcW w:w="1719" w:type="dxa"/>
            <w:vAlign w:val="top"/>
          </w:tcPr>
          <w:p>
            <w:pPr>
              <w:pStyle w:val="TableText"/>
              <w:jc w:val="left"/>
            </w:pPr>
            <w:r>
              <w:t xml:space="preserve">Dynamic scan</w:t>
            </w:r>
          </w:p>
        </w:tc>
        <w:tc>
          <w:tcPr>
            <w:tcW w:w="4300" w:type="dxa"/>
            <w:vAlign w:val="top"/>
          </w:tcPr>
          <w:p>
            <w:pPr>
              <w:pStyle w:val="TableText"/>
              <w:jc w:val="left"/>
            </w:pPr>
            <w:r>
              <w:t xml:space="preserve">ZAP baseline on every push (report only); authenticated scan before G3</w:t>
            </w:r>
          </w:p>
        </w:tc>
        <w:tc>
          <w:tcPr>
            <w:tcW w:w="3008" w:type="dxa"/>
            <w:vAlign w:val="top"/>
          </w:tcPr>
          <w:p>
            <w:pPr>
              <w:pStyle w:val="TableText"/>
              <w:jc w:val="left"/>
            </w:pPr>
            <w:r>
              <w:t xml:space="preserve">No high-risk alert at release</w:t>
            </w:r>
          </w:p>
        </w:tc>
      </w:tr>
      <w:tr>
        <w:trPr>
          <w:cantSplit/>
        </w:trPr>
        <w:tc>
          <w:tcPr>
            <w:tcW w:w="1719" w:type="dxa"/>
            <w:shd w:val="clear" w:color="auto" w:fill="F4F7FB"/>
            <w:vAlign w:val="top"/>
          </w:tcPr>
          <w:p>
            <w:pPr>
              <w:pStyle w:val="TableText"/>
              <w:jc w:val="left"/>
            </w:pPr>
            <w:r>
              <w:t xml:space="preserve">Abuse cases</w:t>
            </w:r>
          </w:p>
        </w:tc>
        <w:tc>
          <w:tcPr>
            <w:tcW w:w="4300" w:type="dxa"/>
            <w:shd w:val="clear" w:color="auto" w:fill="F4F7FB"/>
            <w:vAlign w:val="top"/>
          </w:tcPr>
          <w:p>
            <w:pPr>
              <w:pStyle w:val="TableText"/>
              <w:jc w:val="left"/>
            </w:pPr>
            <w:r>
              <w:rPr>
                <w:rStyle w:val="CodeChar"/>
              </w:rPr>
              <w:t xml:space="preserve">test/security</w:t>
            </w:r>
          </w:p>
        </w:tc>
        <w:tc>
          <w:tcPr>
            <w:tcW w:w="3008" w:type="dxa"/>
            <w:shd w:val="clear" w:color="auto" w:fill="F4F7FB"/>
            <w:vAlign w:val="top"/>
          </w:tcPr>
          <w:p>
            <w:pPr>
              <w:pStyle w:val="TableText"/>
              <w:jc w:val="left"/>
            </w:pPr>
            <w:r>
              <w:t xml:space="preserve">All pass</w:t>
            </w:r>
          </w:p>
        </w:tc>
      </w:tr>
      <w:tr>
        <w:trPr>
          <w:cantSplit/>
        </w:trPr>
        <w:tc>
          <w:tcPr>
            <w:tcW w:w="1719" w:type="dxa"/>
            <w:vAlign w:val="top"/>
          </w:tcPr>
          <w:p>
            <w:pPr>
              <w:pStyle w:val="TableText"/>
              <w:jc w:val="left"/>
            </w:pPr>
            <w:r>
              <w:t xml:space="preserve">Penetration test</w:t>
            </w:r>
          </w:p>
        </w:tc>
        <w:tc>
          <w:tcPr>
            <w:tcW w:w="4300" w:type="dxa"/>
            <w:vAlign w:val="top"/>
          </w:tcPr>
          <w:p>
            <w:pPr>
              <w:pStyle w:val="TableText"/>
              <w:jc w:val="left"/>
            </w:pPr>
            <w:r>
              <w:t xml:space="preserve">Independent vendor, grey-box, OWASP ASVS Level 2 scope, during the test phase</w:t>
            </w:r>
          </w:p>
        </w:tc>
        <w:tc>
          <w:tcPr>
            <w:tcW w:w="3008" w:type="dxa"/>
            <w:vAlign w:val="top"/>
          </w:tcPr>
          <w:p>
            <w:pPr>
              <w:pStyle w:val="TableText"/>
              <w:jc w:val="left"/>
            </w:pPr>
            <w:r>
              <w:t xml:space="preserve">No open critical or high at G3; mediums with a dated plan</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966"/>
        <w:gridCol w:w="2061"/>
      </w:tblGrid>
      <w:tr>
        <w:trPr>
          <w:cantSplit/>
          <w:tblHeader/>
        </w:trPr>
        <w:tc>
          <w:tcPr>
            <w:tcW w:w="6966" w:type="dxa"/>
            <w:shd w:val="clear" w:color="auto" w:fill="0F4761"/>
            <w:vAlign w:val="center"/>
          </w:tcPr>
          <w:p>
            <w:pPr>
              <w:pStyle w:val="TableHeading"/>
              <w:jc w:val="left"/>
            </w:pPr>
            <w:r>
              <w:rPr>
                <w:color w:val="FFFFFF"/>
              </w:rPr>
              <w:t xml:space="preserve">Control in code</w:t>
            </w:r>
          </w:p>
        </w:tc>
        <w:tc>
          <w:tcPr>
            <w:tcW w:w="2061" w:type="dxa"/>
            <w:shd w:val="clear" w:color="auto" w:fill="0F4761"/>
            <w:vAlign w:val="center"/>
          </w:tcPr>
          <w:p>
            <w:pPr>
              <w:pStyle w:val="TableHeading"/>
              <w:jc w:val="left"/>
            </w:pPr>
            <w:r>
              <w:rPr>
                <w:color w:val="FFFFFF"/>
              </w:rPr>
              <w:t xml:space="preserve">Abuse cases</w:t>
            </w:r>
          </w:p>
        </w:tc>
      </w:tr>
      <w:tr>
        <w:trPr>
          <w:cantSplit/>
        </w:trPr>
        <w:tc>
          <w:tcPr>
            <w:tcW w:w="6966" w:type="dxa"/>
            <w:vAlign w:val="top"/>
          </w:tcPr>
          <w:p>
            <w:pPr>
              <w:pStyle w:val="TableText"/>
              <w:jc w:val="left"/>
            </w:pPr>
            <w:r>
              <w:t xml:space="preserve">Token checks: algorithm, signature, expiry, audience, tokens issued before a password, role or status change</w:t>
            </w:r>
          </w:p>
        </w:tc>
        <w:tc>
          <w:tcPr>
            <w:tcW w:w="2061" w:type="dxa"/>
            <w:vAlign w:val="top"/>
          </w:tcPr>
          <w:p>
            <w:pPr>
              <w:pStyle w:val="TableText"/>
              <w:jc w:val="left"/>
            </w:pPr>
            <w:r>
              <w:t xml:space="preserve">TC-011, TC-013 to TC-016</w:t>
            </w:r>
          </w:p>
        </w:tc>
      </w:tr>
      <w:tr>
        <w:trPr>
          <w:cantSplit/>
        </w:trPr>
        <w:tc>
          <w:tcPr>
            <w:tcW w:w="6966" w:type="dxa"/>
            <w:shd w:val="clear" w:color="auto" w:fill="F4F7FB"/>
            <w:vAlign w:val="top"/>
          </w:tcPr>
          <w:p>
            <w:pPr>
              <w:pStyle w:val="TableText"/>
              <w:jc w:val="left"/>
            </w:pPr>
            <w:r>
              <w:t xml:space="preserve">Lockout after 5 failures across password and code for 15 minutes; code replay refused</w:t>
            </w:r>
          </w:p>
        </w:tc>
        <w:tc>
          <w:tcPr>
            <w:tcW w:w="2061" w:type="dxa"/>
            <w:shd w:val="clear" w:color="auto" w:fill="F4F7FB"/>
            <w:vAlign w:val="top"/>
          </w:tcPr>
          <w:p>
            <w:pPr>
              <w:pStyle w:val="TableText"/>
              <w:jc w:val="left"/>
            </w:pPr>
            <w:r>
              <w:t xml:space="preserve">TC-005, TC-006, TC-020</w:t>
            </w:r>
          </w:p>
        </w:tc>
      </w:tr>
      <w:tr>
        <w:trPr>
          <w:cantSplit/>
        </w:trPr>
        <w:tc>
          <w:tcPr>
            <w:tcW w:w="6966" w:type="dxa"/>
            <w:vAlign w:val="top"/>
          </w:tcPr>
          <w:p>
            <w:pPr>
              <w:pStyle w:val="TableText"/>
              <w:jc w:val="left"/>
            </w:pPr>
            <w:r>
              <w:t xml:space="preserve">Sign-in limit 10 per minute per IP; global limit 300 per minute per IP</w:t>
            </w:r>
          </w:p>
        </w:tc>
        <w:tc>
          <w:tcPr>
            <w:tcW w:w="2061" w:type="dxa"/>
            <w:vAlign w:val="top"/>
          </w:tcPr>
          <w:p>
            <w:pPr>
              <w:pStyle w:val="TableText"/>
              <w:jc w:val="left"/>
            </w:pPr>
            <w:r>
              <w:t xml:space="preserve">TC-121, TC-122</w:t>
            </w:r>
          </w:p>
        </w:tc>
      </w:tr>
      <w:tr>
        <w:trPr>
          <w:cantSplit/>
        </w:trPr>
        <w:tc>
          <w:tcPr>
            <w:tcW w:w="6966" w:type="dxa"/>
            <w:shd w:val="clear" w:color="auto" w:fill="F4F7FB"/>
            <w:vAlign w:val="top"/>
          </w:tcPr>
          <w:p>
            <w:pPr>
              <w:pStyle w:val="TableText"/>
              <w:jc w:val="left"/>
            </w:pPr>
            <w:r>
              <w:t xml:space="preserve">Body limit 1 MiB; JSON only; static path traversal guard; unknown properties refused</w:t>
            </w:r>
          </w:p>
        </w:tc>
        <w:tc>
          <w:tcPr>
            <w:tcW w:w="2061" w:type="dxa"/>
            <w:shd w:val="clear" w:color="auto" w:fill="F4F7FB"/>
            <w:vAlign w:val="top"/>
          </w:tcPr>
          <w:p>
            <w:pPr>
              <w:pStyle w:val="TableText"/>
              <w:jc w:val="left"/>
            </w:pPr>
            <w:r>
              <w:t xml:space="preserve">TC-117 to TC-120</w:t>
            </w:r>
          </w:p>
        </w:tc>
      </w:tr>
      <w:tr>
        <w:trPr>
          <w:cantSplit/>
        </w:trPr>
        <w:tc>
          <w:tcPr>
            <w:tcW w:w="6966" w:type="dxa"/>
            <w:vAlign w:val="top"/>
          </w:tcPr>
          <w:p>
            <w:pPr>
              <w:pStyle w:val="TableText"/>
              <w:jc w:val="left"/>
            </w:pPr>
            <w:r>
              <w:t xml:space="preserve">Parameterised SQL and column allow-list</w:t>
            </w:r>
          </w:p>
        </w:tc>
        <w:tc>
          <w:tcPr>
            <w:tcW w:w="2061" w:type="dxa"/>
            <w:vAlign w:val="top"/>
          </w:tcPr>
          <w:p>
            <w:pPr>
              <w:pStyle w:val="TableText"/>
              <w:jc w:val="left"/>
            </w:pPr>
            <w:r>
              <w:t xml:space="preserve">TC-123, TC-124</w:t>
            </w:r>
          </w:p>
        </w:tc>
      </w:tr>
      <w:tr>
        <w:trPr>
          <w:cantSplit/>
        </w:trPr>
        <w:tc>
          <w:tcPr>
            <w:tcW w:w="6966" w:type="dxa"/>
            <w:shd w:val="clear" w:color="auto" w:fill="F4F7FB"/>
            <w:vAlign w:val="top"/>
          </w:tcPr>
          <w:p>
            <w:pPr>
              <w:pStyle w:val="TableText"/>
              <w:jc w:val="left"/>
            </w:pPr>
            <w:r>
              <w:t xml:space="preserve">Ownership checks on customer and partner quotes</w:t>
            </w:r>
          </w:p>
        </w:tc>
        <w:tc>
          <w:tcPr>
            <w:tcW w:w="2061" w:type="dxa"/>
            <w:shd w:val="clear" w:color="auto" w:fill="F4F7FB"/>
            <w:vAlign w:val="top"/>
          </w:tcPr>
          <w:p>
            <w:pPr>
              <w:pStyle w:val="TableText"/>
              <w:jc w:val="left"/>
            </w:pPr>
            <w:r>
              <w:t xml:space="preserve">TC-071, TC-081</w:t>
            </w:r>
          </w:p>
        </w:tc>
      </w:tr>
      <w:tr>
        <w:trPr>
          <w:cantSplit/>
        </w:trPr>
        <w:tc>
          <w:tcPr>
            <w:tcW w:w="6966" w:type="dxa"/>
            <w:noWrap/>
            <w:vAlign w:val="top"/>
          </w:tcPr>
          <w:p>
            <w:pPr>
              <w:pStyle w:val="TableText"/>
              <w:jc w:val="left"/>
            </w:pPr>
            <w:r>
              <w:t xml:space="preserve">Maker-checker</w:t>
            </w:r>
          </w:p>
        </w:tc>
        <w:tc>
          <w:tcPr>
            <w:tcW w:w="2061" w:type="dxa"/>
            <w:vAlign w:val="top"/>
          </w:tcPr>
          <w:p>
            <w:pPr>
              <w:pStyle w:val="TableText"/>
              <w:jc w:val="left"/>
            </w:pPr>
            <w:r>
              <w:t xml:space="preserve">TC-090, TC-091</w:t>
            </w:r>
          </w:p>
        </w:tc>
      </w:tr>
      <w:tr>
        <w:trPr>
          <w:cantSplit/>
        </w:trPr>
        <w:tc>
          <w:tcPr>
            <w:tcW w:w="6966" w:type="dxa"/>
            <w:shd w:val="clear" w:color="auto" w:fill="F4F7FB"/>
            <w:vAlign w:val="top"/>
          </w:tcPr>
          <w:p>
            <w:pPr>
              <w:pStyle w:val="TableText"/>
              <w:jc w:val="left"/>
            </w:pPr>
            <w:r>
              <w:t xml:space="preserve">Field encryption at rest and log redaction</w:t>
            </w:r>
          </w:p>
        </w:tc>
        <w:tc>
          <w:tcPr>
            <w:tcW w:w="2061" w:type="dxa"/>
            <w:shd w:val="clear" w:color="auto" w:fill="F4F7FB"/>
            <w:vAlign w:val="top"/>
          </w:tcPr>
          <w:p>
            <w:pPr>
              <w:pStyle w:val="TableText"/>
              <w:jc w:val="left"/>
            </w:pPr>
            <w:r>
              <w:t xml:space="preserve">TC-108, TC-109</w:t>
            </w:r>
          </w:p>
        </w:tc>
      </w:tr>
      <w:tr>
        <w:trPr>
          <w:cantSplit/>
        </w:trPr>
        <w:tc>
          <w:tcPr>
            <w:tcW w:w="6966" w:type="dxa"/>
            <w:vAlign w:val="top"/>
          </w:tcPr>
          <w:p>
            <w:pPr>
              <w:pStyle w:val="TableText"/>
              <w:jc w:val="left"/>
            </w:pPr>
            <w:r>
              <w:t xml:space="preserve">No personal data in core rating requests</w:t>
            </w:r>
          </w:p>
        </w:tc>
        <w:tc>
          <w:tcPr>
            <w:tcW w:w="2061" w:type="dxa"/>
            <w:vAlign w:val="top"/>
          </w:tcPr>
          <w:p>
            <w:pPr>
              <w:pStyle w:val="TableText"/>
              <w:jc w:val="left"/>
            </w:pPr>
            <w:r>
              <w:t xml:space="preserve">TC-170, TC-177</w:t>
            </w:r>
          </w:p>
        </w:tc>
      </w:tr>
    </w:tbl>
    <w:p>
      <w:pPr>
        <w:pStyle w:val="Heading2"/>
      </w:pPr>
      <w:bookmarkStart w:id="21" w:name="_Toc300000017"/>
      <w:r>
        <w:t xml:space="preserve">Resilience testing</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30"/>
        <w:gridCol w:w="1949"/>
        <w:gridCol w:w="5148"/>
      </w:tblGrid>
      <w:tr>
        <w:trPr>
          <w:cantSplit/>
          <w:tblHeader/>
        </w:trPr>
        <w:tc>
          <w:tcPr>
            <w:tcW w:w="1930" w:type="dxa"/>
            <w:shd w:val="clear" w:color="auto" w:fill="0F4761"/>
            <w:vAlign w:val="center"/>
          </w:tcPr>
          <w:p>
            <w:pPr>
              <w:pStyle w:val="TableHeading"/>
              <w:jc w:val="left"/>
            </w:pPr>
            <w:r>
              <w:rPr>
                <w:color w:val="FFFFFF"/>
              </w:rPr>
              <w:t xml:space="preserve">Fault</w:t>
            </w:r>
          </w:p>
        </w:tc>
        <w:tc>
          <w:tcPr>
            <w:tcW w:w="1949" w:type="dxa"/>
            <w:shd w:val="clear" w:color="auto" w:fill="0F4761"/>
            <w:vAlign w:val="center"/>
          </w:tcPr>
          <w:p>
            <w:pPr>
              <w:pStyle w:val="TableHeading"/>
              <w:jc w:val="left"/>
            </w:pPr>
            <w:r>
              <w:rPr>
                <w:color w:val="FFFFFF"/>
              </w:rPr>
              <w:t xml:space="preserve">Injection</w:t>
            </w:r>
          </w:p>
        </w:tc>
        <w:tc>
          <w:tcPr>
            <w:tcW w:w="5148" w:type="dxa"/>
            <w:shd w:val="clear" w:color="auto" w:fill="0F4761"/>
            <w:vAlign w:val="center"/>
          </w:tcPr>
          <w:p>
            <w:pPr>
              <w:pStyle w:val="TableHeading"/>
              <w:jc w:val="left"/>
            </w:pPr>
            <w:r>
              <w:rPr>
                <w:color w:val="FFFFFF"/>
              </w:rPr>
              <w:t xml:space="preserve">Expected behaviour</w:t>
            </w:r>
          </w:p>
        </w:tc>
      </w:tr>
      <w:tr>
        <w:trPr>
          <w:cantSplit/>
        </w:trPr>
        <w:tc>
          <w:tcPr>
            <w:tcW w:w="1930" w:type="dxa"/>
            <w:vAlign w:val="top"/>
          </w:tcPr>
          <w:p>
            <w:pPr>
              <w:pStyle w:val="TableText"/>
              <w:jc w:val="left"/>
            </w:pPr>
            <w:r>
              <w:t xml:space="preserve">VETC wallet slow or down</w:t>
            </w:r>
          </w:p>
        </w:tc>
        <w:tc>
          <w:tcPr>
            <w:tcW w:w="1949" w:type="dxa"/>
            <w:vAlign w:val="top"/>
          </w:tcPr>
          <w:p>
            <w:pPr>
              <w:pStyle w:val="TableText"/>
              <w:jc w:val="left"/>
            </w:pPr>
            <w:r>
              <w:t xml:space="preserve">Port with delay over 5 s or errors</w:t>
            </w:r>
          </w:p>
        </w:tc>
        <w:tc>
          <w:tcPr>
            <w:tcW w:w="5148" w:type="dxa"/>
            <w:vAlign w:val="top"/>
          </w:tcPr>
          <w:p>
            <w:pPr>
              <w:pStyle w:val="TableText"/>
              <w:jc w:val="left"/>
            </w:pPr>
            <w:r>
              <w:t xml:space="preserve">5 s timeout, 2 retries with backoff, circuit</w:t>
            </w:r>
            <w:r>
              <w:t xml:space="preserve"> </w:t>
            </w:r>
            <w:r>
              <w:rPr>
                <w:rStyle w:val="CodeChar"/>
              </w:rPr>
              <w:t xml:space="preserve">vetc-wallet</w:t>
            </w:r>
            <w:r>
              <w:t xml:space="preserve"> </w:t>
            </w:r>
            <w:r>
              <w:t xml:space="preserve">opens after 5 failed calls for 30 s; order</w:t>
            </w:r>
            <w:r>
              <w:t xml:space="preserve"> </w:t>
            </w:r>
            <w:r>
              <w:rPr>
                <w:rStyle w:val="CodeChar"/>
              </w:rPr>
              <w:t xml:space="preserve">payment_failed</w:t>
            </w:r>
            <w:r>
              <w:t xml:space="preserve">; 503</w:t>
            </w:r>
            <w:r>
              <w:t xml:space="preserve"> </w:t>
            </w:r>
            <w:r>
              <w:rPr>
                <w:rStyle w:val="CodeChar"/>
              </w:rPr>
              <w:t xml:space="preserve">UPSTREAM_UNAVAILABLE</w:t>
            </w:r>
          </w:p>
        </w:tc>
      </w:tr>
      <w:tr>
        <w:trPr>
          <w:cantSplit/>
        </w:trPr>
        <w:tc>
          <w:tcPr>
            <w:tcW w:w="1930" w:type="dxa"/>
            <w:shd w:val="clear" w:color="auto" w:fill="F4F7FB"/>
            <w:vAlign w:val="top"/>
          </w:tcPr>
          <w:p>
            <w:pPr>
              <w:pStyle w:val="TableText"/>
              <w:jc w:val="left"/>
            </w:pPr>
            <w:r>
              <w:t xml:space="preserve">TASCO core rating slow or down</w:t>
            </w:r>
          </w:p>
        </w:tc>
        <w:tc>
          <w:tcPr>
            <w:tcW w:w="1949" w:type="dxa"/>
            <w:shd w:val="clear" w:color="auto" w:fill="F4F7FB"/>
            <w:vAlign w:val="top"/>
          </w:tcPr>
          <w:p>
            <w:pPr>
              <w:pStyle w:val="TableText"/>
              <w:jc w:val="left"/>
            </w:pPr>
            <w:r>
              <w:t xml:space="preserve">Port times out or circuit opens</w:t>
            </w:r>
          </w:p>
        </w:tc>
        <w:tc>
          <w:tcPr>
            <w:tcW w:w="5148" w:type="dxa"/>
            <w:shd w:val="clear" w:color="auto" w:fill="F4F7FB"/>
            <w:vAlign w:val="top"/>
          </w:tcPr>
          <w:p>
            <w:pPr>
              <w:pStyle w:val="TableText"/>
              <w:jc w:val="left"/>
            </w:pPr>
            <w:r>
              <w:t xml:space="preserve">Circuit</w:t>
            </w:r>
            <w:r>
              <w:t xml:space="preserve"> </w:t>
            </w:r>
            <w:r>
              <w:rPr>
                <w:rStyle w:val="CodeChar"/>
              </w:rPr>
              <w:t xml:space="preserve">tasco-core-rating</w:t>
            </w:r>
            <w:r>
              <w:t xml:space="preserve"> </w:t>
            </w:r>
            <w:r>
              <w:t xml:space="preserve">opens after 5 failed calls.</w:t>
            </w:r>
            <w:r>
              <w:t xml:space="preserve"> </w:t>
            </w:r>
            <w:r>
              <w:rPr>
                <w:rStyle w:val="CodeChar"/>
              </w:rPr>
              <w:t xml:space="preserve">core</w:t>
            </w:r>
            <w:r>
              <w:t xml:space="preserve"> </w:t>
            </w:r>
            <w:r>
              <w:t xml:space="preserve">mode: 503 and no quote.</w:t>
            </w:r>
            <w:r>
              <w:t xml:space="preserve"> </w:t>
            </w:r>
            <w:r>
              <w:rPr>
                <w:rStyle w:val="CodeChar"/>
              </w:rPr>
              <w:t xml:space="preserve">core_with_fallback</w:t>
            </w:r>
            <w:r>
              <w:t xml:space="preserve">: indicative quote that cannot be paid until re-rated (TC-167 to TC-169)</w:t>
            </w:r>
          </w:p>
        </w:tc>
      </w:tr>
      <w:tr>
        <w:trPr>
          <w:cantSplit/>
        </w:trPr>
        <w:tc>
          <w:tcPr>
            <w:tcW w:w="1930" w:type="dxa"/>
            <w:vAlign w:val="top"/>
          </w:tcPr>
          <w:p>
            <w:pPr>
              <w:pStyle w:val="TableText"/>
              <w:jc w:val="left"/>
            </w:pPr>
            <w:r>
              <w:t xml:space="preserve">TASCO core issuance fails after payment</w:t>
            </w:r>
          </w:p>
        </w:tc>
        <w:tc>
          <w:tcPr>
            <w:tcW w:w="1949" w:type="dxa"/>
            <w:vAlign w:val="top"/>
          </w:tcPr>
          <w:p>
            <w:pPr>
              <w:pStyle w:val="TableText"/>
              <w:jc w:val="left"/>
            </w:pPr>
            <w:r>
              <w:t xml:space="preserve">Issuance port fails</w:t>
            </w:r>
          </w:p>
        </w:tc>
        <w:tc>
          <w:tcPr>
            <w:tcW w:w="5148" w:type="dxa"/>
            <w:vAlign w:val="top"/>
          </w:tcPr>
          <w:p>
            <w:pPr>
              <w:pStyle w:val="TableText"/>
              <w:jc w:val="left"/>
            </w:pPr>
            <w:r>
              <w:t xml:space="preserve">Issued lines cancelled, full refund through the wallet breaker; order</w:t>
            </w:r>
            <w:r>
              <w:t xml:space="preserve"> </w:t>
            </w:r>
            <w:r>
              <w:rPr>
                <w:rStyle w:val="CodeChar"/>
              </w:rPr>
              <w:t xml:space="preserve">issuance_failed_refunded</w:t>
            </w:r>
            <w:r>
              <w:t xml:space="preserve">, or</w:t>
            </w:r>
            <w:r>
              <w:t xml:space="preserve"> </w:t>
            </w:r>
            <w:r>
              <w:rPr>
                <w:rStyle w:val="CodeChar"/>
              </w:rPr>
              <w:t xml:space="preserve">compensation_failed</w:t>
            </w:r>
            <w:r>
              <w:t xml:space="preserve"> </w:t>
            </w:r>
            <w:r>
              <w:t xml:space="preserve">for manual action (TC-080)</w:t>
            </w:r>
          </w:p>
        </w:tc>
      </w:tr>
      <w:tr>
        <w:trPr>
          <w:cantSplit/>
        </w:trPr>
        <w:tc>
          <w:tcPr>
            <w:tcW w:w="1930" w:type="dxa"/>
            <w:shd w:val="clear" w:color="auto" w:fill="F4F7FB"/>
            <w:vAlign w:val="top"/>
          </w:tcPr>
          <w:p>
            <w:pPr>
              <w:pStyle w:val="TableText"/>
              <w:jc w:val="left"/>
            </w:pPr>
            <w:r>
              <w:t xml:space="preserve">TASCO core catalogue unavailable</w:t>
            </w:r>
          </w:p>
        </w:tc>
        <w:tc>
          <w:tcPr>
            <w:tcW w:w="1949" w:type="dxa"/>
            <w:shd w:val="clear" w:color="auto" w:fill="F4F7FB"/>
            <w:vAlign w:val="top"/>
          </w:tcPr>
          <w:p>
            <w:pPr>
              <w:pStyle w:val="TableText"/>
              <w:jc w:val="left"/>
            </w:pPr>
            <w:r>
              <w:t xml:space="preserve">Catalogue port fails</w:t>
            </w:r>
          </w:p>
        </w:tc>
        <w:tc>
          <w:tcPr>
            <w:tcW w:w="5148" w:type="dxa"/>
            <w:shd w:val="clear" w:color="auto" w:fill="F4F7FB"/>
            <w:vAlign w:val="top"/>
          </w:tcPr>
          <w:p>
            <w:pPr>
              <w:pStyle w:val="TableText"/>
              <w:jc w:val="left"/>
            </w:pPr>
            <w:r>
              <w:t xml:space="preserve">Sync job recorded as failed; active products unchanged (TC-173)</w:t>
            </w:r>
          </w:p>
        </w:tc>
      </w:tr>
      <w:tr>
        <w:trPr>
          <w:cantSplit/>
        </w:trPr>
        <w:tc>
          <w:tcPr>
            <w:tcW w:w="1930" w:type="dxa"/>
            <w:vAlign w:val="top"/>
          </w:tcPr>
          <w:p>
            <w:pPr>
              <w:pStyle w:val="TableText"/>
              <w:jc w:val="left"/>
            </w:pPr>
            <w:r>
              <w:t xml:space="preserve">Zalo ZNS or SMS down</w:t>
            </w:r>
          </w:p>
        </w:tc>
        <w:tc>
          <w:tcPr>
            <w:tcW w:w="1949" w:type="dxa"/>
            <w:vAlign w:val="top"/>
          </w:tcPr>
          <w:p>
            <w:pPr>
              <w:pStyle w:val="TableText"/>
              <w:jc w:val="left"/>
            </w:pPr>
            <w:r>
              <w:t xml:space="preserve">Notification port fails</w:t>
            </w:r>
          </w:p>
        </w:tc>
        <w:tc>
          <w:tcPr>
            <w:tcW w:w="5148" w:type="dxa"/>
            <w:vAlign w:val="top"/>
          </w:tcPr>
          <w:p>
            <w:pPr>
              <w:pStyle w:val="TableText"/>
              <w:jc w:val="left"/>
            </w:pPr>
            <w:r>
              <w:t xml:space="preserve">Message failed; next channel in the step tried</w:t>
            </w:r>
          </w:p>
        </w:tc>
      </w:tr>
      <w:tr>
        <w:trPr>
          <w:cantSplit/>
        </w:trPr>
        <w:tc>
          <w:tcPr>
            <w:tcW w:w="1930" w:type="dxa"/>
            <w:shd w:val="clear" w:color="auto" w:fill="F4F7FB"/>
            <w:vAlign w:val="top"/>
          </w:tcPr>
          <w:p>
            <w:pPr>
              <w:pStyle w:val="TableText"/>
              <w:jc w:val="left"/>
            </w:pPr>
            <w:r>
              <w:t xml:space="preserve">Voice vendor down</w:t>
            </w:r>
          </w:p>
        </w:tc>
        <w:tc>
          <w:tcPr>
            <w:tcW w:w="1949" w:type="dxa"/>
            <w:shd w:val="clear" w:color="auto" w:fill="F4F7FB"/>
            <w:vAlign w:val="top"/>
          </w:tcPr>
          <w:p>
            <w:pPr>
              <w:pStyle w:val="TableText"/>
              <w:jc w:val="left"/>
            </w:pPr>
            <w:r>
              <w:t xml:space="preserve">Telephony port fails</w:t>
            </w:r>
          </w:p>
        </w:tc>
        <w:tc>
          <w:tcPr>
            <w:tcW w:w="5148" w:type="dxa"/>
            <w:shd w:val="clear" w:color="auto" w:fill="F4F7FB"/>
            <w:vAlign w:val="top"/>
          </w:tcPr>
          <w:p>
            <w:pPr>
              <w:pStyle w:val="TableText"/>
              <w:jc w:val="left"/>
            </w:pPr>
            <w:r>
              <w:t xml:space="preserve">Circuit</w:t>
            </w:r>
            <w:r>
              <w:t xml:space="preserve"> </w:t>
            </w:r>
            <w:r>
              <w:rPr>
                <w:rStyle w:val="CodeChar"/>
              </w:rPr>
              <w:t xml:space="preserve">voice-ai</w:t>
            </w:r>
            <w:r>
              <w:t xml:space="preserve"> </w:t>
            </w:r>
            <w:r>
              <w:t xml:space="preserve">(30 s timeout, no retries); voice steps fail, other steps continue</w:t>
            </w:r>
          </w:p>
        </w:tc>
      </w:tr>
      <w:tr>
        <w:trPr>
          <w:cantSplit/>
        </w:trPr>
        <w:tc>
          <w:tcPr>
            <w:tcW w:w="1930" w:type="dxa"/>
            <w:vAlign w:val="top"/>
          </w:tcPr>
          <w:p>
            <w:pPr>
              <w:pStyle w:val="TableText"/>
              <w:jc w:val="left"/>
            </w:pPr>
            <w:r>
              <w:t xml:space="preserve">Event handler failure</w:t>
            </w:r>
          </w:p>
        </w:tc>
        <w:tc>
          <w:tcPr>
            <w:tcW w:w="1949" w:type="dxa"/>
            <w:vAlign w:val="top"/>
          </w:tcPr>
          <w:p>
            <w:pPr>
              <w:pStyle w:val="TableText"/>
              <w:jc w:val="left"/>
            </w:pPr>
            <w:r>
              <w:t xml:space="preserve">Subscriber fails</w:t>
            </w:r>
          </w:p>
        </w:tc>
        <w:tc>
          <w:tcPr>
            <w:tcW w:w="5148" w:type="dxa"/>
            <w:vAlign w:val="top"/>
          </w:tcPr>
          <w:p>
            <w:pPr>
              <w:pStyle w:val="TableText"/>
              <w:jc w:val="left"/>
            </w:pPr>
            <w:r>
              <w:t xml:space="preserve">Event retried; after 5 attempts</w:t>
            </w:r>
            <w:r>
              <w:t xml:space="preserve"> </w:t>
            </w:r>
            <w:r>
              <w:rPr>
                <w:rStyle w:val="CodeChar"/>
              </w:rPr>
              <w:t xml:space="preserve">dead_letter</w:t>
            </w:r>
          </w:p>
        </w:tc>
      </w:tr>
      <w:tr>
        <w:trPr>
          <w:cantSplit/>
        </w:trPr>
        <w:tc>
          <w:tcPr>
            <w:tcW w:w="1930" w:type="dxa"/>
            <w:shd w:val="clear" w:color="auto" w:fill="F4F7FB"/>
            <w:vAlign w:val="top"/>
          </w:tcPr>
          <w:p>
            <w:pPr>
              <w:pStyle w:val="TableText"/>
              <w:jc w:val="left"/>
            </w:pPr>
            <w:r>
              <w:t xml:space="preserve">Process crash during relay</w:t>
            </w:r>
          </w:p>
        </w:tc>
        <w:tc>
          <w:tcPr>
            <w:tcW w:w="1949" w:type="dxa"/>
            <w:shd w:val="clear" w:color="auto" w:fill="F4F7FB"/>
            <w:vAlign w:val="top"/>
          </w:tcPr>
          <w:p>
            <w:pPr>
              <w:pStyle w:val="TableText"/>
              <w:jc w:val="left"/>
            </w:pPr>
            <w:r>
              <w:t xml:space="preserve">Kill the process</w:t>
            </w:r>
          </w:p>
        </w:tc>
        <w:tc>
          <w:tcPr>
            <w:tcW w:w="5148" w:type="dxa"/>
            <w:shd w:val="clear" w:color="auto" w:fill="F4F7FB"/>
            <w:vAlign w:val="top"/>
          </w:tcPr>
          <w:p>
            <w:pPr>
              <w:pStyle w:val="TableText"/>
              <w:jc w:val="left"/>
            </w:pPr>
            <w:r>
              <w:t xml:space="preserve">PostgreSQL re-claims events stuck in processing after 5 minutes; completed handlers skipped</w:t>
            </w:r>
          </w:p>
        </w:tc>
      </w:tr>
      <w:tr>
        <w:trPr>
          <w:cantSplit/>
        </w:trPr>
        <w:tc>
          <w:tcPr>
            <w:tcW w:w="1930" w:type="dxa"/>
            <w:vAlign w:val="top"/>
          </w:tcPr>
          <w:p>
            <w:pPr>
              <w:pStyle w:val="TableText"/>
              <w:jc w:val="left"/>
            </w:pPr>
            <w:r>
              <w:t xml:space="preserve">Database failover</w:t>
            </w:r>
          </w:p>
        </w:tc>
        <w:tc>
          <w:tcPr>
            <w:tcW w:w="1949" w:type="dxa"/>
            <w:vAlign w:val="top"/>
          </w:tcPr>
          <w:p>
            <w:pPr>
              <w:pStyle w:val="TableText"/>
              <w:jc w:val="left"/>
            </w:pPr>
            <w:r>
              <w:t xml:space="preserve">Managed failover</w:t>
            </w:r>
          </w:p>
        </w:tc>
        <w:tc>
          <w:tcPr>
            <w:tcW w:w="5148" w:type="dxa"/>
            <w:vAlign w:val="top"/>
          </w:tcPr>
          <w:p>
            <w:pPr>
              <w:pStyle w:val="TableText"/>
              <w:jc w:val="left"/>
            </w:pPr>
            <w:r>
              <w:t xml:space="preserve">Readiness 503 during the switch; pool reconnects; no 500 storm</w:t>
            </w:r>
          </w:p>
        </w:tc>
      </w:tr>
      <w:tr>
        <w:trPr>
          <w:cantSplit/>
        </w:trPr>
        <w:tc>
          <w:tcPr>
            <w:tcW w:w="1930" w:type="dxa"/>
            <w:shd w:val="clear" w:color="auto" w:fill="F4F7FB"/>
            <w:vAlign w:val="top"/>
          </w:tcPr>
          <w:p>
            <w:pPr>
              <w:pStyle w:val="TableText"/>
              <w:jc w:val="left"/>
            </w:pPr>
            <w:r>
              <w:t xml:space="preserve">Pod termination</w:t>
            </w:r>
          </w:p>
        </w:tc>
        <w:tc>
          <w:tcPr>
            <w:tcW w:w="1949" w:type="dxa"/>
            <w:shd w:val="clear" w:color="auto" w:fill="F4F7FB"/>
            <w:vAlign w:val="top"/>
          </w:tcPr>
          <w:p>
            <w:pPr>
              <w:pStyle w:val="TableText"/>
              <w:jc w:val="left"/>
            </w:pPr>
            <w:r>
              <w:t xml:space="preserve">Delete a pod under load</w:t>
            </w:r>
          </w:p>
        </w:tc>
        <w:tc>
          <w:tcPr>
            <w:tcW w:w="5148" w:type="dxa"/>
            <w:shd w:val="clear" w:color="auto" w:fill="F4F7FB"/>
            <w:vAlign w:val="top"/>
          </w:tcPr>
          <w:p>
            <w:pPr>
              <w:pStyle w:val="TableText"/>
              <w:jc w:val="left"/>
            </w:pPr>
            <w:r>
              <w:t xml:space="preserve">Readiness false, server closes within 25 s, no failed in-flight requests</w:t>
            </w:r>
          </w:p>
        </w:tc>
      </w:tr>
      <w:tr>
        <w:trPr>
          <w:cantSplit/>
        </w:trPr>
        <w:tc>
          <w:tcPr>
            <w:tcW w:w="1930" w:type="dxa"/>
            <w:vAlign w:val="top"/>
          </w:tcPr>
          <w:p>
            <w:pPr>
              <w:pStyle w:val="TableText"/>
              <w:jc w:val="left"/>
            </w:pPr>
            <w:r>
              <w:t xml:space="preserve">Several replicas relaying</w:t>
            </w:r>
          </w:p>
        </w:tc>
        <w:tc>
          <w:tcPr>
            <w:tcW w:w="1949" w:type="dxa"/>
            <w:vAlign w:val="top"/>
          </w:tcPr>
          <w:p>
            <w:pPr>
              <w:pStyle w:val="TableText"/>
              <w:jc w:val="left"/>
            </w:pPr>
            <w:r>
              <w:t xml:space="preserve">3 replicas</w:t>
            </w:r>
          </w:p>
        </w:tc>
        <w:tc>
          <w:tcPr>
            <w:tcW w:w="5148" w:type="dxa"/>
            <w:vAlign w:val="top"/>
          </w:tcPr>
          <w:p>
            <w:pPr>
              <w:pStyle w:val="TableText"/>
              <w:jc w:val="left"/>
            </w:pPr>
            <w:r>
              <w:t xml:space="preserve">Row locking prevents double claims; handlers idempotent</w:t>
            </w:r>
          </w:p>
        </w:tc>
      </w:tr>
    </w:tbl>
    <w:p>
      <w:pPr>
        <w:pStyle w:val="Heading2"/>
      </w:pPr>
      <w:bookmarkStart w:id="22" w:name="_Toc300000018"/>
      <w:r>
        <w:t xml:space="preserve">Accessibility and localisation</w:t>
      </w:r>
      <w:bookmarkEnd w:id="22"/>
    </w:p>
    <w:p>
      <w:pPr>
        <w:pStyle w:val="FirstParagraph"/>
      </w:pPr>
      <w:r>
        <w:t xml:space="preserve">Every staff console page, the customer app and the certificate verification page are scanned with axe-core in both themes and both languages, with zero serious or critical violations allowed. Manual passes cover keyboard-only use, NVDA, VoiceOver and TalkBack, 24 × 24 pixel touch targets, accessible authentication (paste and password managers allowed) and announced status messages.</w:t>
      </w:r>
    </w:p>
    <w:p>
      <w:pPr>
        <w:pStyle w:val="BodyText"/>
      </w:pPr>
      <w:r>
        <w:t xml:space="preserve">Customer-facing text is Vietnamese first, with English for staff review. Tests check that placeholders resolve, dates print as dd/mm/yyyy, amounts print with đ and SMS length stays within the agreed segments. The voice bot matches both accented and unaccented speech.</w:t>
      </w:r>
    </w:p>
    <w:p>
      <w:pPr>
        <w:pStyle w:val="Heading2"/>
      </w:pPr>
      <w:bookmarkStart w:id="23" w:name="_Toc300000019"/>
      <w:r>
        <w:t xml:space="preserve">Compliance testing</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253"/>
        <w:gridCol w:w="4289"/>
        <w:gridCol w:w="1485"/>
      </w:tblGrid>
      <w:tr>
        <w:trPr>
          <w:cantSplit/>
          <w:tblHeader/>
        </w:trPr>
        <w:tc>
          <w:tcPr>
            <w:tcW w:w="3253" w:type="dxa"/>
            <w:shd w:val="clear" w:color="auto" w:fill="0F4761"/>
            <w:vAlign w:val="center"/>
          </w:tcPr>
          <w:p>
            <w:pPr>
              <w:pStyle w:val="TableHeading"/>
              <w:jc w:val="left"/>
            </w:pPr>
            <w:r>
              <w:rPr>
                <w:color w:val="FFFFFF"/>
              </w:rPr>
              <w:t xml:space="preserve">Control</w:t>
            </w:r>
          </w:p>
        </w:tc>
        <w:tc>
          <w:tcPr>
            <w:tcW w:w="4289" w:type="dxa"/>
            <w:shd w:val="clear" w:color="auto" w:fill="0F4761"/>
            <w:vAlign w:val="center"/>
          </w:tcPr>
          <w:p>
            <w:pPr>
              <w:pStyle w:val="TableHeading"/>
              <w:jc w:val="left"/>
            </w:pPr>
            <w:r>
              <w:rPr>
                <w:color w:val="FFFFFF"/>
              </w:rPr>
              <w:t xml:space="preserve">Test focus</w:t>
            </w:r>
          </w:p>
        </w:tc>
        <w:tc>
          <w:tcPr>
            <w:tcW w:w="1485" w:type="dxa"/>
            <w:shd w:val="clear" w:color="auto" w:fill="0F4761"/>
            <w:vAlign w:val="center"/>
          </w:tcPr>
          <w:p>
            <w:pPr>
              <w:pStyle w:val="TableHeading"/>
              <w:jc w:val="left"/>
            </w:pPr>
            <w:r>
              <w:rPr>
                <w:color w:val="FFFFFF"/>
              </w:rPr>
              <w:t xml:space="preserve">Cases</w:t>
            </w:r>
          </w:p>
        </w:tc>
      </w:tr>
      <w:tr>
        <w:trPr>
          <w:cantSplit/>
        </w:trPr>
        <w:tc>
          <w:tcPr>
            <w:tcW w:w="3253" w:type="dxa"/>
            <w:vAlign w:val="top"/>
          </w:tcPr>
          <w:p>
            <w:pPr>
              <w:pStyle w:val="TableText"/>
              <w:jc w:val="left"/>
            </w:pPr>
            <w:r>
              <w:t xml:space="preserve">Copy guard: no discount, rebate or cashback wording for price-regulated products</w:t>
            </w:r>
          </w:p>
        </w:tc>
        <w:tc>
          <w:tcPr>
            <w:tcW w:w="4289" w:type="dxa"/>
            <w:vAlign w:val="top"/>
          </w:tcPr>
          <w:p>
            <w:pPr>
              <w:pStyle w:val="TableText"/>
              <w:jc w:val="left"/>
            </w:pPr>
            <w:r>
              <w:t xml:space="preserve">Banned phrases rejected in drafts, with and without diacritics and with spacing tricks; blocked at send time</w:t>
            </w:r>
          </w:p>
        </w:tc>
        <w:tc>
          <w:tcPr>
            <w:tcW w:w="1485" w:type="dxa"/>
            <w:vAlign w:val="top"/>
          </w:tcPr>
          <w:p>
            <w:pPr>
              <w:pStyle w:val="TableText"/>
              <w:jc w:val="left"/>
            </w:pPr>
            <w:r>
              <w:t xml:space="preserve">TC-060, TC-061, TC-095</w:t>
            </w:r>
          </w:p>
        </w:tc>
      </w:tr>
      <w:tr>
        <w:trPr>
          <w:cantSplit/>
        </w:trPr>
        <w:tc>
          <w:tcPr>
            <w:tcW w:w="3253" w:type="dxa"/>
            <w:shd w:val="clear" w:color="auto" w:fill="F4F7FB"/>
            <w:vAlign w:val="top"/>
          </w:tcPr>
          <w:p>
            <w:pPr>
              <w:pStyle w:val="TableText"/>
              <w:jc w:val="left"/>
            </w:pPr>
            <w:r>
              <w:t xml:space="preserve">Contact window 08:00 to 20:00 for marketing</w:t>
            </w:r>
          </w:p>
        </w:tc>
        <w:tc>
          <w:tcPr>
            <w:tcW w:w="4289" w:type="dxa"/>
            <w:shd w:val="clear" w:color="auto" w:fill="F4F7FB"/>
            <w:vAlign w:val="top"/>
          </w:tcPr>
          <w:p>
            <w:pPr>
              <w:pStyle w:val="TableText"/>
              <w:jc w:val="left"/>
            </w:pPr>
            <w:r>
              <w:t xml:space="preserve">Boundary values 07:59, 08:00, 19:59, 20:00</w:t>
            </w:r>
          </w:p>
        </w:tc>
        <w:tc>
          <w:tcPr>
            <w:tcW w:w="1485" w:type="dxa"/>
            <w:shd w:val="clear" w:color="auto" w:fill="F4F7FB"/>
            <w:vAlign w:val="top"/>
          </w:tcPr>
          <w:p>
            <w:pPr>
              <w:pStyle w:val="TableText"/>
              <w:jc w:val="left"/>
            </w:pPr>
            <w:r>
              <w:t xml:space="preserve">TC-050 to TC-052</w:t>
            </w:r>
          </w:p>
        </w:tc>
      </w:tr>
      <w:tr>
        <w:trPr>
          <w:cantSplit/>
        </w:trPr>
        <w:tc>
          <w:tcPr>
            <w:tcW w:w="3253" w:type="dxa"/>
            <w:vAlign w:val="top"/>
          </w:tcPr>
          <w:p>
            <w:pPr>
              <w:pStyle w:val="TableText"/>
              <w:jc w:val="left"/>
            </w:pPr>
            <w:r>
              <w:t xml:space="preserve">Consent and do-not-contact</w:t>
            </w:r>
          </w:p>
        </w:tc>
        <w:tc>
          <w:tcPr>
            <w:tcW w:w="4289" w:type="dxa"/>
            <w:vAlign w:val="top"/>
          </w:tcPr>
          <w:p>
            <w:pPr>
              <w:pStyle w:val="TableText"/>
              <w:jc w:val="left"/>
            </w:pPr>
            <w:r>
              <w:t xml:space="preserve">No marketing without consent; no calls without call consent; DNC suppresses everything</w:t>
            </w:r>
          </w:p>
        </w:tc>
        <w:tc>
          <w:tcPr>
            <w:tcW w:w="1485" w:type="dxa"/>
            <w:vAlign w:val="top"/>
          </w:tcPr>
          <w:p>
            <w:pPr>
              <w:pStyle w:val="TableText"/>
              <w:jc w:val="left"/>
            </w:pPr>
            <w:r>
              <w:t xml:space="preserve">TC-053 to TC-055</w:t>
            </w:r>
          </w:p>
        </w:tc>
      </w:tr>
      <w:tr>
        <w:trPr>
          <w:cantSplit/>
        </w:trPr>
        <w:tc>
          <w:tcPr>
            <w:tcW w:w="3253" w:type="dxa"/>
            <w:shd w:val="clear" w:color="auto" w:fill="F4F7FB"/>
            <w:vAlign w:val="top"/>
          </w:tcPr>
          <w:p>
            <w:pPr>
              <w:pStyle w:val="TableText"/>
              <w:jc w:val="left"/>
            </w:pPr>
            <w:r>
              <w:t xml:space="preserve">Frequency caps</w:t>
            </w:r>
          </w:p>
        </w:tc>
        <w:tc>
          <w:tcPr>
            <w:tcW w:w="4289" w:type="dxa"/>
            <w:shd w:val="clear" w:color="auto" w:fill="F4F7FB"/>
            <w:vAlign w:val="top"/>
          </w:tcPr>
          <w:p>
            <w:pPr>
              <w:pStyle w:val="TableText"/>
              <w:jc w:val="left"/>
            </w:pPr>
            <w:r>
              <w:t xml:space="preserve">1 per day and 3 per week for marketing; 2 calls per week; service messages exempt</w:t>
            </w:r>
          </w:p>
        </w:tc>
        <w:tc>
          <w:tcPr>
            <w:tcW w:w="1485" w:type="dxa"/>
            <w:shd w:val="clear" w:color="auto" w:fill="F4F7FB"/>
            <w:vAlign w:val="top"/>
          </w:tcPr>
          <w:p>
            <w:pPr>
              <w:pStyle w:val="TableText"/>
              <w:jc w:val="left"/>
            </w:pPr>
            <w:r>
              <w:t xml:space="preserve">TC-056 to TC-058</w:t>
            </w:r>
          </w:p>
        </w:tc>
      </w:tr>
      <w:tr>
        <w:trPr>
          <w:cantSplit/>
        </w:trPr>
        <w:tc>
          <w:tcPr>
            <w:tcW w:w="3253" w:type="dxa"/>
            <w:vAlign w:val="top"/>
          </w:tcPr>
          <w:p>
            <w:pPr>
              <w:pStyle w:val="TableText"/>
              <w:jc w:val="left"/>
            </w:pPr>
            <w:r>
              <w:t xml:space="preserve">Maker-checker and separation of duties</w:t>
            </w:r>
          </w:p>
        </w:tc>
        <w:tc>
          <w:tcPr>
            <w:tcW w:w="4289" w:type="dxa"/>
            <w:vAlign w:val="top"/>
          </w:tcPr>
          <w:p>
            <w:pPr>
              <w:pStyle w:val="TableText"/>
              <w:jc w:val="left"/>
            </w:pPr>
            <w:r>
              <w:t xml:space="preserve">Self-approval refused; conflicting roles refused; restricted rule kinds need a compliance officer</w:t>
            </w:r>
          </w:p>
        </w:tc>
        <w:tc>
          <w:tcPr>
            <w:tcW w:w="1485" w:type="dxa"/>
            <w:vAlign w:val="top"/>
          </w:tcPr>
          <w:p>
            <w:pPr>
              <w:pStyle w:val="TableText"/>
              <w:jc w:val="left"/>
            </w:pPr>
            <w:r>
              <w:t xml:space="preserve">TC-027, TC-090 to TC-092</w:t>
            </w:r>
          </w:p>
        </w:tc>
      </w:tr>
      <w:tr>
        <w:trPr>
          <w:cantSplit/>
        </w:trPr>
        <w:tc>
          <w:tcPr>
            <w:tcW w:w="3253" w:type="dxa"/>
            <w:shd w:val="clear" w:color="auto" w:fill="F4F7FB"/>
            <w:vAlign w:val="top"/>
          </w:tcPr>
          <w:p>
            <w:pPr>
              <w:pStyle w:val="TableText"/>
              <w:jc w:val="left"/>
            </w:pPr>
            <w:r>
              <w:t xml:space="preserve">Commission caps</w:t>
            </w:r>
          </w:p>
        </w:tc>
        <w:tc>
          <w:tcPr>
            <w:tcW w:w="4289" w:type="dxa"/>
            <w:shd w:val="clear" w:color="auto" w:fill="F4F7FB"/>
            <w:vAlign w:val="top"/>
          </w:tcPr>
          <w:p>
            <w:pPr>
              <w:pStyle w:val="TableText"/>
              <w:jc w:val="left"/>
            </w:pPr>
            <w:r>
              <w:t xml:space="preserve">Drafts above the statutory cap refused; runtime capping</w:t>
            </w:r>
          </w:p>
        </w:tc>
        <w:tc>
          <w:tcPr>
            <w:tcW w:w="1485" w:type="dxa"/>
            <w:shd w:val="clear" w:color="auto" w:fill="F4F7FB"/>
            <w:vAlign w:val="top"/>
          </w:tcPr>
          <w:p>
            <w:pPr>
              <w:pStyle w:val="TableText"/>
              <w:jc w:val="left"/>
            </w:pPr>
            <w:r>
              <w:t xml:space="preserve">TC-084, TC-085</w:t>
            </w:r>
          </w:p>
        </w:tc>
      </w:tr>
      <w:tr>
        <w:trPr>
          <w:cantSplit/>
        </w:trPr>
        <w:tc>
          <w:tcPr>
            <w:tcW w:w="3253" w:type="dxa"/>
            <w:vAlign w:val="top"/>
          </w:tcPr>
          <w:p>
            <w:pPr>
              <w:pStyle w:val="TableText"/>
              <w:jc w:val="left"/>
            </w:pPr>
            <w:r>
              <w:t xml:space="preserve">Personal data minimisation</w:t>
            </w:r>
          </w:p>
        </w:tc>
        <w:tc>
          <w:tcPr>
            <w:tcW w:w="4289" w:type="dxa"/>
            <w:vAlign w:val="top"/>
          </w:tcPr>
          <w:p>
            <w:pPr>
              <w:pStyle w:val="TableText"/>
              <w:jc w:val="left"/>
            </w:pPr>
            <w:r>
              <w:t xml:space="preserve">Masking by permission; certificate check without name; no identity in rating requests</w:t>
            </w:r>
          </w:p>
        </w:tc>
        <w:tc>
          <w:tcPr>
            <w:tcW w:w="1485" w:type="dxa"/>
            <w:vAlign w:val="top"/>
          </w:tcPr>
          <w:p>
            <w:pPr>
              <w:pStyle w:val="TableText"/>
              <w:jc w:val="left"/>
            </w:pPr>
            <w:r>
              <w:t xml:space="preserve">TC-031, TC-074, TC-170</w:t>
            </w:r>
          </w:p>
        </w:tc>
      </w:tr>
      <w:tr>
        <w:trPr>
          <w:cantSplit/>
        </w:trPr>
        <w:tc>
          <w:tcPr>
            <w:tcW w:w="3253" w:type="dxa"/>
            <w:shd w:val="clear" w:color="auto" w:fill="F4F7FB"/>
            <w:vAlign w:val="top"/>
          </w:tcPr>
          <w:p>
            <w:pPr>
              <w:pStyle w:val="TableText"/>
              <w:jc w:val="left"/>
            </w:pPr>
            <w:r>
              <w:t xml:space="preserve">Benefits pending legal review</w:t>
            </w:r>
          </w:p>
        </w:tc>
        <w:tc>
          <w:tcPr>
            <w:tcW w:w="4289" w:type="dxa"/>
            <w:shd w:val="clear" w:color="auto" w:fill="F4F7FB"/>
            <w:vAlign w:val="top"/>
          </w:tcPr>
          <w:p>
            <w:pPr>
              <w:pStyle w:val="TableText"/>
              <w:jc w:val="left"/>
            </w:pPr>
            <w:r>
              <w:t xml:space="preserve">Loyalty points never shown to customers</w:t>
            </w:r>
          </w:p>
        </w:tc>
        <w:tc>
          <w:tcPr>
            <w:tcW w:w="1485" w:type="dxa"/>
            <w:shd w:val="clear" w:color="auto" w:fill="F4F7FB"/>
            <w:noWrap/>
            <w:vAlign w:val="top"/>
          </w:tcPr>
          <w:p>
            <w:pPr>
              <w:pStyle w:val="TableText"/>
              <w:jc w:val="left"/>
            </w:pPr>
            <w:r>
              <w:t xml:space="preserve">TC-041</w:t>
            </w:r>
          </w:p>
        </w:tc>
      </w:tr>
      <w:tr>
        <w:trPr>
          <w:cantSplit/>
        </w:trPr>
        <w:tc>
          <w:tcPr>
            <w:tcW w:w="3253" w:type="dxa"/>
            <w:vAlign w:val="top"/>
          </w:tcPr>
          <w:p>
            <w:pPr>
              <w:pStyle w:val="TableText"/>
              <w:jc w:val="left"/>
            </w:pPr>
            <w:r>
              <w:t xml:space="preserve">Data subject rights</w:t>
            </w:r>
          </w:p>
        </w:tc>
        <w:tc>
          <w:tcPr>
            <w:tcW w:w="4289" w:type="dxa"/>
            <w:vAlign w:val="top"/>
          </w:tcPr>
          <w:p>
            <w:pPr>
              <w:pStyle w:val="TableText"/>
              <w:jc w:val="left"/>
            </w:pPr>
            <w:r>
              <w:t xml:space="preserve">Export complete; erasure refused while a policy is active</w:t>
            </w:r>
          </w:p>
        </w:tc>
        <w:tc>
          <w:tcPr>
            <w:tcW w:w="1485" w:type="dxa"/>
            <w:vAlign w:val="top"/>
          </w:tcPr>
          <w:p>
            <w:pPr>
              <w:pStyle w:val="TableText"/>
              <w:jc w:val="left"/>
            </w:pPr>
            <w:r>
              <w:t xml:space="preserve">TC-105 to TC-107</w:t>
            </w:r>
          </w:p>
        </w:tc>
      </w:tr>
      <w:tr>
        <w:trPr>
          <w:cantSplit/>
        </w:trPr>
        <w:tc>
          <w:tcPr>
            <w:tcW w:w="3253" w:type="dxa"/>
            <w:shd w:val="clear" w:color="auto" w:fill="F4F7FB"/>
            <w:vAlign w:val="top"/>
          </w:tcPr>
          <w:p>
            <w:pPr>
              <w:pStyle w:val="TableText"/>
              <w:jc w:val="left"/>
            </w:pPr>
            <w:r>
              <w:t xml:space="preserve">Voice bot disclosure and plate-first</w:t>
            </w:r>
          </w:p>
        </w:tc>
        <w:tc>
          <w:tcPr>
            <w:tcW w:w="4289" w:type="dxa"/>
            <w:shd w:val="clear" w:color="auto" w:fill="F4F7FB"/>
            <w:vAlign w:val="top"/>
          </w:tcPr>
          <w:p>
            <w:pPr>
              <w:pStyle w:val="TableText"/>
              <w:jc w:val="left"/>
            </w:pPr>
            <w:r>
              <w:t xml:space="preserve">Bot never reads the full plate; discloses automation; opt-out honoured</w:t>
            </w:r>
          </w:p>
        </w:tc>
        <w:tc>
          <w:tcPr>
            <w:tcW w:w="1485" w:type="dxa"/>
            <w:shd w:val="clear" w:color="auto" w:fill="F4F7FB"/>
            <w:vAlign w:val="top"/>
          </w:tcPr>
          <w:p>
            <w:pPr>
              <w:pStyle w:val="TableText"/>
              <w:jc w:val="left"/>
            </w:pPr>
            <w:r>
              <w:t xml:space="preserve">TC-064 to TC-069</w:t>
            </w:r>
          </w:p>
        </w:tc>
      </w:tr>
      <w:tr>
        <w:trPr>
          <w:cantSplit/>
        </w:trPr>
        <w:tc>
          <w:tcPr>
            <w:tcW w:w="3253" w:type="dxa"/>
            <w:vAlign w:val="top"/>
          </w:tcPr>
          <w:p>
            <w:pPr>
              <w:pStyle w:val="TableText"/>
              <w:jc w:val="left"/>
            </w:pPr>
            <w:r>
              <w:t xml:space="preserve">Staff never take payment</w:t>
            </w:r>
          </w:p>
        </w:tc>
        <w:tc>
          <w:tcPr>
            <w:tcW w:w="4289" w:type="dxa"/>
            <w:vAlign w:val="top"/>
          </w:tcPr>
          <w:p>
            <w:pPr>
              <w:pStyle w:val="TableText"/>
              <w:jc w:val="left"/>
            </w:pPr>
            <w:r>
              <w:t xml:space="preserve">No staff route debits a wallet; assisted sales send the quote to the customer</w:t>
            </w:r>
          </w:p>
        </w:tc>
        <w:tc>
          <w:tcPr>
            <w:tcW w:w="1485" w:type="dxa"/>
            <w:vAlign w:val="top"/>
          </w:tcPr>
          <w:p>
            <w:pPr>
              <w:pStyle w:val="TableText"/>
              <w:jc w:val="left"/>
            </w:pPr>
            <w:r>
              <w:t xml:space="preserve">TC-156, TC-157</w:t>
            </w:r>
          </w:p>
        </w:tc>
      </w:tr>
      <w:tr>
        <w:trPr>
          <w:cantSplit/>
        </w:trPr>
        <w:tc>
          <w:tcPr>
            <w:tcW w:w="3253" w:type="dxa"/>
            <w:shd w:val="clear" w:color="auto" w:fill="F4F7FB"/>
            <w:vAlign w:val="top"/>
          </w:tcPr>
          <w:p>
            <w:pPr>
              <w:pStyle w:val="TableText"/>
              <w:jc w:val="left"/>
            </w:pPr>
            <w:r>
              <w:t xml:space="preserve">No time override in production</w:t>
            </w:r>
          </w:p>
        </w:tc>
        <w:tc>
          <w:tcPr>
            <w:tcW w:w="4289" w:type="dxa"/>
            <w:shd w:val="clear" w:color="auto" w:fill="F4F7FB"/>
            <w:vAlign w:val="top"/>
          </w:tcPr>
          <w:p>
            <w:pPr>
              <w:pStyle w:val="TableText"/>
              <w:jc w:val="left"/>
            </w:pPr>
            <w:r>
              <w:t xml:space="preserve">Contact window always on the real clock outside demo mode</w:t>
            </w:r>
          </w:p>
        </w:tc>
        <w:tc>
          <w:tcPr>
            <w:tcW w:w="1485" w:type="dxa"/>
            <w:shd w:val="clear" w:color="auto" w:fill="F4F7FB"/>
            <w:noWrap/>
            <w:vAlign w:val="top"/>
          </w:tcPr>
          <w:p>
            <w:pPr>
              <w:pStyle w:val="TableText"/>
              <w:jc w:val="left"/>
            </w:pPr>
            <w:r>
              <w:t xml:space="preserve">TC-162</w:t>
            </w:r>
          </w:p>
        </w:tc>
      </w:tr>
      <w:tr>
        <w:trPr>
          <w:cantSplit/>
        </w:trPr>
        <w:tc>
          <w:tcPr>
            <w:tcW w:w="3253" w:type="dxa"/>
            <w:vAlign w:val="top"/>
          </w:tcPr>
          <w:p>
            <w:pPr>
              <w:pStyle w:val="TableText"/>
              <w:jc w:val="left"/>
            </w:pPr>
            <w:r>
              <w:t xml:space="preserve">Price bound by TASCO core</w:t>
            </w:r>
          </w:p>
        </w:tc>
        <w:tc>
          <w:tcPr>
            <w:tcW w:w="4289" w:type="dxa"/>
            <w:vAlign w:val="top"/>
          </w:tcPr>
          <w:p>
            <w:pPr>
              <w:pStyle w:val="TableText"/>
              <w:jc w:val="left"/>
            </w:pPr>
            <w:r>
              <w:t xml:space="preserve">Indicative prices cannot be paid; core answers never overridden</w:t>
            </w:r>
          </w:p>
        </w:tc>
        <w:tc>
          <w:tcPr>
            <w:tcW w:w="1485" w:type="dxa"/>
            <w:vAlign w:val="top"/>
          </w:tcPr>
          <w:p>
            <w:pPr>
              <w:pStyle w:val="TableText"/>
              <w:jc w:val="left"/>
            </w:pPr>
            <w:r>
              <w:t xml:space="preserve">TC-166, TC-167</w:t>
            </w:r>
          </w:p>
        </w:tc>
      </w:tr>
    </w:tbl>
    <w:p>
      <w:pPr>
        <w:pStyle w:val="BodyText"/>
        <w:spacing w:before="160"/>
      </w:pPr>
      <w:r>
        <w:t xml:space="preserve">Regulatory interpretations in these rules are to be confirmed by TASCO legal before go-live.</w:t>
      </w:r>
    </w:p>
    <w:p>
      <w:pPr>
        <w:pStyle w:val="Heading2"/>
      </w:pPr>
      <w:bookmarkStart w:id="24" w:name="_Toc300000020"/>
      <w:r>
        <w:t xml:space="preserve">Data quality, reconciliation and migration</w:t>
      </w:r>
      <w:bookmarkEnd w:id="24"/>
    </w:p>
    <w:p>
      <w:pPr>
        <w:pStyle w:val="FirstParagraph"/>
      </w:pPr>
      <w:r>
        <w:t xml:space="preserve">The golden record follows survivorship by source trust, expiry inference by evidence weight and protection of customer-declared, voice-bot and TASCO-issued facts. Data quality issues are raised once and re-raised only after resolution. After each ingest batch, records equal upserted source records, rejected equals invalid plates and profiles touched equals distinct valid plates.</w:t>
      </w:r>
    </w:p>
    <w:p>
      <w:pPr>
        <w:pStyle w:val="BodyText"/>
      </w:pPr>
      <w:r>
        <w:t xml:space="preserve">Reconciliation flags completed orders without a payment reference or policy, orders pending for more than an hour, and</w:t>
      </w:r>
      <w:r>
        <w:t xml:space="preserve"> </w:t>
      </w:r>
      <w:r>
        <w:rPr>
          <w:rStyle w:val="CodeChar"/>
        </w:rPr>
        <w:t xml:space="preserve">compensation_failed</w:t>
      </w:r>
      <w:r>
        <w:t xml:space="preserve"> </w:t>
      </w:r>
      <w:r>
        <w:t xml:space="preserve">and</w:t>
      </w:r>
      <w:r>
        <w:t xml:space="preserve"> </w:t>
      </w:r>
      <w:r>
        <w:rPr>
          <w:rStyle w:val="CodeChar"/>
        </w:rPr>
        <w:t xml:space="preserve">payment_failed</w:t>
      </w:r>
      <w:r>
        <w:t xml:space="preserve"> </w:t>
      </w:r>
      <w:r>
        <w:t xml:space="preserve">orders. In SIT it is also compared with VETC settlement files and TASCO issuance reports; that comparison is manual until a settlement adapter exists (KI-18).</w:t>
      </w:r>
    </w:p>
    <w:p>
      <w:pPr>
        <w:pStyle w:val="BodyText"/>
      </w:pPr>
      <w:r>
        <w:t xml:space="preserve">Migrations are applied in a transaction per file under an advisory lock. Tests cover a fresh database, a re-run (no-op), schema parity with</w:t>
      </w:r>
      <w:r>
        <w:t xml:space="preserve"> </w:t>
      </w:r>
      <w:r>
        <w:rPr>
          <w:rStyle w:val="CodeChar"/>
        </w:rPr>
        <w:t xml:space="preserve">schema.js</w:t>
      </w:r>
      <w:r>
        <w:t xml:space="preserve">, upgrade at production-like volume, and the objects created by</w:t>
      </w:r>
      <w:r>
        <w:t xml:space="preserve"> </w:t>
      </w:r>
      <w:r>
        <w:rPr>
          <w:rStyle w:val="CodeChar"/>
        </w:rPr>
        <w:t xml:space="preserve">002_integrity_hardening.sql</w:t>
      </w:r>
      <w:r>
        <w:t xml:space="preserve">. Applied migration files are never edited; DBA review enforces this and a CI check is recommended. The initial load of the pilot cohort is reconciled against the source extracts (TC-112).</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Automation and regression</w:t>
      </w:r>
      <w:bookmarkEnd w:id="25"/>
    </w:p>
    <w:p>
      <w:pPr>
        <w:pStyle w:val="Heading2"/>
      </w:pPr>
      <w:bookmarkStart w:id="26" w:name="_Toc300000022"/>
      <w:r>
        <w:t xml:space="preserve">Automated test layers</w:t>
      </w:r>
      <w:bookmarkEnd w:id="26"/>
    </w:p>
    <w:p>
      <w:pPr>
        <w:pStyle w:val="FirstParagraph"/>
      </w:pPr>
      <w:r>
        <w:t xml:space="preserve">The automated suites are layered from fast domain checks up to user-story scenarios against the running API. The numbers below are the test counts in the 8 October 2026 run (255 tests).</w:t>
      </w:r>
    </w:p>
    <w:p xmlns:a="http://schemas.openxmlformats.org/drawingml/2006/main" xmlns:pic="http://schemas.openxmlformats.org/drawingml/2006/picture">
      <w:pPr>
        <w:pStyle w:val="Figure"/>
      </w:pPr>
      <w:r>
        <w:drawing>
          <wp:inline>
            <wp:extent cx="2649599" cy="4352399"/>
            <wp:effectExtent b="0" l="0" r="0" t="0"/>
            <wp:docPr descr="Automated test layers and their test counts in the 8 October 2026 run" title="" id="5003" name="Picture"/>
            <a:graphic>
              <a:graphicData uri="http://schemas.openxmlformats.org/drawingml/2006/picture">
                <pic:pic>
                  <pic:nvPicPr>
                    <pic:cNvPr descr="/tmp/claude-0/-home-user-TASCO/19e5534d-12b5-5956-9b60-3e77efde0f49/scratchpad/gen/.cache/mermaid/8e2199957005657b.png" id="43" name="Picture"/>
                    <pic:cNvPicPr>
                      <a:picLocks noChangeArrowheads="1" noChangeAspect="1"/>
                    </pic:cNvPicPr>
                  </pic:nvPicPr>
                  <pic:blipFill>
                    <a:blip r:embed="rIdG2"/>
                    <a:stretch>
                      <a:fillRect/>
                    </a:stretch>
                  </pic:blipFill>
                  <pic:spPr bwMode="auto">
                    <a:xfrm>
                      <a:off x="0" y="0"/>
                      <a:ext cx="2649599" cy="4352399"/>
                    </a:xfrm>
                    <a:prstGeom prst="rect">
                      <a:avLst/>
                    </a:prstGeom>
                    <a:noFill/>
                    <a:ln w="9525">
                      <a:noFill/>
                      <a:headEnd/>
                      <a:tailEnd/>
                    </a:ln>
                  </pic:spPr>
                </pic:pic>
              </a:graphicData>
            </a:graphic>
          </wp:inline>
        </w:drawing>
      </w:r>
    </w:p>
    <w:p>
      <w:pPr>
        <w:pStyle w:val="Caption"/>
      </w:pPr>
      <w:r>
        <w:t xml:space="preserve">Figure 2 – Automated test layers and their test counts in the 8 October 2026 run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28"/>
        <w:gridCol w:w="6899"/>
      </w:tblGrid>
      <w:tr>
        <w:trPr>
          <w:cantSplit/>
          <w:tblHeader/>
        </w:trPr>
        <w:tc>
          <w:tcPr>
            <w:tcW w:w="2128" w:type="dxa"/>
            <w:shd w:val="clear" w:color="auto" w:fill="0F4761"/>
            <w:vAlign w:val="center"/>
          </w:tcPr>
          <w:p>
            <w:pPr>
              <w:pStyle w:val="TableHeading"/>
              <w:jc w:val="left"/>
            </w:pPr>
            <w:r>
              <w:rPr>
                <w:color w:val="FFFFFF"/>
              </w:rPr>
              <w:t xml:space="preserve">Folder</w:t>
            </w:r>
          </w:p>
        </w:tc>
        <w:tc>
          <w:tcPr>
            <w:tcW w:w="6899" w:type="dxa"/>
            <w:shd w:val="clear" w:color="auto" w:fill="0F4761"/>
            <w:vAlign w:val="center"/>
          </w:tcPr>
          <w:p>
            <w:pPr>
              <w:pStyle w:val="TableHeading"/>
              <w:jc w:val="left"/>
            </w:pPr>
            <w:r>
              <w:rPr>
                <w:color w:val="FFFFFF"/>
              </w:rPr>
              <w:t xml:space="preserve">Content</w:t>
            </w:r>
          </w:p>
        </w:tc>
      </w:tr>
      <w:tr>
        <w:trPr>
          <w:cantSplit/>
        </w:trPr>
        <w:tc>
          <w:tcPr>
            <w:tcW w:w="2128" w:type="dxa"/>
            <w:vAlign w:val="top"/>
          </w:tcPr>
          <w:p>
            <w:pPr>
              <w:pStyle w:val="TableText"/>
              <w:jc w:val="left"/>
            </w:pPr>
            <w:r>
              <w:rPr>
                <w:rStyle w:val="CodeChar"/>
              </w:rPr>
              <w:t xml:space="preserve">test/unit</w:t>
            </w:r>
          </w:p>
        </w:tc>
        <w:tc>
          <w:tcPr>
            <w:tcW w:w="6899" w:type="dxa"/>
            <w:vAlign w:val="top"/>
          </w:tcPr>
          <w:p>
            <w:pPr>
              <w:pStyle w:val="TableText"/>
              <w:jc w:val="left"/>
            </w:pPr>
            <w:r>
              <w:t xml:space="preserve">identity, jsonLogic, platform, rulesDomain, stores, tascoCoreRatingClient, voicebot</w:t>
            </w:r>
          </w:p>
        </w:tc>
      </w:tr>
      <w:tr>
        <w:trPr>
          <w:cantSplit/>
        </w:trPr>
        <w:tc>
          <w:tcPr>
            <w:tcW w:w="2128" w:type="dxa"/>
            <w:shd w:val="clear" w:color="auto" w:fill="F4F7FB"/>
            <w:vAlign w:val="top"/>
          </w:tcPr>
          <w:p>
            <w:pPr>
              <w:pStyle w:val="TableText"/>
              <w:jc w:val="left"/>
            </w:pPr>
            <w:r>
              <w:rPr>
                <w:rStyle w:val="CodeChar"/>
              </w:rPr>
              <w:t xml:space="preserve">test/integration</w:t>
            </w:r>
          </w:p>
        </w:tc>
        <w:tc>
          <w:tcPr>
            <w:tcW w:w="6899" w:type="dxa"/>
            <w:shd w:val="clear" w:color="auto" w:fill="F4F7FB"/>
            <w:vAlign w:val="top"/>
          </w:tcPr>
          <w:p>
            <w:pPr>
              <w:pStyle w:val="TableText"/>
              <w:jc w:val="left"/>
            </w:pPr>
            <w:r>
              <w:t xml:space="preserve">coreRating, governance, governanceStudio, journeys, reviewFixes, sales</w:t>
            </w:r>
          </w:p>
        </w:tc>
      </w:tr>
      <w:tr>
        <w:trPr>
          <w:cantSplit/>
        </w:trPr>
        <w:tc>
          <w:tcPr>
            <w:tcW w:w="2128" w:type="dxa"/>
            <w:vAlign w:val="top"/>
          </w:tcPr>
          <w:p>
            <w:pPr>
              <w:pStyle w:val="TableText"/>
              <w:jc w:val="left"/>
            </w:pPr>
            <w:r>
              <w:rPr>
                <w:rStyle w:val="CodeChar"/>
              </w:rPr>
              <w:t xml:space="preserve">test/api</w:t>
            </w:r>
          </w:p>
        </w:tc>
        <w:tc>
          <w:tcPr>
            <w:tcW w:w="6899" w:type="dxa"/>
            <w:vAlign w:val="top"/>
          </w:tcPr>
          <w:p>
            <w:pPr>
              <w:pStyle w:val="TableText"/>
              <w:jc w:val="left"/>
            </w:pPr>
            <w:r>
              <w:t xml:space="preserve">HTTP, contract and authorisation matrix; console and sales workflows; customer hosts and vehicle confirmation</w:t>
            </w:r>
          </w:p>
        </w:tc>
      </w:tr>
      <w:tr>
        <w:trPr>
          <w:cantSplit/>
        </w:trPr>
        <w:tc>
          <w:tcPr>
            <w:tcW w:w="2128" w:type="dxa"/>
            <w:shd w:val="clear" w:color="auto" w:fill="F4F7FB"/>
            <w:vAlign w:val="top"/>
          </w:tcPr>
          <w:p>
            <w:pPr>
              <w:pStyle w:val="TableText"/>
              <w:jc w:val="left"/>
            </w:pPr>
            <w:r>
              <w:rPr>
                <w:rStyle w:val="CodeChar"/>
              </w:rPr>
              <w:t xml:space="preserve">test/security</w:t>
            </w:r>
          </w:p>
        </w:tc>
        <w:tc>
          <w:tcPr>
            <w:tcW w:w="6899" w:type="dxa"/>
            <w:shd w:val="clear" w:color="auto" w:fill="F4F7FB"/>
            <w:vAlign w:val="top"/>
          </w:tcPr>
          <w:p>
            <w:pPr>
              <w:pStyle w:val="TableText"/>
              <w:jc w:val="left"/>
            </w:pPr>
            <w:r>
              <w:t xml:space="preserve">Abuse cases and hardening regressions</w:t>
            </w:r>
          </w:p>
        </w:tc>
      </w:tr>
      <w:tr>
        <w:trPr>
          <w:cantSplit/>
        </w:trPr>
        <w:tc>
          <w:tcPr>
            <w:tcW w:w="2128" w:type="dxa"/>
            <w:vAlign w:val="top"/>
          </w:tcPr>
          <w:p>
            <w:pPr>
              <w:pStyle w:val="TableText"/>
              <w:jc w:val="left"/>
            </w:pPr>
            <w:r>
              <w:rPr>
                <w:rStyle w:val="CodeChar"/>
              </w:rPr>
              <w:t xml:space="preserve">test/functional</w:t>
            </w:r>
          </w:p>
        </w:tc>
        <w:tc>
          <w:tcPr>
            <w:tcW w:w="6899" w:type="dxa"/>
            <w:vAlign w:val="top"/>
          </w:tcPr>
          <w:p>
            <w:pPr>
              <w:pStyle w:val="TableText"/>
              <w:jc w:val="left"/>
            </w:pPr>
            <w:r>
              <w:t xml:space="preserve">One test per user-story scenario, in three epic files</w:t>
            </w:r>
          </w:p>
        </w:tc>
      </w:tr>
      <w:tr>
        <w:trPr>
          <w:cantSplit/>
        </w:trPr>
        <w:tc>
          <w:tcPr>
            <w:tcW w:w="2128" w:type="dxa"/>
            <w:shd w:val="clear" w:color="auto" w:fill="F4F7FB"/>
            <w:vAlign w:val="top"/>
          </w:tcPr>
          <w:p>
            <w:pPr>
              <w:pStyle w:val="TableText"/>
              <w:jc w:val="left"/>
            </w:pPr>
            <w:r>
              <w:rPr>
                <w:rStyle w:val="CodeChar"/>
              </w:rPr>
              <w:t xml:space="preserve">test/pg</w:t>
            </w:r>
          </w:p>
        </w:tc>
        <w:tc>
          <w:tcPr>
            <w:tcW w:w="6899" w:type="dxa"/>
            <w:shd w:val="clear" w:color="auto" w:fill="F4F7FB"/>
            <w:vAlign w:val="top"/>
          </w:tcPr>
          <w:p>
            <w:pPr>
              <w:pStyle w:val="TableText"/>
              <w:jc w:val="left"/>
            </w:pPr>
            <w:r>
              <w:t xml:space="preserve">PostgreSQL adapter (needs</w:t>
            </w:r>
            <w:r>
              <w:t xml:space="preserve"> </w:t>
            </w:r>
            <w:r>
              <w:rPr>
                <w:rStyle w:val="CodeChar"/>
              </w:rPr>
              <w:t xml:space="preserve">TEST_DATABASE_URL</w:t>
            </w:r>
            <w:r>
              <w:t xml:space="preserve">)</w:t>
            </w:r>
          </w:p>
        </w:tc>
      </w:tr>
      <w:tr>
        <w:trPr>
          <w:cantSplit/>
        </w:trPr>
        <w:tc>
          <w:tcPr>
            <w:tcW w:w="2128" w:type="dxa"/>
            <w:vAlign w:val="top"/>
          </w:tcPr>
          <w:p>
            <w:pPr>
              <w:pStyle w:val="TableText"/>
              <w:jc w:val="left"/>
            </w:pPr>
            <w:r>
              <w:rPr>
                <w:rStyle w:val="CodeChar"/>
              </w:rPr>
              <w:t xml:space="preserve">test/perf</w:t>
            </w:r>
          </w:p>
        </w:tc>
        <w:tc>
          <w:tcPr>
            <w:tcW w:w="6899" w:type="dxa"/>
            <w:vAlign w:val="top"/>
          </w:tcPr>
          <w:p>
            <w:pPr>
              <w:pStyle w:val="TableText"/>
              <w:jc w:val="left"/>
            </w:pPr>
            <w:r>
              <w:rPr>
                <w:rStyle w:val="CodeChar"/>
              </w:rPr>
              <w:t xml:space="preserve">load.js</w:t>
            </w:r>
            <w:r>
              <w:t xml:space="preserve">, a dependency-free load generator</w:t>
            </w:r>
          </w:p>
        </w:tc>
      </w:tr>
    </w:tbl>
    <w:p>
      <w:pPr>
        <w:pStyle w:val="Heading2"/>
      </w:pPr>
      <w:bookmarkStart w:id="27" w:name="_Toc300000023"/>
      <w:r>
        <w:t xml:space="preserve">CI gates</w:t>
      </w:r>
      <w:bookmarkEnd w:id="2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47"/>
        <w:gridCol w:w="3732"/>
        <w:gridCol w:w="1534"/>
        <w:gridCol w:w="1514"/>
      </w:tblGrid>
      <w:tr>
        <w:trPr>
          <w:cantSplit/>
          <w:tblHeader/>
        </w:trPr>
        <w:tc>
          <w:tcPr>
            <w:tcW w:w="2247" w:type="dxa"/>
            <w:shd w:val="clear" w:color="auto" w:fill="0F4761"/>
            <w:vAlign w:val="center"/>
          </w:tcPr>
          <w:p>
            <w:pPr>
              <w:pStyle w:val="TableHeading"/>
              <w:jc w:val="left"/>
            </w:pPr>
            <w:r>
              <w:rPr>
                <w:color w:val="FFFFFF"/>
              </w:rPr>
              <w:t xml:space="preserve">Gate</w:t>
            </w:r>
          </w:p>
        </w:tc>
        <w:tc>
          <w:tcPr>
            <w:tcW w:w="3732" w:type="dxa"/>
            <w:shd w:val="clear" w:color="auto" w:fill="0F4761"/>
            <w:vAlign w:val="center"/>
          </w:tcPr>
          <w:p>
            <w:pPr>
              <w:pStyle w:val="TableHeading"/>
              <w:jc w:val="left"/>
            </w:pPr>
            <w:r>
              <w:rPr>
                <w:color w:val="FFFFFF"/>
              </w:rPr>
              <w:t xml:space="preserve">Command or tool</w:t>
            </w:r>
          </w:p>
        </w:tc>
        <w:tc>
          <w:tcPr>
            <w:tcW w:w="1534" w:type="dxa"/>
            <w:shd w:val="clear" w:color="auto" w:fill="0F4761"/>
            <w:vAlign w:val="center"/>
          </w:tcPr>
          <w:p>
            <w:pPr>
              <w:pStyle w:val="TableHeading"/>
              <w:jc w:val="left"/>
            </w:pPr>
            <w:r>
              <w:rPr>
                <w:color w:val="FFFFFF"/>
              </w:rPr>
              <w:t xml:space="preserve">Blocks a pull request</w:t>
            </w:r>
          </w:p>
        </w:tc>
        <w:tc>
          <w:tcPr>
            <w:tcW w:w="1514" w:type="dxa"/>
            <w:shd w:val="clear" w:color="auto" w:fill="0F4761"/>
            <w:vAlign w:val="center"/>
          </w:tcPr>
          <w:p>
            <w:pPr>
              <w:pStyle w:val="TableHeading"/>
              <w:jc w:val="left"/>
            </w:pPr>
            <w:r>
              <w:rPr>
                <w:color w:val="FFFFFF"/>
              </w:rPr>
              <w:t xml:space="preserve">Blocks a release tag</w:t>
            </w:r>
          </w:p>
        </w:tc>
      </w:tr>
      <w:tr>
        <w:trPr>
          <w:cantSplit/>
        </w:trPr>
        <w:tc>
          <w:tcPr>
            <w:tcW w:w="2247" w:type="dxa"/>
            <w:vAlign w:val="top"/>
          </w:tcPr>
          <w:p>
            <w:pPr>
              <w:pStyle w:val="TableText"/>
              <w:jc w:val="left"/>
            </w:pPr>
            <w:r>
              <w:t xml:space="preserve">Lint</w:t>
            </w:r>
          </w:p>
        </w:tc>
        <w:tc>
          <w:tcPr>
            <w:tcW w:w="3732" w:type="dxa"/>
            <w:vAlign w:val="top"/>
          </w:tcPr>
          <w:p>
            <w:pPr>
              <w:pStyle w:val="TableText"/>
              <w:jc w:val="left"/>
            </w:pPr>
            <w:r>
              <w:rPr>
                <w:rStyle w:val="CodeChar"/>
              </w:rPr>
              <w:t xml:space="preserve">npm run lint</w:t>
            </w:r>
          </w:p>
        </w:tc>
        <w:tc>
          <w:tcPr>
            <w:tcW w:w="1534" w:type="dxa"/>
            <w:vAlign w:val="top"/>
          </w:tcPr>
          <w:p>
            <w:pPr>
              <w:pStyle w:val="TableText"/>
              <w:jc w:val="left"/>
            </w:pPr>
            <w:r>
              <w:t xml:space="preserve">Yes</w:t>
            </w:r>
          </w:p>
        </w:tc>
        <w:tc>
          <w:tcPr>
            <w:tcW w:w="1514" w:type="dxa"/>
            <w:vAlign w:val="top"/>
          </w:tcPr>
          <w:p>
            <w:pPr>
              <w:pStyle w:val="TableText"/>
              <w:jc w:val="left"/>
            </w:pPr>
            <w:r>
              <w:t xml:space="preserve">Yes</w:t>
            </w:r>
          </w:p>
        </w:tc>
      </w:tr>
      <w:tr>
        <w:trPr>
          <w:cantSplit/>
        </w:trPr>
        <w:tc>
          <w:tcPr>
            <w:tcW w:w="2247" w:type="dxa"/>
            <w:shd w:val="clear" w:color="auto" w:fill="F4F7FB"/>
            <w:vAlign w:val="top"/>
          </w:tcPr>
          <w:p>
            <w:pPr>
              <w:pStyle w:val="TableText"/>
              <w:jc w:val="left"/>
            </w:pPr>
            <w:r>
              <w:t xml:space="preserve">Tests with coverage</w:t>
            </w:r>
          </w:p>
        </w:tc>
        <w:tc>
          <w:tcPr>
            <w:tcW w:w="3732" w:type="dxa"/>
            <w:shd w:val="clear" w:color="auto" w:fill="F4F7FB"/>
            <w:vAlign w:val="top"/>
          </w:tcPr>
          <w:p>
            <w:pPr>
              <w:pStyle w:val="TableText"/>
              <w:jc w:val="left"/>
            </w:pPr>
            <w:r>
              <w:rPr>
                <w:rStyle w:val="CodeChar"/>
              </w:rPr>
              <w:t xml:space="preserve">npm run test:coverage</w:t>
            </w:r>
            <w:r>
              <w:t xml:space="preserve">: lines and functions ≥ 80 %, branches ≥ 70 %</w:t>
            </w:r>
          </w:p>
        </w:tc>
        <w:tc>
          <w:tcPr>
            <w:tcW w:w="1534" w:type="dxa"/>
            <w:shd w:val="clear" w:color="auto" w:fill="F4F7FB"/>
            <w:vAlign w:val="top"/>
          </w:tcPr>
          <w:p>
            <w:pPr>
              <w:pStyle w:val="TableText"/>
              <w:jc w:val="left"/>
            </w:pPr>
            <w:r>
              <w:t xml:space="preserve">Yes</w:t>
            </w:r>
          </w:p>
        </w:tc>
        <w:tc>
          <w:tcPr>
            <w:tcW w:w="1514" w:type="dxa"/>
            <w:shd w:val="clear" w:color="auto" w:fill="F4F7FB"/>
            <w:vAlign w:val="top"/>
          </w:tcPr>
          <w:p>
            <w:pPr>
              <w:pStyle w:val="TableText"/>
              <w:jc w:val="left"/>
            </w:pPr>
            <w:r>
              <w:t xml:space="preserve">Yes</w:t>
            </w:r>
          </w:p>
        </w:tc>
      </w:tr>
      <w:tr>
        <w:trPr>
          <w:cantSplit/>
        </w:trPr>
        <w:tc>
          <w:tcPr>
            <w:tcW w:w="2247" w:type="dxa"/>
            <w:vAlign w:val="top"/>
          </w:tcPr>
          <w:p>
            <w:pPr>
              <w:pStyle w:val="TableText"/>
              <w:jc w:val="left"/>
            </w:pPr>
            <w:r>
              <w:t xml:space="preserve">OpenAPI contract</w:t>
            </w:r>
          </w:p>
        </w:tc>
        <w:tc>
          <w:tcPr>
            <w:tcW w:w="3732" w:type="dxa"/>
            <w:vAlign w:val="top"/>
          </w:tcPr>
          <w:p>
            <w:pPr>
              <w:pStyle w:val="TableText"/>
              <w:jc w:val="left"/>
            </w:pPr>
            <w:r>
              <w:t xml:space="preserve">Regenerate and diff the committed document</w:t>
            </w:r>
          </w:p>
        </w:tc>
        <w:tc>
          <w:tcPr>
            <w:tcW w:w="1534" w:type="dxa"/>
            <w:vAlign w:val="top"/>
          </w:tcPr>
          <w:p>
            <w:pPr>
              <w:pStyle w:val="TableText"/>
              <w:jc w:val="left"/>
            </w:pPr>
            <w:r>
              <w:t xml:space="preserve">Yes</w:t>
            </w:r>
          </w:p>
        </w:tc>
        <w:tc>
          <w:tcPr>
            <w:tcW w:w="1514" w:type="dxa"/>
            <w:vAlign w:val="top"/>
          </w:tcPr>
          <w:p>
            <w:pPr>
              <w:pStyle w:val="TableText"/>
              <w:jc w:val="left"/>
            </w:pPr>
            <w:r>
              <w:t xml:space="preserve">Yes</w:t>
            </w:r>
          </w:p>
        </w:tc>
      </w:tr>
      <w:tr>
        <w:trPr>
          <w:cantSplit/>
        </w:trPr>
        <w:tc>
          <w:tcPr>
            <w:tcW w:w="2247" w:type="dxa"/>
            <w:shd w:val="clear" w:color="auto" w:fill="F4F7FB"/>
            <w:vAlign w:val="top"/>
          </w:tcPr>
          <w:p>
            <w:pPr>
              <w:pStyle w:val="TableText"/>
              <w:jc w:val="left"/>
            </w:pPr>
            <w:r>
              <w:t xml:space="preserve">PostgreSQL tests</w:t>
            </w:r>
          </w:p>
        </w:tc>
        <w:tc>
          <w:tcPr>
            <w:tcW w:w="3732" w:type="dxa"/>
            <w:shd w:val="clear" w:color="auto" w:fill="F4F7FB"/>
            <w:vAlign w:val="top"/>
          </w:tcPr>
          <w:p>
            <w:pPr>
              <w:pStyle w:val="TableText"/>
              <w:jc w:val="left"/>
            </w:pPr>
            <w:r>
              <w:rPr>
                <w:rStyle w:val="CodeChar"/>
              </w:rPr>
              <w:t xml:space="preserve">npm run test:pg</w:t>
            </w:r>
            <w:r>
              <w:t xml:space="preserve"> </w:t>
            </w:r>
            <w:r>
              <w:t xml:space="preserve">against PostgreSQL 16</w:t>
            </w:r>
          </w:p>
        </w:tc>
        <w:tc>
          <w:tcPr>
            <w:tcW w:w="1534" w:type="dxa"/>
            <w:shd w:val="clear" w:color="auto" w:fill="F4F7FB"/>
            <w:vAlign w:val="top"/>
          </w:tcPr>
          <w:p>
            <w:pPr>
              <w:pStyle w:val="TableText"/>
              <w:jc w:val="left"/>
            </w:pPr>
            <w:r>
              <w:t xml:space="preserve">Yes</w:t>
            </w:r>
          </w:p>
        </w:tc>
        <w:tc>
          <w:tcPr>
            <w:tcW w:w="1514" w:type="dxa"/>
            <w:shd w:val="clear" w:color="auto" w:fill="F4F7FB"/>
            <w:vAlign w:val="top"/>
          </w:tcPr>
          <w:p>
            <w:pPr>
              <w:pStyle w:val="TableText"/>
              <w:jc w:val="left"/>
            </w:pPr>
            <w:r>
              <w:t xml:space="preserve">Yes</w:t>
            </w:r>
          </w:p>
        </w:tc>
      </w:tr>
      <w:tr>
        <w:trPr>
          <w:cantSplit/>
        </w:trPr>
        <w:tc>
          <w:tcPr>
            <w:tcW w:w="2247" w:type="dxa"/>
            <w:vAlign w:val="top"/>
          </w:tcPr>
          <w:p>
            <w:pPr>
              <w:pStyle w:val="TableText"/>
              <w:jc w:val="left"/>
            </w:pPr>
            <w:r>
              <w:t xml:space="preserve">Performance smoke</w:t>
            </w:r>
          </w:p>
        </w:tc>
        <w:tc>
          <w:tcPr>
            <w:tcW w:w="3732" w:type="dxa"/>
            <w:vAlign w:val="top"/>
          </w:tcPr>
          <w:p>
            <w:pPr>
              <w:pStyle w:val="TableText"/>
              <w:jc w:val="left"/>
            </w:pPr>
            <w:r>
              <w:rPr>
                <w:rStyle w:val="CodeChar"/>
              </w:rPr>
              <w:t xml:space="preserve">npm run test:perf</w:t>
            </w:r>
            <w:r>
              <w:t xml:space="preserve"> </w:t>
            </w:r>
            <w:r>
              <w:t xml:space="preserve">(15 s, 25 concurrent): p95 ≤ 300 ms, errors ≤ 1 %</w:t>
            </w:r>
          </w:p>
        </w:tc>
        <w:tc>
          <w:tcPr>
            <w:tcW w:w="1534" w:type="dxa"/>
            <w:vAlign w:val="top"/>
          </w:tcPr>
          <w:p>
            <w:pPr>
              <w:pStyle w:val="TableText"/>
              <w:jc w:val="left"/>
            </w:pPr>
            <w:r>
              <w:t xml:space="preserve">Yes</w:t>
            </w:r>
          </w:p>
        </w:tc>
        <w:tc>
          <w:tcPr>
            <w:tcW w:w="1514" w:type="dxa"/>
            <w:vAlign w:val="top"/>
          </w:tcPr>
          <w:p>
            <w:pPr>
              <w:pStyle w:val="TableText"/>
              <w:jc w:val="left"/>
            </w:pPr>
            <w:r>
              <w:t xml:space="preserve">Yes</w:t>
            </w:r>
          </w:p>
        </w:tc>
      </w:tr>
      <w:tr>
        <w:trPr>
          <w:cantSplit/>
        </w:trPr>
        <w:tc>
          <w:tcPr>
            <w:tcW w:w="2247" w:type="dxa"/>
            <w:shd w:val="clear" w:color="auto" w:fill="F4F7FB"/>
            <w:vAlign w:val="top"/>
          </w:tcPr>
          <w:p>
            <w:pPr>
              <w:pStyle w:val="TableText"/>
              <w:jc w:val="left"/>
            </w:pPr>
            <w:r>
              <w:t xml:space="preserve">CodeQL, dependency audit, gitleaks</w:t>
            </w:r>
          </w:p>
        </w:tc>
        <w:tc>
          <w:tcPr>
            <w:tcW w:w="3732" w:type="dxa"/>
            <w:shd w:val="clear" w:color="auto" w:fill="F4F7FB"/>
            <w:vAlign w:val="top"/>
          </w:tcPr>
          <w:p>
            <w:pPr>
              <w:pStyle w:val="TableText"/>
              <w:jc w:val="left"/>
            </w:pPr>
            <w:r>
              <w:t xml:space="preserve">As in Security testing</w:t>
            </w:r>
          </w:p>
        </w:tc>
        <w:tc>
          <w:tcPr>
            <w:tcW w:w="1534" w:type="dxa"/>
            <w:shd w:val="clear" w:color="auto" w:fill="F4F7FB"/>
            <w:vAlign w:val="top"/>
          </w:tcPr>
          <w:p>
            <w:pPr>
              <w:pStyle w:val="TableText"/>
              <w:jc w:val="left"/>
            </w:pPr>
            <w:r>
              <w:t xml:space="preserve">Yes</w:t>
            </w:r>
          </w:p>
        </w:tc>
        <w:tc>
          <w:tcPr>
            <w:tcW w:w="1514" w:type="dxa"/>
            <w:shd w:val="clear" w:color="auto" w:fill="F4F7FB"/>
            <w:vAlign w:val="top"/>
          </w:tcPr>
          <w:p>
            <w:pPr>
              <w:pStyle w:val="TableText"/>
              <w:jc w:val="left"/>
            </w:pPr>
            <w:r>
              <w:t xml:space="preserve">Yes</w:t>
            </w:r>
          </w:p>
        </w:tc>
      </w:tr>
      <w:tr>
        <w:trPr>
          <w:cantSplit/>
        </w:trPr>
        <w:tc>
          <w:tcPr>
            <w:tcW w:w="2247" w:type="dxa"/>
            <w:vAlign w:val="top"/>
          </w:tcPr>
          <w:p>
            <w:pPr>
              <w:pStyle w:val="TableText"/>
              <w:jc w:val="left"/>
            </w:pPr>
            <w:r>
              <w:t xml:space="preserve">Container scan</w:t>
            </w:r>
          </w:p>
        </w:tc>
        <w:tc>
          <w:tcPr>
            <w:tcW w:w="3732" w:type="dxa"/>
            <w:vAlign w:val="top"/>
          </w:tcPr>
          <w:p>
            <w:pPr>
              <w:pStyle w:val="TableText"/>
              <w:jc w:val="left"/>
            </w:pPr>
            <w:r>
              <w:t xml:space="preserve">Trivy</w:t>
            </w:r>
          </w:p>
        </w:tc>
        <w:tc>
          <w:tcPr>
            <w:tcW w:w="1534" w:type="dxa"/>
            <w:vAlign w:val="top"/>
          </w:tcPr>
          <w:p>
            <w:pPr>
              <w:pStyle w:val="TableText"/>
              <w:jc w:val="left"/>
            </w:pPr>
            <w:r>
              <w:t xml:space="preserve">Yes (high or critical)</w:t>
            </w:r>
          </w:p>
        </w:tc>
        <w:tc>
          <w:tcPr>
            <w:tcW w:w="1514" w:type="dxa"/>
            <w:vAlign w:val="top"/>
          </w:tcPr>
          <w:p>
            <w:pPr>
              <w:pStyle w:val="TableText"/>
              <w:jc w:val="left"/>
            </w:pPr>
            <w:r>
              <w:t xml:space="preserve">Yes</w:t>
            </w:r>
          </w:p>
        </w:tc>
      </w:tr>
      <w:tr>
        <w:trPr>
          <w:cantSplit/>
        </w:trPr>
        <w:tc>
          <w:tcPr>
            <w:tcW w:w="2247" w:type="dxa"/>
            <w:shd w:val="clear" w:color="auto" w:fill="F4F7FB"/>
            <w:vAlign w:val="top"/>
          </w:tcPr>
          <w:p>
            <w:pPr>
              <w:pStyle w:val="TableText"/>
              <w:jc w:val="left"/>
            </w:pPr>
            <w:r>
              <w:t xml:space="preserve">SBOM</w:t>
            </w:r>
          </w:p>
        </w:tc>
        <w:tc>
          <w:tcPr>
            <w:tcW w:w="3732" w:type="dxa"/>
            <w:shd w:val="clear" w:color="auto" w:fill="F4F7FB"/>
            <w:vAlign w:val="top"/>
          </w:tcPr>
          <w:p>
            <w:pPr>
              <w:pStyle w:val="TableText"/>
              <w:jc w:val="left"/>
            </w:pPr>
            <w:r>
              <w:t xml:space="preserve">CycloneDX</w:t>
            </w:r>
          </w:p>
        </w:tc>
        <w:tc>
          <w:tcPr>
            <w:tcW w:w="1534" w:type="dxa"/>
            <w:shd w:val="clear" w:color="auto" w:fill="F4F7FB"/>
            <w:vAlign w:val="top"/>
          </w:tcPr>
          <w:p>
            <w:pPr>
              <w:pStyle w:val="TableText"/>
              <w:jc w:val="left"/>
            </w:pPr>
            <w:r>
              <w:t xml:space="preserve">No</w:t>
            </w:r>
          </w:p>
        </w:tc>
        <w:tc>
          <w:tcPr>
            <w:tcW w:w="1514" w:type="dxa"/>
            <w:shd w:val="clear" w:color="auto" w:fill="F4F7FB"/>
            <w:vAlign w:val="top"/>
          </w:tcPr>
          <w:p>
            <w:pPr>
              <w:pStyle w:val="TableText"/>
              <w:jc w:val="left"/>
            </w:pPr>
            <w:r>
              <w:t xml:space="preserve">Yes (artefact)</w:t>
            </w:r>
          </w:p>
        </w:tc>
      </w:tr>
      <w:tr>
        <w:trPr>
          <w:cantSplit/>
        </w:trPr>
        <w:tc>
          <w:tcPr>
            <w:tcW w:w="2247" w:type="dxa"/>
            <w:vAlign w:val="top"/>
          </w:tcPr>
          <w:p>
            <w:pPr>
              <w:pStyle w:val="TableText"/>
              <w:jc w:val="left"/>
            </w:pPr>
            <w:r>
              <w:t xml:space="preserve">Dynamic scan</w:t>
            </w:r>
          </w:p>
        </w:tc>
        <w:tc>
          <w:tcPr>
            <w:tcW w:w="3732" w:type="dxa"/>
            <w:vAlign w:val="top"/>
          </w:tcPr>
          <w:p>
            <w:pPr>
              <w:pStyle w:val="TableText"/>
              <w:jc w:val="left"/>
            </w:pPr>
            <w:r>
              <w:t xml:space="preserve">ZAP baseline</w:t>
            </w:r>
          </w:p>
        </w:tc>
        <w:tc>
          <w:tcPr>
            <w:tcW w:w="1534" w:type="dxa"/>
            <w:vAlign w:val="top"/>
          </w:tcPr>
          <w:p>
            <w:pPr>
              <w:pStyle w:val="TableText"/>
              <w:jc w:val="left"/>
            </w:pPr>
            <w:r>
              <w:t xml:space="preserve">No (report only)</w:t>
            </w:r>
          </w:p>
        </w:tc>
        <w:tc>
          <w:tcPr>
            <w:tcW w:w="1514" w:type="dxa"/>
            <w:vAlign w:val="top"/>
          </w:tcPr>
          <w:p>
            <w:pPr>
              <w:pStyle w:val="TableText"/>
              <w:jc w:val="left"/>
            </w:pPr>
            <w:r>
              <w:t xml:space="preserve">Yes (no high)</w:t>
            </w:r>
          </w:p>
        </w:tc>
      </w:tr>
    </w:tbl>
    <w:p>
      <w:pPr>
        <w:pStyle w:val="Heading2"/>
      </w:pPr>
      <w:bookmarkStart w:id="28" w:name="_Toc300000024"/>
      <w:r>
        <w:t xml:space="preserve">Regression</w:t>
      </w:r>
      <w:bookmarkEnd w:id="28"/>
    </w:p>
    <w:p>
      <w:pPr>
        <w:pStyle w:val="FirstParagraph"/>
      </w:pPr>
      <w:r>
        <w:t xml:space="preserve">Every pull request runs the full automated suite; it takes minutes because the in-memory store needs no infrastructure. Release candidates add a SIT smoke (wallet debit and refund, core rating and issuance, ZNS send, sign-on) and manual regression of the changed area. Every fixed Sev 1 or Sev 2 defect gets an automated regression test that names the defect.</w:t>
      </w:r>
    </w:p>
    <w:p>
      <w:pPr>
        <w:pStyle w:val="BodyText"/>
      </w:pPr>
      <w:r>
        <w:t xml:space="preserve">Business rule changes go through maker-checker, not a code release. The rules studio’s validation and simulation are the regression tools: a change to scoring, next best action, journeys or benefits includes a simulation on the reference profiles in TGP-QA-04 as approval evidence. Product changes proposed by the catalogue sync follow the same approval.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Environments</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92"/>
        <w:gridCol w:w="3118"/>
        <w:gridCol w:w="1353"/>
        <w:gridCol w:w="1665"/>
        <w:gridCol w:w="1499"/>
      </w:tblGrid>
      <w:tr>
        <w:trPr>
          <w:cantSplit/>
          <w:tblHeader/>
        </w:trPr>
        <w:tc>
          <w:tcPr>
            <w:tcW w:w="1392" w:type="dxa"/>
            <w:shd w:val="clear" w:color="auto" w:fill="0F4761"/>
            <w:vAlign w:val="center"/>
          </w:tcPr>
          <w:p>
            <w:pPr>
              <w:pStyle w:val="TableHeading"/>
              <w:jc w:val="left"/>
            </w:pPr>
            <w:r>
              <w:rPr>
                <w:color w:val="FFFFFF"/>
              </w:rPr>
              <w:t xml:space="preserve">Environment</w:t>
            </w:r>
          </w:p>
        </w:tc>
        <w:tc>
          <w:tcPr>
            <w:tcW w:w="3118" w:type="dxa"/>
            <w:shd w:val="clear" w:color="auto" w:fill="0F4761"/>
            <w:vAlign w:val="center"/>
          </w:tcPr>
          <w:p>
            <w:pPr>
              <w:pStyle w:val="TableHeading"/>
              <w:jc w:val="left"/>
            </w:pPr>
            <w:r>
              <w:rPr>
                <w:color w:val="FFFFFF"/>
              </w:rPr>
              <w:t xml:space="preserve">Purpose</w:t>
            </w:r>
          </w:p>
        </w:tc>
        <w:tc>
          <w:tcPr>
            <w:tcW w:w="1353" w:type="dxa"/>
            <w:shd w:val="clear" w:color="auto" w:fill="0F4761"/>
            <w:vAlign w:val="center"/>
          </w:tcPr>
          <w:p>
            <w:pPr>
              <w:pStyle w:val="TableHeading"/>
              <w:jc w:val="left"/>
            </w:pPr>
            <w:r>
              <w:rPr>
                <w:color w:val="FFFFFF"/>
              </w:rPr>
              <w:t xml:space="preserve">Store and data</w:t>
            </w:r>
          </w:p>
        </w:tc>
        <w:tc>
          <w:tcPr>
            <w:tcW w:w="1665" w:type="dxa"/>
            <w:shd w:val="clear" w:color="auto" w:fill="0F4761"/>
            <w:vAlign w:val="center"/>
          </w:tcPr>
          <w:p>
            <w:pPr>
              <w:pStyle w:val="TableHeading"/>
              <w:jc w:val="left"/>
            </w:pPr>
            <w:r>
              <w:rPr>
                <w:color w:val="FFFFFF"/>
              </w:rPr>
              <w:t xml:space="preserve">Demo mode</w:t>
            </w:r>
          </w:p>
        </w:tc>
        <w:tc>
          <w:tcPr>
            <w:tcW w:w="1499" w:type="dxa"/>
            <w:shd w:val="clear" w:color="auto" w:fill="0F4761"/>
            <w:vAlign w:val="center"/>
          </w:tcPr>
          <w:p>
            <w:pPr>
              <w:pStyle w:val="TableHeading"/>
              <w:jc w:val="left"/>
            </w:pPr>
            <w:r>
              <w:rPr>
                <w:color w:val="FFFFFF"/>
              </w:rPr>
              <w:t xml:space="preserve">Integrations</w:t>
            </w:r>
          </w:p>
        </w:tc>
      </w:tr>
      <w:tr>
        <w:trPr>
          <w:cantSplit/>
        </w:trPr>
        <w:tc>
          <w:tcPr>
            <w:tcW w:w="1392" w:type="dxa"/>
            <w:vAlign w:val="top"/>
          </w:tcPr>
          <w:p>
            <w:pPr>
              <w:pStyle w:val="TableText"/>
              <w:jc w:val="left"/>
            </w:pPr>
            <w:r>
              <w:t xml:space="preserve">Local and CI</w:t>
            </w:r>
          </w:p>
        </w:tc>
        <w:tc>
          <w:tcPr>
            <w:tcW w:w="3118" w:type="dxa"/>
            <w:vAlign w:val="top"/>
          </w:tcPr>
          <w:p>
            <w:pPr>
              <w:pStyle w:val="TableText"/>
              <w:jc w:val="left"/>
            </w:pPr>
            <w:r>
              <w:t xml:space="preserve">Development and automated tests</w:t>
            </w:r>
          </w:p>
        </w:tc>
        <w:tc>
          <w:tcPr>
            <w:tcW w:w="1353" w:type="dxa"/>
            <w:vAlign w:val="top"/>
          </w:tcPr>
          <w:p>
            <w:pPr>
              <w:pStyle w:val="TableText"/>
              <w:jc w:val="left"/>
            </w:pPr>
            <w:r>
              <w:t xml:space="preserve">In-memory (PostgreSQL for</w:t>
            </w:r>
            <w:r>
              <w:t xml:space="preserve"> </w:t>
            </w:r>
            <w:r>
              <w:rPr>
                <w:rStyle w:val="CodeChar"/>
              </w:rPr>
              <w:t xml:space="preserve">test:pg</w:t>
            </w:r>
            <w:r>
              <w:t xml:space="preserve">); synthetic</w:t>
            </w:r>
          </w:p>
        </w:tc>
        <w:tc>
          <w:tcPr>
            <w:tcW w:w="1665" w:type="dxa"/>
            <w:vAlign w:val="top"/>
          </w:tcPr>
          <w:p>
            <w:pPr>
              <w:pStyle w:val="TableText"/>
              <w:jc w:val="left"/>
            </w:pPr>
            <w:r>
              <w:t xml:space="preserve">Per test</w:t>
            </w:r>
          </w:p>
        </w:tc>
        <w:tc>
          <w:tcPr>
            <w:tcW w:w="1499" w:type="dxa"/>
            <w:vAlign w:val="top"/>
          </w:tcPr>
          <w:p>
            <w:pPr>
              <w:pStyle w:val="TableText"/>
              <w:jc w:val="left"/>
            </w:pPr>
            <w:r>
              <w:t xml:space="preserve">Sandbox</w:t>
            </w:r>
          </w:p>
        </w:tc>
      </w:tr>
      <w:tr>
        <w:trPr>
          <w:cantSplit/>
        </w:trPr>
        <w:tc>
          <w:tcPr>
            <w:tcW w:w="1392" w:type="dxa"/>
            <w:shd w:val="clear" w:color="auto" w:fill="F4F7FB"/>
            <w:vAlign w:val="top"/>
          </w:tcPr>
          <w:p>
            <w:pPr>
              <w:pStyle w:val="TableText"/>
              <w:jc w:val="left"/>
            </w:pPr>
            <w:r>
              <w:t xml:space="preserve">Development</w:t>
            </w:r>
          </w:p>
        </w:tc>
        <w:tc>
          <w:tcPr>
            <w:tcW w:w="3118" w:type="dxa"/>
            <w:shd w:val="clear" w:color="auto" w:fill="F4F7FB"/>
            <w:vAlign w:val="top"/>
          </w:tcPr>
          <w:p>
            <w:pPr>
              <w:pStyle w:val="TableText"/>
              <w:jc w:val="left"/>
            </w:pPr>
            <w:r>
              <w:t xml:space="preserve">Feature integration</w:t>
            </w:r>
          </w:p>
        </w:tc>
        <w:tc>
          <w:tcPr>
            <w:tcW w:w="1353" w:type="dxa"/>
            <w:shd w:val="clear" w:color="auto" w:fill="F4F7FB"/>
            <w:vAlign w:val="top"/>
          </w:tcPr>
          <w:p>
            <w:pPr>
              <w:pStyle w:val="TableText"/>
              <w:jc w:val="left"/>
            </w:pPr>
            <w:r>
              <w:t xml:space="preserve">PostgreSQL; synthetic, 2,500 to 50,000 records</w:t>
            </w:r>
          </w:p>
        </w:tc>
        <w:tc>
          <w:tcPr>
            <w:tcW w:w="1665" w:type="dxa"/>
            <w:shd w:val="clear" w:color="auto" w:fill="F4F7FB"/>
            <w:vAlign w:val="top"/>
          </w:tcPr>
          <w:p>
            <w:pPr>
              <w:pStyle w:val="TableText"/>
              <w:jc w:val="left"/>
            </w:pPr>
            <w:r>
              <w:t xml:space="preserve">On</w:t>
            </w:r>
          </w:p>
        </w:tc>
        <w:tc>
          <w:tcPr>
            <w:tcW w:w="1499" w:type="dxa"/>
            <w:shd w:val="clear" w:color="auto" w:fill="F4F7FB"/>
            <w:vAlign w:val="top"/>
          </w:tcPr>
          <w:p>
            <w:pPr>
              <w:pStyle w:val="TableText"/>
              <w:jc w:val="left"/>
            </w:pPr>
            <w:r>
              <w:t xml:space="preserve">Sandbox</w:t>
            </w:r>
          </w:p>
        </w:tc>
      </w:tr>
      <w:tr>
        <w:trPr>
          <w:cantSplit/>
        </w:trPr>
        <w:tc>
          <w:tcPr>
            <w:tcW w:w="1392" w:type="dxa"/>
            <w:vAlign w:val="top"/>
          </w:tcPr>
          <w:p>
            <w:pPr>
              <w:pStyle w:val="TableText"/>
              <w:jc w:val="left"/>
            </w:pPr>
            <w:r>
              <w:t xml:space="preserve">Hosted UAT (Railway)</w:t>
            </w:r>
          </w:p>
        </w:tc>
        <w:tc>
          <w:tcPr>
            <w:tcW w:w="3118" w:type="dxa"/>
            <w:vAlign w:val="top"/>
          </w:tcPr>
          <w:p>
            <w:pPr>
              <w:pStyle w:val="TableText"/>
              <w:jc w:val="left"/>
            </w:pPr>
            <w:r>
              <w:t xml:space="preserve">Walkthroughs, training and early feedback at</w:t>
            </w:r>
            <w:r>
              <w:t xml:space="preserve"> </w:t>
            </w:r>
            <w:hyperlink r:id="rIdG3">
              <w:r>
                <w:rPr>
                  <w:rStyle w:val="Hyperlink"/>
                </w:rPr>
                <w:t xml:space="preserve">https://tasco-growth-api-uat.up.railway.app</w:t>
              </w:r>
            </w:hyperlink>
          </w:p>
        </w:tc>
        <w:tc>
          <w:tcPr>
            <w:tcW w:w="1353" w:type="dxa"/>
            <w:vAlign w:val="top"/>
          </w:tcPr>
          <w:p>
            <w:pPr>
              <w:pStyle w:val="TableText"/>
              <w:jc w:val="left"/>
            </w:pPr>
            <w:r>
              <w:t xml:space="preserve">PostgreSQL; synthetic; demo accounts kept usable</w:t>
            </w:r>
          </w:p>
        </w:tc>
        <w:tc>
          <w:tcPr>
            <w:tcW w:w="1665" w:type="dxa"/>
            <w:vAlign w:val="top"/>
          </w:tcPr>
          <w:p>
            <w:pPr>
              <w:pStyle w:val="TableText"/>
              <w:jc w:val="left"/>
            </w:pPr>
            <w:r>
              <w:t xml:space="preserve">On (</w:t>
            </w:r>
            <w:r>
              <w:rPr>
                <w:rStyle w:val="CodeChar"/>
              </w:rPr>
              <w:t xml:space="preserve">NODE_ENV=uat</w:t>
            </w:r>
            <w:r>
              <w:t xml:space="preserve">)</w:t>
            </w:r>
          </w:p>
        </w:tc>
        <w:tc>
          <w:tcPr>
            <w:tcW w:w="1499" w:type="dxa"/>
            <w:vAlign w:val="top"/>
          </w:tcPr>
          <w:p>
            <w:pPr>
              <w:pStyle w:val="TableText"/>
              <w:jc w:val="left"/>
            </w:pPr>
            <w:r>
              <w:t xml:space="preserve">Sandbox</w:t>
            </w:r>
          </w:p>
        </w:tc>
      </w:tr>
      <w:tr>
        <w:trPr>
          <w:cantSplit/>
        </w:trPr>
        <w:tc>
          <w:tcPr>
            <w:tcW w:w="1392" w:type="dxa"/>
            <w:shd w:val="clear" w:color="auto" w:fill="F4F7FB"/>
            <w:vAlign w:val="top"/>
          </w:tcPr>
          <w:p>
            <w:pPr>
              <w:pStyle w:val="TableText"/>
              <w:jc w:val="left"/>
            </w:pPr>
            <w:r>
              <w:t xml:space="preserve">SIT</w:t>
            </w:r>
          </w:p>
        </w:tc>
        <w:tc>
          <w:tcPr>
            <w:tcW w:w="3118" w:type="dxa"/>
            <w:shd w:val="clear" w:color="auto" w:fill="F4F7FB"/>
            <w:vAlign w:val="top"/>
          </w:tcPr>
          <w:p>
            <w:pPr>
              <w:pStyle w:val="TableText"/>
              <w:jc w:val="left"/>
            </w:pPr>
            <w:r>
              <w:t xml:space="preserve">Integration with partners</w:t>
            </w:r>
          </w:p>
        </w:tc>
        <w:tc>
          <w:tcPr>
            <w:tcW w:w="1353" w:type="dxa"/>
            <w:shd w:val="clear" w:color="auto" w:fill="F4F7FB"/>
            <w:vAlign w:val="top"/>
          </w:tcPr>
          <w:p>
            <w:pPr>
              <w:pStyle w:val="TableText"/>
              <w:jc w:val="left"/>
            </w:pPr>
            <w:r>
              <w:t xml:space="preserve">PostgreSQL; synthetic and partner test identities</w:t>
            </w:r>
          </w:p>
        </w:tc>
        <w:tc>
          <w:tcPr>
            <w:tcW w:w="1665" w:type="dxa"/>
            <w:shd w:val="clear" w:color="auto" w:fill="F4F7FB"/>
            <w:vAlign w:val="top"/>
          </w:tcPr>
          <w:p>
            <w:pPr>
              <w:pStyle w:val="TableText"/>
              <w:jc w:val="left"/>
            </w:pPr>
            <w:r>
              <w:t xml:space="preserve">Off</w:t>
            </w:r>
          </w:p>
        </w:tc>
        <w:tc>
          <w:tcPr>
            <w:tcW w:w="1499" w:type="dxa"/>
            <w:shd w:val="clear" w:color="auto" w:fill="F4F7FB"/>
            <w:vAlign w:val="top"/>
          </w:tcPr>
          <w:p>
            <w:pPr>
              <w:pStyle w:val="TableText"/>
              <w:jc w:val="left"/>
            </w:pPr>
            <w:r>
              <w:t xml:space="preserve">Production adapters to partner UAT</w:t>
            </w:r>
          </w:p>
        </w:tc>
      </w:tr>
      <w:tr>
        <w:trPr>
          <w:cantSplit/>
        </w:trPr>
        <w:tc>
          <w:tcPr>
            <w:tcW w:w="1392" w:type="dxa"/>
            <w:vAlign w:val="top"/>
          </w:tcPr>
          <w:p>
            <w:pPr>
              <w:pStyle w:val="TableText"/>
              <w:jc w:val="left"/>
            </w:pPr>
            <w:r>
              <w:t xml:space="preserve">UAT</w:t>
            </w:r>
          </w:p>
        </w:tc>
        <w:tc>
          <w:tcPr>
            <w:tcW w:w="3118" w:type="dxa"/>
            <w:vAlign w:val="top"/>
          </w:tcPr>
          <w:p>
            <w:pPr>
              <w:pStyle w:val="TableText"/>
              <w:jc w:val="left"/>
            </w:pPr>
            <w:r>
              <w:t xml:space="preserve">Business acceptance</w:t>
            </w:r>
          </w:p>
        </w:tc>
        <w:tc>
          <w:tcPr>
            <w:tcW w:w="1353" w:type="dxa"/>
            <w:vAlign w:val="top"/>
          </w:tcPr>
          <w:p>
            <w:pPr>
              <w:pStyle w:val="TableText"/>
              <w:jc w:val="left"/>
            </w:pPr>
            <w:r>
              <w:t xml:space="preserve">PostgreSQL; synthetic and masked samples, no production personal data</w:t>
            </w:r>
          </w:p>
        </w:tc>
        <w:tc>
          <w:tcPr>
            <w:tcW w:w="1665" w:type="dxa"/>
            <w:vAlign w:val="top"/>
          </w:tcPr>
          <w:p>
            <w:pPr>
              <w:pStyle w:val="TableText"/>
              <w:jc w:val="left"/>
            </w:pPr>
            <w:r>
              <w:t xml:space="preserve">Off (named accounts)</w:t>
            </w:r>
          </w:p>
        </w:tc>
        <w:tc>
          <w:tcPr>
            <w:tcW w:w="1499" w:type="dxa"/>
            <w:vAlign w:val="top"/>
          </w:tcPr>
          <w:p>
            <w:pPr>
              <w:pStyle w:val="TableText"/>
              <w:jc w:val="left"/>
            </w:pPr>
            <w:r>
              <w:t xml:space="preserve">Production adapters to partner UAT</w:t>
            </w:r>
          </w:p>
        </w:tc>
      </w:tr>
      <w:tr>
        <w:trPr>
          <w:cantSplit/>
        </w:trPr>
        <w:tc>
          <w:tcPr>
            <w:tcW w:w="1392" w:type="dxa"/>
            <w:shd w:val="clear" w:color="auto" w:fill="F4F7FB"/>
            <w:vAlign w:val="top"/>
          </w:tcPr>
          <w:p>
            <w:pPr>
              <w:pStyle w:val="TableText"/>
              <w:jc w:val="left"/>
            </w:pPr>
            <w:r>
              <w:t xml:space="preserve">PERF</w:t>
            </w:r>
          </w:p>
        </w:tc>
        <w:tc>
          <w:tcPr>
            <w:tcW w:w="3118" w:type="dxa"/>
            <w:shd w:val="clear" w:color="auto" w:fill="F4F7FB"/>
            <w:vAlign w:val="top"/>
          </w:tcPr>
          <w:p>
            <w:pPr>
              <w:pStyle w:val="TableText"/>
              <w:jc w:val="left"/>
            </w:pPr>
            <w:r>
              <w:t xml:space="preserve">Load, volume, soak, stress</w:t>
            </w:r>
          </w:p>
        </w:tc>
        <w:tc>
          <w:tcPr>
            <w:tcW w:w="1353" w:type="dxa"/>
            <w:shd w:val="clear" w:color="auto" w:fill="F4F7FB"/>
            <w:vAlign w:val="top"/>
          </w:tcPr>
          <w:p>
            <w:pPr>
              <w:pStyle w:val="TableText"/>
              <w:jc w:val="left"/>
            </w:pPr>
            <w:r>
              <w:t xml:space="preserve">PostgreSQL sized as production; synthetic up to 6 million profiles</w:t>
            </w:r>
          </w:p>
        </w:tc>
        <w:tc>
          <w:tcPr>
            <w:tcW w:w="1665" w:type="dxa"/>
            <w:shd w:val="clear" w:color="auto" w:fill="F4F7FB"/>
            <w:vAlign w:val="top"/>
          </w:tcPr>
          <w:p>
            <w:pPr>
              <w:pStyle w:val="TableText"/>
              <w:jc w:val="left"/>
            </w:pPr>
            <w:r>
              <w:t xml:space="preserve">Off</w:t>
            </w:r>
          </w:p>
        </w:tc>
        <w:tc>
          <w:tcPr>
            <w:tcW w:w="1499" w:type="dxa"/>
            <w:shd w:val="clear" w:color="auto" w:fill="F4F7FB"/>
            <w:vAlign w:val="top"/>
          </w:tcPr>
          <w:p>
            <w:pPr>
              <w:pStyle w:val="TableText"/>
              <w:jc w:val="left"/>
            </w:pPr>
            <w:r>
              <w:t xml:space="preserve">Sandbox with injected latency</w:t>
            </w:r>
          </w:p>
        </w:tc>
      </w:tr>
      <w:tr>
        <w:trPr>
          <w:cantSplit/>
        </w:trPr>
        <w:tc>
          <w:tcPr>
            <w:tcW w:w="1392" w:type="dxa"/>
            <w:vAlign w:val="top"/>
          </w:tcPr>
          <w:p>
            <w:pPr>
              <w:pStyle w:val="TableText"/>
              <w:jc w:val="left"/>
            </w:pPr>
            <w:r>
              <w:t xml:space="preserve">PREPROD</w:t>
            </w:r>
          </w:p>
        </w:tc>
        <w:tc>
          <w:tcPr>
            <w:tcW w:w="3118" w:type="dxa"/>
            <w:vAlign w:val="top"/>
          </w:tcPr>
          <w:p>
            <w:pPr>
              <w:pStyle w:val="TableText"/>
              <w:jc w:val="left"/>
            </w:pPr>
            <w:r>
              <w:t xml:space="preserve">Release rehearsal and DR drills</w:t>
            </w:r>
          </w:p>
        </w:tc>
        <w:tc>
          <w:tcPr>
            <w:tcW w:w="1353" w:type="dxa"/>
            <w:vAlign w:val="top"/>
          </w:tcPr>
          <w:p>
            <w:pPr>
              <w:pStyle w:val="TableText"/>
              <w:jc w:val="left"/>
            </w:pPr>
            <w:r>
              <w:t xml:space="preserve">PostgreSQL with PITR; synthetic</w:t>
            </w:r>
          </w:p>
        </w:tc>
        <w:tc>
          <w:tcPr>
            <w:tcW w:w="1665" w:type="dxa"/>
            <w:vAlign w:val="top"/>
          </w:tcPr>
          <w:p>
            <w:pPr>
              <w:pStyle w:val="TableText"/>
              <w:jc w:val="left"/>
            </w:pPr>
            <w:r>
              <w:t xml:space="preserve">Off</w:t>
            </w:r>
          </w:p>
        </w:tc>
        <w:tc>
          <w:tcPr>
            <w:tcW w:w="1499" w:type="dxa"/>
            <w:vAlign w:val="top"/>
          </w:tcPr>
          <w:p>
            <w:pPr>
              <w:pStyle w:val="TableText"/>
              <w:jc w:val="left"/>
            </w:pPr>
            <w:r>
              <w:t xml:space="preserve">Partner UAT</w:t>
            </w:r>
          </w:p>
        </w:tc>
      </w:tr>
      <w:tr>
        <w:trPr>
          <w:cantSplit/>
        </w:trPr>
        <w:tc>
          <w:tcPr>
            <w:tcW w:w="1392" w:type="dxa"/>
            <w:shd w:val="clear" w:color="auto" w:fill="F4F7FB"/>
            <w:vAlign w:val="top"/>
          </w:tcPr>
          <w:p>
            <w:pPr>
              <w:pStyle w:val="TableText"/>
              <w:jc w:val="left"/>
            </w:pPr>
            <w:r>
              <w:t xml:space="preserve">Production</w:t>
            </w:r>
          </w:p>
        </w:tc>
        <w:tc>
          <w:tcPr>
            <w:tcW w:w="3118" w:type="dxa"/>
            <w:shd w:val="clear" w:color="auto" w:fill="F4F7FB"/>
            <w:vAlign w:val="top"/>
          </w:tcPr>
          <w:p>
            <w:pPr>
              <w:pStyle w:val="TableText"/>
              <w:jc w:val="left"/>
            </w:pPr>
            <w:r>
              <w:t xml:space="preserve">Live service</w:t>
            </w:r>
          </w:p>
        </w:tc>
        <w:tc>
          <w:tcPr>
            <w:tcW w:w="1353" w:type="dxa"/>
            <w:shd w:val="clear" w:color="auto" w:fill="F4F7FB"/>
            <w:vAlign w:val="top"/>
          </w:tcPr>
          <w:p>
            <w:pPr>
              <w:pStyle w:val="TableText"/>
              <w:jc w:val="left"/>
            </w:pPr>
            <w:r>
              <w:t xml:space="preserve">PostgreSQL HA with PITR; real data</w:t>
            </w:r>
          </w:p>
        </w:tc>
        <w:tc>
          <w:tcPr>
            <w:tcW w:w="1665" w:type="dxa"/>
            <w:shd w:val="clear" w:color="auto" w:fill="F4F7FB"/>
            <w:vAlign w:val="top"/>
          </w:tcPr>
          <w:p>
            <w:pPr>
              <w:pStyle w:val="TableText"/>
              <w:jc w:val="left"/>
            </w:pPr>
            <w:r>
              <w:t xml:space="preserve">Off</w:t>
            </w:r>
          </w:p>
        </w:tc>
        <w:tc>
          <w:tcPr>
            <w:tcW w:w="1499" w:type="dxa"/>
            <w:shd w:val="clear" w:color="auto" w:fill="F4F7FB"/>
            <w:vAlign w:val="top"/>
          </w:tcPr>
          <w:p>
            <w:pPr>
              <w:pStyle w:val="TableText"/>
              <w:jc w:val="left"/>
            </w:pPr>
            <w:r>
              <w:t xml:space="preserve">Production adapters</w:t>
            </w:r>
          </w:p>
        </w:tc>
      </w:tr>
    </w:tbl>
    <w:p>
      <w:pPr>
        <w:pStyle w:val="BodyText"/>
        <w:spacing w:before="160"/>
      </w:pPr>
      <w:r>
        <w:t xml:space="preserve">In production mode the process refuses to start without</w:t>
      </w:r>
      <w:r>
        <w:t xml:space="preserve"> </w:t>
      </w:r>
      <w:r>
        <w:rPr>
          <w:rStyle w:val="CodeChar"/>
        </w:rPr>
        <w:t xml:space="preserve">JWT_SECRET</w:t>
      </w:r>
      <w:r>
        <w:t xml:space="preserve">,</w:t>
      </w:r>
      <w:r>
        <w:t xml:space="preserve"> </w:t>
      </w:r>
      <w:r>
        <w:rPr>
          <w:rStyle w:val="CodeChar"/>
        </w:rPr>
        <w:t xml:space="preserve">BLIND_INDEX_KEY</w:t>
      </w:r>
      <w:r>
        <w:t xml:space="preserve">,</w:t>
      </w:r>
      <w:r>
        <w:t xml:space="preserve"> </w:t>
      </w:r>
      <w:r>
        <w:rPr>
          <w:rStyle w:val="CodeChar"/>
        </w:rPr>
        <w:t xml:space="preserve">DATA_KEYS</w:t>
      </w:r>
      <w:r>
        <w:t xml:space="preserve"> </w:t>
      </w:r>
      <w:r>
        <w:t xml:space="preserve">and</w:t>
      </w:r>
      <w:r>
        <w:t xml:space="preserve"> </w:t>
      </w:r>
      <w:r>
        <w:rPr>
          <w:rStyle w:val="CodeChar"/>
        </w:rPr>
        <w:t xml:space="preserve">DATABASE_URL</w:t>
      </w:r>
      <w:r>
        <w:t xml:space="preserve">, or with demo mode on. It also refuses local rating unless</w:t>
      </w:r>
      <w:r>
        <w:t xml:space="preserve"> </w:t>
      </w:r>
      <w:r>
        <w:rPr>
          <w:rStyle w:val="CodeChar"/>
        </w:rPr>
        <w:t xml:space="preserve">ALLOW_LOCAL_RATING</w:t>
      </w:r>
      <w:r>
        <w:t xml:space="preserve"> </w:t>
      </w:r>
      <w:r>
        <w:t xml:space="preserve">is set, and requires an</w:t>
      </w:r>
      <w:r>
        <w:t xml:space="preserve"> </w:t>
      </w:r>
      <w:r>
        <w:rPr>
          <w:rStyle w:val="CodeChar"/>
        </w:rPr>
        <w:t xml:space="preserve">https</w:t>
      </w:r>
      <w:r>
        <w:t xml:space="preserve"> </w:t>
      </w:r>
      <w:r>
        <w:t xml:space="preserve">core URL with client credentials when core rating is configured (TC-159, TC-176). The production configuration ships with</w:t>
      </w:r>
      <w:r>
        <w:t xml:space="preserve"> </w:t>
      </w:r>
      <w:r>
        <w:rPr>
          <w:rStyle w:val="CodeChar"/>
        </w:rPr>
        <w:t xml:space="preserve">RATING_SOURCE=core</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Test data management</w:t>
      </w:r>
      <w:bookmarkEnd w:id="30"/>
    </w:p>
    <w:p>
      <w:pPr>
        <w:pStyle w:val="FirstParagraph"/>
      </w:pPr>
      <w:r>
        <w:t xml:space="preserve">Synthetic data comes first. The generator reproduces the real data problems: about 1 in 10 records with a verified policy, dirty plates and phones, duplicates across sources and partner-owned policies. It is deterministic for a given seed and sized with</w:t>
      </w:r>
      <w:r>
        <w:t xml:space="preserve"> </w:t>
      </w:r>
      <w:r>
        <w:rPr>
          <w:rStyle w:val="CodeChar"/>
        </w:rPr>
        <w:t xml:space="preserve">SEED_RECORDS</w:t>
      </w:r>
      <w:r>
        <w:t xml:space="preserve"> </w:t>
      </w:r>
      <w:r>
        <w:t xml:space="preserve">(2,500 by default, 6 million in batches for volume tests).</w:t>
      </w:r>
    </w:p>
    <w:p>
      <w:pPr>
        <w:pStyle w:val="BodyText"/>
      </w:pPr>
      <w:r>
        <w:t xml:space="preserve">No production personal data is used outside production. SIT and UAT use synthetic profiles and partner test identities (test wallets, test SIMs, test Zalo accounts). Extracts used for data profiling in discovery are masked.</w:t>
      </w:r>
    </w:p>
    <w:p>
      <w:pPr>
        <w:pStyle w:val="BodyText"/>
      </w:pPr>
      <w:r>
        <w:rPr>
          <w:rStyle w:val="CodeChar"/>
        </w:rPr>
        <w:t xml:space="preserve">SIM_TODAY</w:t>
      </w:r>
      <w:r>
        <w:t xml:space="preserve"> </w:t>
      </w:r>
      <w:r>
        <w:t xml:space="preserve">pins the business date so journey offsets and the 24-hour quote validity are reproducible. Simulated times on journey and voice campaign runs are honoured only in demo mode.</w:t>
      </w:r>
    </w:p>
    <w:p>
      <w:pPr>
        <w:pStyle w:val="BodyText"/>
      </w:pPr>
      <w:r>
        <w:t xml:space="preserve">The demo users (14 staff users covering 13 roles, with MFA for administrator, approver, compliance and data steward) exist only where demo mode is on, and the seed job refuses to run otherwise. Locally the demo password is</w:t>
      </w:r>
      <w:r>
        <w:t xml:space="preserve"> </w:t>
      </w:r>
      <w:r>
        <w:rPr>
          <w:rStyle w:val="CodeChar"/>
        </w:rPr>
        <w:t xml:space="preserve">Tasco@Demo2026!</w:t>
      </w:r>
      <w:r>
        <w:t xml:space="preserve">. The hosted UAT uses a separate password, issued in the UAT access workbook and never written in documents; it also publishes authenticator keys for the MFA demo users and resets the demo accounts at start-up.</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Entry and exit criteria</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13"/>
        <w:gridCol w:w="3681"/>
        <w:gridCol w:w="3633"/>
      </w:tblGrid>
      <w:tr>
        <w:trPr>
          <w:cantSplit/>
          <w:tblHeader/>
        </w:trPr>
        <w:tc>
          <w:tcPr>
            <w:tcW w:w="1713" w:type="dxa"/>
            <w:shd w:val="clear" w:color="auto" w:fill="0F4761"/>
            <w:vAlign w:val="center"/>
          </w:tcPr>
          <w:p>
            <w:pPr>
              <w:pStyle w:val="TableHeading"/>
              <w:jc w:val="left"/>
            </w:pPr>
            <w:r>
              <w:rPr>
                <w:color w:val="FFFFFF"/>
              </w:rPr>
              <w:t xml:space="preserve">Level</w:t>
            </w:r>
          </w:p>
        </w:tc>
        <w:tc>
          <w:tcPr>
            <w:tcW w:w="3681" w:type="dxa"/>
            <w:shd w:val="clear" w:color="auto" w:fill="0F4761"/>
            <w:vAlign w:val="center"/>
          </w:tcPr>
          <w:p>
            <w:pPr>
              <w:pStyle w:val="TableHeading"/>
              <w:jc w:val="left"/>
            </w:pPr>
            <w:r>
              <w:rPr>
                <w:color w:val="FFFFFF"/>
              </w:rPr>
              <w:t xml:space="preserve">Entry</w:t>
            </w:r>
          </w:p>
        </w:tc>
        <w:tc>
          <w:tcPr>
            <w:tcW w:w="3633" w:type="dxa"/>
            <w:shd w:val="clear" w:color="auto" w:fill="0F4761"/>
            <w:vAlign w:val="center"/>
          </w:tcPr>
          <w:p>
            <w:pPr>
              <w:pStyle w:val="TableHeading"/>
              <w:jc w:val="left"/>
            </w:pPr>
            <w:r>
              <w:rPr>
                <w:color w:val="FFFFFF"/>
              </w:rPr>
              <w:t xml:space="preserve">Exit</w:t>
            </w:r>
          </w:p>
        </w:tc>
      </w:tr>
      <w:tr>
        <w:trPr>
          <w:cantSplit/>
        </w:trPr>
        <w:tc>
          <w:tcPr>
            <w:tcW w:w="1713" w:type="dxa"/>
            <w:vAlign w:val="top"/>
          </w:tcPr>
          <w:p>
            <w:pPr>
              <w:pStyle w:val="TableText"/>
              <w:jc w:val="left"/>
            </w:pPr>
            <w:r>
              <w:t xml:space="preserve">Unit, integration, API</w:t>
            </w:r>
          </w:p>
        </w:tc>
        <w:tc>
          <w:tcPr>
            <w:tcW w:w="3681" w:type="dxa"/>
            <w:vAlign w:val="top"/>
          </w:tcPr>
          <w:p>
            <w:pPr>
              <w:pStyle w:val="TableText"/>
              <w:jc w:val="left"/>
            </w:pPr>
            <w:r>
              <w:t xml:space="preserve">Story in progress with acceptance criteria</w:t>
            </w:r>
          </w:p>
        </w:tc>
        <w:tc>
          <w:tcPr>
            <w:tcW w:w="3633" w:type="dxa"/>
            <w:vAlign w:val="top"/>
          </w:tcPr>
          <w:p>
            <w:pPr>
              <w:pStyle w:val="TableText"/>
              <w:jc w:val="left"/>
            </w:pPr>
            <w:r>
              <w:t xml:space="preserve">All pass; coverage gate met; no lint errors</w:t>
            </w:r>
          </w:p>
        </w:tc>
      </w:tr>
      <w:tr>
        <w:trPr>
          <w:cantSplit/>
        </w:trPr>
        <w:tc>
          <w:tcPr>
            <w:tcW w:w="1713" w:type="dxa"/>
            <w:shd w:val="clear" w:color="auto" w:fill="F4F7FB"/>
            <w:vAlign w:val="top"/>
          </w:tcPr>
          <w:p>
            <w:pPr>
              <w:pStyle w:val="TableText"/>
              <w:jc w:val="left"/>
            </w:pPr>
            <w:r>
              <w:t xml:space="preserve">SIT</w:t>
            </w:r>
          </w:p>
        </w:tc>
        <w:tc>
          <w:tcPr>
            <w:tcW w:w="3681" w:type="dxa"/>
            <w:shd w:val="clear" w:color="auto" w:fill="F4F7FB"/>
            <w:vAlign w:val="top"/>
          </w:tcPr>
          <w:p>
            <w:pPr>
              <w:pStyle w:val="TableText"/>
              <w:jc w:val="left"/>
            </w:pPr>
            <w:r>
              <w:t xml:space="preserve">Build complete (G2, 08/01/2027); production adapters in SIT; partner endpoints and credentials available; interface agreements signed</w:t>
            </w:r>
          </w:p>
        </w:tc>
        <w:tc>
          <w:tcPr>
            <w:tcW w:w="3633" w:type="dxa"/>
            <w:shd w:val="clear" w:color="auto" w:fill="F4F7FB"/>
            <w:vAlign w:val="top"/>
          </w:tcPr>
          <w:p>
            <w:pPr>
              <w:pStyle w:val="TableText"/>
              <w:jc w:val="left"/>
            </w:pPr>
            <w:r>
              <w:t xml:space="preserve">All P1 and at least 95 % of P2 SIT cases passed; no open Sev 1 or 2 interface defects; reconciliation proven end to end</w:t>
            </w:r>
          </w:p>
        </w:tc>
      </w:tr>
      <w:tr>
        <w:trPr>
          <w:cantSplit/>
        </w:trPr>
        <w:tc>
          <w:tcPr>
            <w:tcW w:w="1713" w:type="dxa"/>
            <w:vAlign w:val="top"/>
          </w:tcPr>
          <w:p>
            <w:pPr>
              <w:pStyle w:val="TableText"/>
              <w:jc w:val="left"/>
            </w:pPr>
            <w:r>
              <w:t xml:space="preserve">UAT</w:t>
            </w:r>
          </w:p>
        </w:tc>
        <w:tc>
          <w:tcPr>
            <w:tcW w:w="3681" w:type="dxa"/>
            <w:vAlign w:val="top"/>
          </w:tcPr>
          <w:p>
            <w:pPr>
              <w:pStyle w:val="TableText"/>
              <w:jc w:val="left"/>
            </w:pPr>
            <w:r>
              <w:t xml:space="preserve">SIT exit met; environment loaded; users trained</w:t>
            </w:r>
          </w:p>
        </w:tc>
        <w:tc>
          <w:tcPr>
            <w:tcW w:w="3633" w:type="dxa"/>
            <w:vAlign w:val="top"/>
          </w:tcPr>
          <w:p>
            <w:pPr>
              <w:pStyle w:val="TableText"/>
              <w:jc w:val="left"/>
            </w:pPr>
            <w:r>
              <w:t xml:space="preserve">TGP-QA-04 exit criteria and signed sign-off sheet</w:t>
            </w:r>
          </w:p>
        </w:tc>
      </w:tr>
      <w:tr>
        <w:trPr>
          <w:cantSplit/>
        </w:trPr>
        <w:tc>
          <w:tcPr>
            <w:tcW w:w="1713" w:type="dxa"/>
            <w:shd w:val="clear" w:color="auto" w:fill="F4F7FB"/>
            <w:vAlign w:val="top"/>
          </w:tcPr>
          <w:p>
            <w:pPr>
              <w:pStyle w:val="TableText"/>
              <w:jc w:val="left"/>
            </w:pPr>
            <w:r>
              <w:t xml:space="preserve">NFT</w:t>
            </w:r>
          </w:p>
        </w:tc>
        <w:tc>
          <w:tcPr>
            <w:tcW w:w="3681" w:type="dxa"/>
            <w:shd w:val="clear" w:color="auto" w:fill="F4F7FB"/>
            <w:vAlign w:val="top"/>
          </w:tcPr>
          <w:p>
            <w:pPr>
              <w:pStyle w:val="TableText"/>
              <w:jc w:val="left"/>
            </w:pPr>
            <w:r>
              <w:t xml:space="preserve">Feature-complete build in PERF; monitoring in place</w:t>
            </w:r>
          </w:p>
        </w:tc>
        <w:tc>
          <w:tcPr>
            <w:tcW w:w="3633" w:type="dxa"/>
            <w:shd w:val="clear" w:color="auto" w:fill="F4F7FB"/>
            <w:vAlign w:val="top"/>
          </w:tcPr>
          <w:p>
            <w:pPr>
              <w:pStyle w:val="TableText"/>
              <w:jc w:val="left"/>
            </w:pPr>
            <w:r>
              <w:t xml:space="preserve">Targets in TGP-QA-03 met; soak shows no leak; DR drill within targets</w:t>
            </w:r>
          </w:p>
        </w:tc>
      </w:tr>
      <w:tr>
        <w:trPr>
          <w:cantSplit/>
        </w:trPr>
        <w:tc>
          <w:tcPr>
            <w:tcW w:w="1713" w:type="dxa"/>
            <w:vAlign w:val="top"/>
          </w:tcPr>
          <w:p>
            <w:pPr>
              <w:pStyle w:val="TableText"/>
              <w:jc w:val="left"/>
            </w:pPr>
            <w:r>
              <w:t xml:space="preserve">Security</w:t>
            </w:r>
          </w:p>
        </w:tc>
        <w:tc>
          <w:tcPr>
            <w:tcW w:w="3681" w:type="dxa"/>
            <w:vAlign w:val="top"/>
          </w:tcPr>
          <w:p>
            <w:pPr>
              <w:pStyle w:val="TableText"/>
              <w:jc w:val="left"/>
            </w:pPr>
            <w:r>
              <w:t xml:space="preserve">Feature-complete build</w:t>
            </w:r>
          </w:p>
        </w:tc>
        <w:tc>
          <w:tcPr>
            <w:tcW w:w="3633" w:type="dxa"/>
            <w:vAlign w:val="top"/>
          </w:tcPr>
          <w:p>
            <w:pPr>
              <w:pStyle w:val="TableText"/>
              <w:jc w:val="left"/>
            </w:pPr>
            <w:r>
              <w:t xml:space="preserve">No open critical or high findings; mediums with a dated plan</w:t>
            </w:r>
          </w:p>
        </w:tc>
      </w:tr>
      <w:tr>
        <w:trPr>
          <w:cantSplit/>
        </w:trPr>
        <w:tc>
          <w:tcPr>
            <w:tcW w:w="1713" w:type="dxa"/>
            <w:shd w:val="clear" w:color="auto" w:fill="F4F7FB"/>
            <w:vAlign w:val="top"/>
          </w:tcPr>
          <w:p>
            <w:pPr>
              <w:pStyle w:val="TableText"/>
              <w:jc w:val="left"/>
            </w:pPr>
            <w:r>
              <w:t xml:space="preserve">Go-live (G3)</w:t>
            </w:r>
          </w:p>
        </w:tc>
        <w:tc>
          <w:tcPr>
            <w:tcW w:w="3681" w:type="dxa"/>
            <w:shd w:val="clear" w:color="auto" w:fill="F4F7FB"/>
            <w:vAlign w:val="top"/>
          </w:tcPr>
          <w:p>
            <w:pPr>
              <w:pStyle w:val="TableText"/>
              <w:jc w:val="left"/>
            </w:pPr>
            <w:r>
              <w:t xml:space="preserve">All of the above</w:t>
            </w:r>
          </w:p>
        </w:tc>
        <w:tc>
          <w:tcPr>
            <w:tcW w:w="3633" w:type="dxa"/>
            <w:shd w:val="clear" w:color="auto" w:fill="F4F7FB"/>
            <w:vAlign w:val="top"/>
          </w:tcPr>
          <w:p>
            <w:pPr>
              <w:pStyle w:val="TableText"/>
              <w:jc w:val="left"/>
            </w:pPr>
            <w:r>
              <w:t xml:space="preserve">TGP-OPS-04 Production Readiness Checklist complete or waived by the Steering Committee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Defect management</w:t>
      </w:r>
      <w:bookmarkEnd w:id="32"/>
    </w:p>
    <w:p>
      <w:pPr>
        <w:pStyle w:val="Heading2"/>
      </w:pPr>
      <w:bookmarkStart w:id="33" w:name="_Toc300000029"/>
      <w:r>
        <w:t xml:space="preserve">Severity</w:t>
      </w:r>
      <w:bookmarkEnd w:id="3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6"/>
        <w:gridCol w:w="2631"/>
        <w:gridCol w:w="3122"/>
        <w:gridCol w:w="1968"/>
      </w:tblGrid>
      <w:tr>
        <w:trPr>
          <w:cantSplit/>
          <w:tblHeader/>
        </w:trPr>
        <w:tc>
          <w:tcPr>
            <w:tcW w:w="1306" w:type="dxa"/>
            <w:shd w:val="clear" w:color="auto" w:fill="0F4761"/>
            <w:vAlign w:val="center"/>
          </w:tcPr>
          <w:p>
            <w:pPr>
              <w:pStyle w:val="TableHeading"/>
              <w:jc w:val="left"/>
            </w:pPr>
            <w:r>
              <w:rPr>
                <w:color w:val="FFFFFF"/>
              </w:rPr>
              <w:t xml:space="preserve">Severity</w:t>
            </w:r>
          </w:p>
        </w:tc>
        <w:tc>
          <w:tcPr>
            <w:tcW w:w="2631" w:type="dxa"/>
            <w:shd w:val="clear" w:color="auto" w:fill="0F4761"/>
            <w:vAlign w:val="center"/>
          </w:tcPr>
          <w:p>
            <w:pPr>
              <w:pStyle w:val="TableHeading"/>
              <w:jc w:val="left"/>
            </w:pPr>
            <w:r>
              <w:rPr>
                <w:color w:val="FFFFFF"/>
              </w:rPr>
              <w:t xml:space="preserve">Definition</w:t>
            </w:r>
          </w:p>
        </w:tc>
        <w:tc>
          <w:tcPr>
            <w:tcW w:w="3122" w:type="dxa"/>
            <w:shd w:val="clear" w:color="auto" w:fill="0F4761"/>
            <w:vAlign w:val="center"/>
          </w:tcPr>
          <w:p>
            <w:pPr>
              <w:pStyle w:val="TableHeading"/>
              <w:jc w:val="left"/>
            </w:pPr>
            <w:r>
              <w:rPr>
                <w:color w:val="FFFFFF"/>
              </w:rPr>
              <w:t xml:space="preserve">Examples</w:t>
            </w:r>
          </w:p>
        </w:tc>
        <w:tc>
          <w:tcPr>
            <w:tcW w:w="1968" w:type="dxa"/>
            <w:shd w:val="clear" w:color="auto" w:fill="0F4761"/>
            <w:vAlign w:val="center"/>
          </w:tcPr>
          <w:p>
            <w:pPr>
              <w:pStyle w:val="TableHeading"/>
              <w:jc w:val="left"/>
            </w:pPr>
            <w:r>
              <w:rPr>
                <w:color w:val="FFFFFF"/>
              </w:rPr>
              <w:t xml:space="preserve">Fix expectation in test phases</w:t>
            </w:r>
          </w:p>
        </w:tc>
      </w:tr>
      <w:tr>
        <w:trPr>
          <w:cantSplit/>
        </w:trPr>
        <w:tc>
          <w:tcPr>
            <w:tcW w:w="1306" w:type="dxa"/>
            <w:vAlign w:val="top"/>
          </w:tcPr>
          <w:p>
            <w:pPr>
              <w:pStyle w:val="TableText"/>
              <w:jc w:val="left"/>
            </w:pPr>
            <w:r>
              <w:t xml:space="preserve">Sev 1, critical</w:t>
            </w:r>
          </w:p>
        </w:tc>
        <w:tc>
          <w:tcPr>
            <w:tcW w:w="2631" w:type="dxa"/>
            <w:vAlign w:val="top"/>
          </w:tcPr>
          <w:p>
            <w:pPr>
              <w:pStyle w:val="TableText"/>
              <w:jc w:val="left"/>
            </w:pPr>
            <w:r>
              <w:t xml:space="preserve">Data loss, security or regulatory breach, money taken without cover, or a core flow down with no workaround</w:t>
            </w:r>
          </w:p>
        </w:tc>
        <w:tc>
          <w:tcPr>
            <w:tcW w:w="3122" w:type="dxa"/>
            <w:vAlign w:val="top"/>
          </w:tcPr>
          <w:p>
            <w:pPr>
              <w:pStyle w:val="TableText"/>
              <w:jc w:val="left"/>
            </w:pPr>
            <w:r>
              <w:t xml:space="preserve">Customer charged with no policy or refund; personal data exposed; banned wording sent; DNC customer contacted; indicative price paid; audit chain broken</w:t>
            </w:r>
          </w:p>
        </w:tc>
        <w:tc>
          <w:tcPr>
            <w:tcW w:w="1968" w:type="dxa"/>
            <w:vAlign w:val="top"/>
          </w:tcPr>
          <w:p>
            <w:pPr>
              <w:pStyle w:val="TableText"/>
              <w:jc w:val="left"/>
            </w:pPr>
            <w:r>
              <w:t xml:space="preserve">Before the next build; blocks the gate</w:t>
            </w:r>
          </w:p>
        </w:tc>
      </w:tr>
      <w:tr>
        <w:trPr>
          <w:cantSplit/>
        </w:trPr>
        <w:tc>
          <w:tcPr>
            <w:tcW w:w="1306" w:type="dxa"/>
            <w:shd w:val="clear" w:color="auto" w:fill="F4F7FB"/>
            <w:vAlign w:val="top"/>
          </w:tcPr>
          <w:p>
            <w:pPr>
              <w:pStyle w:val="TableText"/>
              <w:jc w:val="left"/>
            </w:pPr>
            <w:r>
              <w:t xml:space="preserve">Sev 2, high</w:t>
            </w:r>
          </w:p>
        </w:tc>
        <w:tc>
          <w:tcPr>
            <w:tcW w:w="2631" w:type="dxa"/>
            <w:shd w:val="clear" w:color="auto" w:fill="F4F7FB"/>
            <w:vAlign w:val="top"/>
          </w:tcPr>
          <w:p>
            <w:pPr>
              <w:pStyle w:val="TableText"/>
              <w:jc w:val="left"/>
            </w:pPr>
            <w:r>
              <w:t xml:space="preserve">Major function broken with a costly workaround; compliance risk</w:t>
            </w:r>
          </w:p>
        </w:tc>
        <w:tc>
          <w:tcPr>
            <w:tcW w:w="3122" w:type="dxa"/>
            <w:shd w:val="clear" w:color="auto" w:fill="F4F7FB"/>
            <w:vAlign w:val="top"/>
          </w:tcPr>
          <w:p>
            <w:pPr>
              <w:pStyle w:val="TableText"/>
              <w:jc w:val="left"/>
            </w:pPr>
            <w:r>
              <w:t xml:space="preserve">A cohort skipped by journeys; wrong partner commission; opt-out not saved; lockout not enforced</w:t>
            </w:r>
          </w:p>
        </w:tc>
        <w:tc>
          <w:tcPr>
            <w:tcW w:w="1968" w:type="dxa"/>
            <w:shd w:val="clear" w:color="auto" w:fill="F4F7FB"/>
            <w:vAlign w:val="top"/>
          </w:tcPr>
          <w:p>
            <w:pPr>
              <w:pStyle w:val="TableText"/>
              <w:jc w:val="left"/>
            </w:pPr>
            <w:r>
              <w:t xml:space="preserve">Before gate exit</w:t>
            </w:r>
          </w:p>
        </w:tc>
      </w:tr>
      <w:tr>
        <w:trPr>
          <w:cantSplit/>
        </w:trPr>
        <w:tc>
          <w:tcPr>
            <w:tcW w:w="1306" w:type="dxa"/>
            <w:vAlign w:val="top"/>
          </w:tcPr>
          <w:p>
            <w:pPr>
              <w:pStyle w:val="TableText"/>
              <w:jc w:val="left"/>
            </w:pPr>
            <w:r>
              <w:t xml:space="preserve">Sev 3, medium</w:t>
            </w:r>
          </w:p>
        </w:tc>
        <w:tc>
          <w:tcPr>
            <w:tcW w:w="2631" w:type="dxa"/>
            <w:vAlign w:val="top"/>
          </w:tcPr>
          <w:p>
            <w:pPr>
              <w:pStyle w:val="TableText"/>
              <w:jc w:val="left"/>
            </w:pPr>
            <w:r>
              <w:t xml:space="preserve">Function impaired with a reasonable workaround</w:t>
            </w:r>
          </w:p>
        </w:tc>
        <w:tc>
          <w:tcPr>
            <w:tcW w:w="3122" w:type="dxa"/>
            <w:vAlign w:val="top"/>
          </w:tcPr>
          <w:p>
            <w:pPr>
              <w:pStyle w:val="TableText"/>
              <w:jc w:val="left"/>
            </w:pPr>
            <w:r>
              <w:t xml:space="preserve">Wrong lead filter; dashboard count off; 500 instead of 400</w:t>
            </w:r>
          </w:p>
        </w:tc>
        <w:tc>
          <w:tcPr>
            <w:tcW w:w="1968" w:type="dxa"/>
            <w:vAlign w:val="top"/>
          </w:tcPr>
          <w:p>
            <w:pPr>
              <w:pStyle w:val="TableText"/>
              <w:jc w:val="left"/>
            </w:pPr>
            <w:r>
              <w:t xml:space="preserve">Fixed or planned before go-live; can be waived</w:t>
            </w:r>
          </w:p>
        </w:tc>
      </w:tr>
      <w:tr>
        <w:trPr>
          <w:cantSplit/>
        </w:trPr>
        <w:tc>
          <w:tcPr>
            <w:tcW w:w="1306" w:type="dxa"/>
            <w:shd w:val="clear" w:color="auto" w:fill="F4F7FB"/>
            <w:vAlign w:val="top"/>
          </w:tcPr>
          <w:p>
            <w:pPr>
              <w:pStyle w:val="TableText"/>
              <w:jc w:val="left"/>
            </w:pPr>
            <w:r>
              <w:t xml:space="preserve">Sev 4, low</w:t>
            </w:r>
          </w:p>
        </w:tc>
        <w:tc>
          <w:tcPr>
            <w:tcW w:w="2631" w:type="dxa"/>
            <w:shd w:val="clear" w:color="auto" w:fill="F4F7FB"/>
            <w:vAlign w:val="top"/>
          </w:tcPr>
          <w:p>
            <w:pPr>
              <w:pStyle w:val="TableText"/>
              <w:jc w:val="left"/>
            </w:pPr>
            <w:r>
              <w:t xml:space="preserve">Cosmetic or minor</w:t>
            </w:r>
          </w:p>
        </w:tc>
        <w:tc>
          <w:tcPr>
            <w:tcW w:w="3122" w:type="dxa"/>
            <w:shd w:val="clear" w:color="auto" w:fill="F4F7FB"/>
            <w:vAlign w:val="top"/>
          </w:tcPr>
          <w:p>
            <w:pPr>
              <w:pStyle w:val="TableText"/>
              <w:jc w:val="left"/>
            </w:pPr>
            <w:r>
              <w:t xml:space="preserve">Label typo</w:t>
            </w:r>
          </w:p>
        </w:tc>
        <w:tc>
          <w:tcPr>
            <w:tcW w:w="1968" w:type="dxa"/>
            <w:shd w:val="clear" w:color="auto" w:fill="F4F7FB"/>
            <w:vAlign w:val="top"/>
          </w:tcPr>
          <w:p>
            <w:pPr>
              <w:pStyle w:val="TableText"/>
              <w:jc w:val="left"/>
            </w:pPr>
            <w:r>
              <w:t xml:space="preserve">Backlog</w:t>
            </w:r>
          </w:p>
        </w:tc>
      </w:tr>
    </w:tbl>
    <w:p>
      <w:pPr>
        <w:pStyle w:val="BodyText"/>
        <w:spacing w:before="160"/>
      </w:pPr>
      <w:r>
        <w:t xml:space="preserve">The Product Owner sets business priority (P1 to P4) separately.</w:t>
      </w:r>
    </w:p>
    <w:p>
      <w:pPr>
        <w:pStyle w:val="Heading2"/>
      </w:pPr>
      <w:bookmarkStart w:id="34" w:name="_Toc300000030"/>
      <w:r>
        <w:t xml:space="preserve">Workflow</w:t>
      </w:r>
      <w:bookmarkEnd w:id="34"/>
    </w:p>
    <w:p>
      <w:pPr>
        <w:pStyle w:val="FirstParagraph"/>
      </w:pPr>
      <w:r>
        <w:t xml:space="preserve">Defects move through daily triage by the QA Lead, Product Owner and Tech Lead; a defect is closed only after a passing retest and, for Sev 1 and 2, an automated regression test.</w:t>
      </w:r>
    </w:p>
    <w:p xmlns:a="http://schemas.openxmlformats.org/drawingml/2006/main" xmlns:pic="http://schemas.openxmlformats.org/drawingml/2006/picture">
      <w:pPr>
        <w:pStyle w:val="Figure"/>
      </w:pPr>
      <w:r>
        <w:drawing>
          <wp:inline>
            <wp:extent cx="4640399" cy="6191999"/>
            <wp:effectExtent b="0" l="0" r="0" t="0"/>
            <wp:docPr descr="Defect workflow, from triage to closure after a passing retest" title="" id="5004" name="Picture"/>
            <a:graphic>
              <a:graphicData uri="http://schemas.openxmlformats.org/drawingml/2006/picture">
                <pic:pic>
                  <pic:nvPicPr>
                    <pic:cNvPr descr="/tmp/claude-0/-home-user-TASCO/19e5534d-12b5-5956-9b60-3e77efde0f49/scratchpad/gen/.cache/mermaid/d250df85084d0271.png" id="55" name="Picture"/>
                    <pic:cNvPicPr>
                      <a:picLocks noChangeArrowheads="1" noChangeAspect="1"/>
                    </pic:cNvPicPr>
                  </pic:nvPicPr>
                  <pic:blipFill>
                    <a:blip r:embed="rIdG4"/>
                    <a:stretch>
                      <a:fillRect/>
                    </a:stretch>
                  </pic:blipFill>
                  <pic:spPr bwMode="auto">
                    <a:xfrm>
                      <a:off x="0" y="0"/>
                      <a:ext cx="4640399" cy="6191999"/>
                    </a:xfrm>
                    <a:prstGeom prst="rect">
                      <a:avLst/>
                    </a:prstGeom>
                    <a:noFill/>
                    <a:ln w="9525">
                      <a:noFill/>
                      <a:headEnd/>
                      <a:tailEnd/>
                    </a:ln>
                  </pic:spPr>
                </pic:pic>
              </a:graphicData>
            </a:graphic>
          </wp:inline>
        </w:drawing>
      </w:r>
    </w:p>
    <w:p>
      <w:pPr>
        <w:pStyle w:val="Caption"/>
      </w:pPr>
      <w:r>
        <w:t xml:space="preserve">Figure 3 – Defect workflow, from triage to closure after a passing retest</w:t>
      </w:r>
    </w:p>
    <w:p>
      <w:pPr>
        <w:pStyle w:val="BodyText"/>
      </w:pPr>
      <w:r>
        <w:t xml:space="preserve">Sev 3 and 4 deferrals are approved by the Product Owner; Sev 1 and 2 deferrals by the Steering Committee. Each defect records the environment, build,</w:t>
      </w:r>
      <w:r>
        <w:t xml:space="preserve"> </w:t>
      </w:r>
      <w:r>
        <w:rPr>
          <w:rStyle w:val="CodeChar"/>
        </w:rPr>
        <w:t xml:space="preserve">X-Request-Id</w:t>
      </w:r>
      <w:r>
        <w:t xml:space="preserve"> </w:t>
      </w:r>
      <w:r>
        <w:t xml:space="preserve">(returned in every response and error body), route, persona, steps, expected and actual results, severity and priority. Data defects carry the profile ID, never personal data.</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5" w:name="_Toc300000031"/>
      <w:r>
        <w:rPr>
          <w:rStyle w:val="BookTitle"/>
          <w:bCs w:val="0"/>
          <w:i w:val="0"/>
          <w:iCs w:val="0"/>
          <w:spacing w:val="0"/>
        </w:rPr>
        <w:t xml:space="preserve">Metrics</w:t>
      </w:r>
      <w:bookmarkEnd w:id="3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198"/>
        <w:gridCol w:w="3829"/>
      </w:tblGrid>
      <w:tr>
        <w:trPr>
          <w:cantSplit/>
          <w:tblHeader/>
        </w:trPr>
        <w:tc>
          <w:tcPr>
            <w:tcW w:w="5198" w:type="dxa"/>
            <w:shd w:val="clear" w:color="auto" w:fill="0F4761"/>
            <w:vAlign w:val="center"/>
          </w:tcPr>
          <w:p>
            <w:pPr>
              <w:pStyle w:val="TableHeading"/>
              <w:jc w:val="left"/>
            </w:pPr>
            <w:r>
              <w:rPr>
                <w:color w:val="FFFFFF"/>
              </w:rPr>
              <w:t xml:space="preserve">Metric</w:t>
            </w:r>
          </w:p>
        </w:tc>
        <w:tc>
          <w:tcPr>
            <w:tcW w:w="3829" w:type="dxa"/>
            <w:shd w:val="clear" w:color="auto" w:fill="0F4761"/>
            <w:vAlign w:val="center"/>
          </w:tcPr>
          <w:p>
            <w:pPr>
              <w:pStyle w:val="TableHeading"/>
              <w:jc w:val="left"/>
            </w:pPr>
            <w:r>
              <w:rPr>
                <w:color w:val="FFFFFF"/>
              </w:rPr>
              <w:t xml:space="preserve">Target</w:t>
            </w:r>
          </w:p>
        </w:tc>
      </w:tr>
      <w:tr>
        <w:trPr>
          <w:cantSplit/>
        </w:trPr>
        <w:tc>
          <w:tcPr>
            <w:tcW w:w="5198" w:type="dxa"/>
            <w:vAlign w:val="top"/>
          </w:tcPr>
          <w:p>
            <w:pPr>
              <w:pStyle w:val="TableText"/>
              <w:jc w:val="left"/>
            </w:pPr>
            <w:r>
              <w:t xml:space="preserve">Automated pass rate on</w:t>
            </w:r>
            <w:r>
              <w:t xml:space="preserve"> </w:t>
            </w:r>
            <w:r>
              <w:rPr>
                <w:rStyle w:val="CodeChar"/>
              </w:rPr>
              <w:t xml:space="preserve">main</w:t>
            </w:r>
          </w:p>
        </w:tc>
        <w:tc>
          <w:tcPr>
            <w:tcW w:w="3829" w:type="dxa"/>
            <w:vAlign w:val="top"/>
          </w:tcPr>
          <w:p>
            <w:pPr>
              <w:pStyle w:val="TableText"/>
              <w:jc w:val="left"/>
            </w:pPr>
            <w:r>
              <w:t xml:space="preserve">100 % (flaky tests quarantined within 24 hours)</w:t>
            </w:r>
          </w:p>
        </w:tc>
      </w:tr>
      <w:tr>
        <w:trPr>
          <w:cantSplit/>
        </w:trPr>
        <w:tc>
          <w:tcPr>
            <w:tcW w:w="5198" w:type="dxa"/>
            <w:shd w:val="clear" w:color="auto" w:fill="F4F7FB"/>
            <w:vAlign w:val="top"/>
          </w:tcPr>
          <w:p>
            <w:pPr>
              <w:pStyle w:val="TableText"/>
              <w:jc w:val="left"/>
            </w:pPr>
            <w:r>
              <w:t xml:space="preserve">Coverage (lines, functions, branches)</w:t>
            </w:r>
          </w:p>
        </w:tc>
        <w:tc>
          <w:tcPr>
            <w:tcW w:w="3829" w:type="dxa"/>
            <w:shd w:val="clear" w:color="auto" w:fill="F4F7FB"/>
            <w:vAlign w:val="top"/>
          </w:tcPr>
          <w:p>
            <w:pPr>
              <w:pStyle w:val="TableText"/>
              <w:jc w:val="left"/>
            </w:pPr>
            <w:r>
              <w:t xml:space="preserve">At least 80, 80 and 70 %</w:t>
            </w:r>
          </w:p>
        </w:tc>
      </w:tr>
      <w:tr>
        <w:trPr>
          <w:cantSplit/>
        </w:trPr>
        <w:tc>
          <w:tcPr>
            <w:tcW w:w="5198" w:type="dxa"/>
            <w:vAlign w:val="top"/>
          </w:tcPr>
          <w:p>
            <w:pPr>
              <w:pStyle w:val="TableText"/>
              <w:jc w:val="left"/>
            </w:pPr>
            <w:r>
              <w:t xml:space="preserve">Requirements traced to tests</w:t>
            </w:r>
          </w:p>
        </w:tc>
        <w:tc>
          <w:tcPr>
            <w:tcW w:w="3829" w:type="dxa"/>
            <w:vAlign w:val="top"/>
          </w:tcPr>
          <w:p>
            <w:pPr>
              <w:pStyle w:val="TableText"/>
              <w:jc w:val="left"/>
            </w:pPr>
            <w:r>
              <w:t xml:space="preserve">100 % of MVP stories have at least one test</w:t>
            </w:r>
          </w:p>
        </w:tc>
      </w:tr>
      <w:tr>
        <w:trPr>
          <w:cantSplit/>
        </w:trPr>
        <w:tc>
          <w:tcPr>
            <w:tcW w:w="5198" w:type="dxa"/>
            <w:shd w:val="clear" w:color="auto" w:fill="F4F7FB"/>
            <w:vAlign w:val="top"/>
          </w:tcPr>
          <w:p>
            <w:pPr>
              <w:pStyle w:val="TableText"/>
              <w:jc w:val="left"/>
            </w:pPr>
            <w:r>
              <w:t xml:space="preserve">Defects found before production (30 days after go-live)</w:t>
            </w:r>
          </w:p>
        </w:tc>
        <w:tc>
          <w:tcPr>
            <w:tcW w:w="3829" w:type="dxa"/>
            <w:shd w:val="clear" w:color="auto" w:fill="F4F7FB"/>
            <w:vAlign w:val="top"/>
          </w:tcPr>
          <w:p>
            <w:pPr>
              <w:pStyle w:val="TableText"/>
              <w:jc w:val="left"/>
            </w:pPr>
            <w:r>
              <w:t xml:space="preserve">At least 90 %</w:t>
            </w:r>
          </w:p>
        </w:tc>
      </w:tr>
      <w:tr>
        <w:trPr>
          <w:cantSplit/>
        </w:trPr>
        <w:tc>
          <w:tcPr>
            <w:tcW w:w="5198" w:type="dxa"/>
            <w:vAlign w:val="top"/>
          </w:tcPr>
          <w:p>
            <w:pPr>
              <w:pStyle w:val="TableText"/>
              <w:jc w:val="left"/>
            </w:pPr>
            <w:r>
              <w:t xml:space="preserve">Open Sev 1 or 2 at a gate</w:t>
            </w:r>
          </w:p>
        </w:tc>
        <w:tc>
          <w:tcPr>
            <w:tcW w:w="3829" w:type="dxa"/>
            <w:vAlign w:val="top"/>
          </w:tcPr>
          <w:p>
            <w:pPr>
              <w:pStyle w:val="TableText"/>
              <w:jc w:val="left"/>
            </w:pPr>
            <w:r>
              <w:t xml:space="preserve">0</w:t>
            </w:r>
          </w:p>
        </w:tc>
      </w:tr>
      <w:tr>
        <w:trPr>
          <w:cantSplit/>
        </w:trPr>
        <w:tc>
          <w:tcPr>
            <w:tcW w:w="5198" w:type="dxa"/>
            <w:shd w:val="clear" w:color="auto" w:fill="F4F7FB"/>
            <w:vAlign w:val="top"/>
          </w:tcPr>
          <w:p>
            <w:pPr>
              <w:pStyle w:val="TableText"/>
              <w:jc w:val="left"/>
            </w:pPr>
            <w:r>
              <w:t xml:space="preserve">Reopen rate</w:t>
            </w:r>
          </w:p>
        </w:tc>
        <w:tc>
          <w:tcPr>
            <w:tcW w:w="3829" w:type="dxa"/>
            <w:shd w:val="clear" w:color="auto" w:fill="F4F7FB"/>
            <w:vAlign w:val="top"/>
          </w:tcPr>
          <w:p>
            <w:pPr>
              <w:pStyle w:val="TableText"/>
              <w:jc w:val="left"/>
            </w:pPr>
            <w:r>
              <w:t xml:space="preserve">Under 10 %</w:t>
            </w:r>
          </w:p>
        </w:tc>
      </w:tr>
      <w:tr>
        <w:trPr>
          <w:cantSplit/>
        </w:trPr>
        <w:tc>
          <w:tcPr>
            <w:tcW w:w="5198" w:type="dxa"/>
            <w:vAlign w:val="top"/>
          </w:tcPr>
          <w:p>
            <w:pPr>
              <w:pStyle w:val="TableText"/>
              <w:jc w:val="left"/>
            </w:pPr>
            <w:r>
              <w:t xml:space="preserve">Time to fix Sev 1 and Sev 2 in test phases</w:t>
            </w:r>
          </w:p>
        </w:tc>
        <w:tc>
          <w:tcPr>
            <w:tcW w:w="3829" w:type="dxa"/>
            <w:vAlign w:val="top"/>
          </w:tcPr>
          <w:p>
            <w:pPr>
              <w:pStyle w:val="TableText"/>
              <w:jc w:val="left"/>
            </w:pPr>
            <w:r>
              <w:t xml:space="preserve">Under 1 day and under 3 days</w:t>
            </w:r>
          </w:p>
        </w:tc>
      </w:tr>
      <w:tr>
        <w:trPr>
          <w:cantSplit/>
        </w:trPr>
        <w:tc>
          <w:tcPr>
            <w:tcW w:w="5198" w:type="dxa"/>
            <w:shd w:val="clear" w:color="auto" w:fill="F4F7FB"/>
            <w:vAlign w:val="top"/>
          </w:tcPr>
          <w:p>
            <w:pPr>
              <w:pStyle w:val="TableText"/>
              <w:jc w:val="left"/>
            </w:pPr>
            <w:r>
              <w:t xml:space="preserve">SIT pass rate for P1 cases</w:t>
            </w:r>
          </w:p>
        </w:tc>
        <w:tc>
          <w:tcPr>
            <w:tcW w:w="3829" w:type="dxa"/>
            <w:shd w:val="clear" w:color="auto" w:fill="F4F7FB"/>
            <w:vAlign w:val="top"/>
          </w:tcPr>
          <w:p>
            <w:pPr>
              <w:pStyle w:val="TableText"/>
              <w:jc w:val="left"/>
            </w:pPr>
            <w:r>
              <w:t xml:space="preserve">100 %</w:t>
            </w:r>
          </w:p>
        </w:tc>
      </w:tr>
      <w:tr>
        <w:trPr>
          <w:cantSplit/>
        </w:trPr>
        <w:tc>
          <w:tcPr>
            <w:tcW w:w="5198" w:type="dxa"/>
            <w:vAlign w:val="top"/>
          </w:tcPr>
          <w:p>
            <w:pPr>
              <w:pStyle w:val="TableText"/>
              <w:jc w:val="left"/>
            </w:pPr>
            <w:r>
              <w:t xml:space="preserve">Serious or critical accessibility violations</w:t>
            </w:r>
          </w:p>
        </w:tc>
        <w:tc>
          <w:tcPr>
            <w:tcW w:w="3829" w:type="dxa"/>
            <w:vAlign w:val="top"/>
          </w:tcPr>
          <w:p>
            <w:pPr>
              <w:pStyle w:val="TableText"/>
              <w:jc w:val="left"/>
            </w:pPr>
            <w:r>
              <w:t xml:space="preserve">0</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6" w:name="_Toc300000032"/>
      <w:r>
        <w:rPr>
          <w:rStyle w:val="BookTitle"/>
          <w:bCs w:val="0"/>
          <w:i w:val="0"/>
          <w:iCs w:val="0"/>
          <w:spacing w:val="0"/>
        </w:rPr>
        <w:t xml:space="preserve">Roles and responsibilities</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06"/>
        <w:gridCol w:w="2353"/>
        <w:gridCol w:w="4768"/>
      </w:tblGrid>
      <w:tr>
        <w:trPr>
          <w:cantSplit/>
          <w:tblHeader/>
        </w:trPr>
        <w:tc>
          <w:tcPr>
            <w:tcW w:w="1906" w:type="dxa"/>
            <w:shd w:val="clear" w:color="auto" w:fill="0F4761"/>
            <w:vAlign w:val="center"/>
          </w:tcPr>
          <w:p>
            <w:pPr>
              <w:pStyle w:val="TableHeading"/>
              <w:jc w:val="left"/>
            </w:pPr>
            <w:r>
              <w:rPr>
                <w:color w:val="FFFFFF"/>
              </w:rPr>
              <w:t xml:space="preserve">Role</w:t>
            </w:r>
          </w:p>
        </w:tc>
        <w:tc>
          <w:tcPr>
            <w:tcW w:w="2353" w:type="dxa"/>
            <w:shd w:val="clear" w:color="auto" w:fill="0F4761"/>
            <w:vAlign w:val="center"/>
          </w:tcPr>
          <w:p>
            <w:pPr>
              <w:pStyle w:val="TableHeading"/>
              <w:jc w:val="left"/>
            </w:pPr>
            <w:r>
              <w:rPr>
                <w:color w:val="FFFFFF"/>
              </w:rPr>
              <w:t xml:space="preserve">Organisation</w:t>
            </w:r>
          </w:p>
        </w:tc>
        <w:tc>
          <w:tcPr>
            <w:tcW w:w="4768" w:type="dxa"/>
            <w:shd w:val="clear" w:color="auto" w:fill="0F4761"/>
            <w:vAlign w:val="center"/>
          </w:tcPr>
          <w:p>
            <w:pPr>
              <w:pStyle w:val="TableHeading"/>
              <w:jc w:val="left"/>
            </w:pPr>
            <w:r>
              <w:rPr>
                <w:color w:val="FFFFFF"/>
              </w:rPr>
              <w:t xml:space="preserve">Responsibilities</w:t>
            </w:r>
          </w:p>
        </w:tc>
      </w:tr>
      <w:tr>
        <w:trPr>
          <w:cantSplit/>
        </w:trPr>
        <w:tc>
          <w:tcPr>
            <w:tcW w:w="1906" w:type="dxa"/>
            <w:vAlign w:val="top"/>
          </w:tcPr>
          <w:p>
            <w:pPr>
              <w:pStyle w:val="TableText"/>
              <w:jc w:val="left"/>
            </w:pPr>
            <w:r>
              <w:t xml:space="preserve">QA Lead</w:t>
            </w:r>
          </w:p>
        </w:tc>
        <w:tc>
          <w:tcPr>
            <w:tcW w:w="2353" w:type="dxa"/>
            <w:vAlign w:val="top"/>
          </w:tcPr>
          <w:p>
            <w:pPr>
              <w:pStyle w:val="TableText"/>
              <w:jc w:val="left"/>
            </w:pPr>
            <w:r>
              <w:t xml:space="preserve">iorta TechNXT</w:t>
            </w:r>
          </w:p>
        </w:tc>
        <w:tc>
          <w:tcPr>
            <w:tcW w:w="4768" w:type="dxa"/>
            <w:vAlign w:val="top"/>
          </w:tcPr>
          <w:p>
            <w:pPr>
              <w:pStyle w:val="TableText"/>
              <w:jc w:val="left"/>
            </w:pPr>
            <w:r>
              <w:t xml:space="preserve">Owns this strategy and the catalogue; triage, reporting, gate evidence</w:t>
            </w:r>
          </w:p>
        </w:tc>
      </w:tr>
      <w:tr>
        <w:trPr>
          <w:cantSplit/>
        </w:trPr>
        <w:tc>
          <w:tcPr>
            <w:tcW w:w="1906" w:type="dxa"/>
            <w:shd w:val="clear" w:color="auto" w:fill="F4F7FB"/>
            <w:vAlign w:val="top"/>
          </w:tcPr>
          <w:p>
            <w:pPr>
              <w:pStyle w:val="TableText"/>
              <w:jc w:val="left"/>
            </w:pPr>
            <w:r>
              <w:t xml:space="preserve">Test engineers</w:t>
            </w:r>
          </w:p>
        </w:tc>
        <w:tc>
          <w:tcPr>
            <w:tcW w:w="2353" w:type="dxa"/>
            <w:shd w:val="clear" w:color="auto" w:fill="F4F7FB"/>
            <w:vAlign w:val="top"/>
          </w:tcPr>
          <w:p>
            <w:pPr>
              <w:pStyle w:val="TableText"/>
              <w:jc w:val="left"/>
            </w:pPr>
            <w:r>
              <w:t xml:space="preserve">iorta TechNXT</w:t>
            </w:r>
          </w:p>
        </w:tc>
        <w:tc>
          <w:tcPr>
            <w:tcW w:w="4768" w:type="dxa"/>
            <w:shd w:val="clear" w:color="auto" w:fill="F4F7FB"/>
            <w:vAlign w:val="top"/>
          </w:tcPr>
          <w:p>
            <w:pPr>
              <w:pStyle w:val="TableText"/>
              <w:jc w:val="left"/>
            </w:pPr>
            <w:r>
              <w:t xml:space="preserve">Automated suites, SIT execution, regression</w:t>
            </w:r>
          </w:p>
        </w:tc>
      </w:tr>
      <w:tr>
        <w:trPr>
          <w:cantSplit/>
        </w:trPr>
        <w:tc>
          <w:tcPr>
            <w:tcW w:w="1906" w:type="dxa"/>
            <w:vAlign w:val="top"/>
          </w:tcPr>
          <w:p>
            <w:pPr>
              <w:pStyle w:val="TableText"/>
              <w:jc w:val="left"/>
            </w:pPr>
            <w:r>
              <w:t xml:space="preserve">Performance engineer</w:t>
            </w:r>
          </w:p>
        </w:tc>
        <w:tc>
          <w:tcPr>
            <w:tcW w:w="2353" w:type="dxa"/>
            <w:vAlign w:val="top"/>
          </w:tcPr>
          <w:p>
            <w:pPr>
              <w:pStyle w:val="TableText"/>
              <w:jc w:val="left"/>
            </w:pPr>
            <w:r>
              <w:t xml:space="preserve">iorta TechNXT</w:t>
            </w:r>
          </w:p>
        </w:tc>
        <w:tc>
          <w:tcPr>
            <w:tcW w:w="4768" w:type="dxa"/>
            <w:vAlign w:val="top"/>
          </w:tcPr>
          <w:p>
            <w:pPr>
              <w:pStyle w:val="TableText"/>
              <w:jc w:val="left"/>
            </w:pPr>
            <w:r>
              <w:t xml:space="preserve">Load, volume, soak, stress; capacity model</w:t>
            </w:r>
          </w:p>
        </w:tc>
      </w:tr>
      <w:tr>
        <w:trPr>
          <w:cantSplit/>
        </w:trPr>
        <w:tc>
          <w:tcPr>
            <w:tcW w:w="1906" w:type="dxa"/>
            <w:shd w:val="clear" w:color="auto" w:fill="F4F7FB"/>
            <w:vAlign w:val="top"/>
          </w:tcPr>
          <w:p>
            <w:pPr>
              <w:pStyle w:val="TableText"/>
              <w:jc w:val="left"/>
            </w:pPr>
            <w:r>
              <w:t xml:space="preserve">DevSecOps engineer</w:t>
            </w:r>
          </w:p>
        </w:tc>
        <w:tc>
          <w:tcPr>
            <w:tcW w:w="2353" w:type="dxa"/>
            <w:shd w:val="clear" w:color="auto" w:fill="F4F7FB"/>
            <w:vAlign w:val="top"/>
          </w:tcPr>
          <w:p>
            <w:pPr>
              <w:pStyle w:val="TableText"/>
              <w:jc w:val="left"/>
            </w:pPr>
            <w:r>
              <w:t xml:space="preserve">iorta TechNXT</w:t>
            </w:r>
          </w:p>
        </w:tc>
        <w:tc>
          <w:tcPr>
            <w:tcW w:w="4768" w:type="dxa"/>
            <w:shd w:val="clear" w:color="auto" w:fill="F4F7FB"/>
            <w:vAlign w:val="top"/>
          </w:tcPr>
          <w:p>
            <w:pPr>
              <w:pStyle w:val="TableText"/>
              <w:jc w:val="left"/>
            </w:pPr>
            <w:r>
              <w:t xml:space="preserve">CI security gates; penetration test coordination</w:t>
            </w:r>
          </w:p>
        </w:tc>
      </w:tr>
      <w:tr>
        <w:trPr>
          <w:cantSplit/>
        </w:trPr>
        <w:tc>
          <w:tcPr>
            <w:tcW w:w="1906" w:type="dxa"/>
            <w:vAlign w:val="top"/>
          </w:tcPr>
          <w:p>
            <w:pPr>
              <w:pStyle w:val="TableText"/>
              <w:jc w:val="left"/>
            </w:pPr>
            <w:r>
              <w:t xml:space="preserve">SRE</w:t>
            </w:r>
          </w:p>
        </w:tc>
        <w:tc>
          <w:tcPr>
            <w:tcW w:w="2353" w:type="dxa"/>
            <w:vAlign w:val="top"/>
          </w:tcPr>
          <w:p>
            <w:pPr>
              <w:pStyle w:val="TableText"/>
              <w:jc w:val="left"/>
            </w:pPr>
            <w:r>
              <w:t xml:space="preserve">iorta TechNXT, then TASCO IT</w:t>
            </w:r>
          </w:p>
        </w:tc>
        <w:tc>
          <w:tcPr>
            <w:tcW w:w="4768" w:type="dxa"/>
            <w:vAlign w:val="top"/>
          </w:tcPr>
          <w:p>
            <w:pPr>
              <w:pStyle w:val="TableText"/>
              <w:jc w:val="left"/>
            </w:pPr>
            <w:r>
              <w:t xml:space="preserve">Resilience and DR tests; monitoring</w:t>
            </w:r>
          </w:p>
        </w:tc>
      </w:tr>
      <w:tr>
        <w:trPr>
          <w:cantSplit/>
        </w:trPr>
        <w:tc>
          <w:tcPr>
            <w:tcW w:w="1906" w:type="dxa"/>
            <w:shd w:val="clear" w:color="auto" w:fill="F4F7FB"/>
            <w:vAlign w:val="top"/>
          </w:tcPr>
          <w:p>
            <w:pPr>
              <w:pStyle w:val="TableText"/>
              <w:jc w:val="left"/>
            </w:pPr>
            <w:r>
              <w:t xml:space="preserve">Product Owner</w:t>
            </w:r>
          </w:p>
        </w:tc>
        <w:tc>
          <w:tcPr>
            <w:tcW w:w="2353" w:type="dxa"/>
            <w:shd w:val="clear" w:color="auto" w:fill="F4F7FB"/>
            <w:vAlign w:val="top"/>
          </w:tcPr>
          <w:p>
            <w:pPr>
              <w:pStyle w:val="TableText"/>
              <w:jc w:val="left"/>
            </w:pPr>
            <w:r>
              <w:t xml:space="preserve">TASCO Insurance</w:t>
            </w:r>
          </w:p>
        </w:tc>
        <w:tc>
          <w:tcPr>
            <w:tcW w:w="4768" w:type="dxa"/>
            <w:shd w:val="clear" w:color="auto" w:fill="F4F7FB"/>
            <w:vAlign w:val="top"/>
          </w:tcPr>
          <w:p>
            <w:pPr>
              <w:pStyle w:val="TableText"/>
              <w:jc w:val="left"/>
            </w:pPr>
            <w:r>
              <w:t xml:space="preserve">Acceptance criteria, defect priority, UAT coordination</w:t>
            </w:r>
          </w:p>
        </w:tc>
      </w:tr>
      <w:tr>
        <w:trPr>
          <w:cantSplit/>
        </w:trPr>
        <w:tc>
          <w:tcPr>
            <w:tcW w:w="1906" w:type="dxa"/>
            <w:vAlign w:val="top"/>
          </w:tcPr>
          <w:p>
            <w:pPr>
              <w:pStyle w:val="TableText"/>
              <w:jc w:val="left"/>
            </w:pPr>
            <w:r>
              <w:t xml:space="preserve">Business testers</w:t>
            </w:r>
          </w:p>
        </w:tc>
        <w:tc>
          <w:tcPr>
            <w:tcW w:w="2353" w:type="dxa"/>
            <w:vAlign w:val="top"/>
          </w:tcPr>
          <w:p>
            <w:pPr>
              <w:pStyle w:val="TableText"/>
              <w:jc w:val="left"/>
            </w:pPr>
            <w:r>
              <w:t xml:space="preserve">TASCO Insurance and VETC</w:t>
            </w:r>
          </w:p>
        </w:tc>
        <w:tc>
          <w:tcPr>
            <w:tcW w:w="4768" w:type="dxa"/>
            <w:vAlign w:val="top"/>
          </w:tcPr>
          <w:p>
            <w:pPr>
              <w:pStyle w:val="TableText"/>
              <w:jc w:val="left"/>
            </w:pPr>
            <w:r>
              <w:t xml:space="preserve">UAT execution and sign-off</w:t>
            </w:r>
          </w:p>
        </w:tc>
      </w:tr>
      <w:tr>
        <w:trPr>
          <w:cantSplit/>
        </w:trPr>
        <w:tc>
          <w:tcPr>
            <w:tcW w:w="1906" w:type="dxa"/>
            <w:shd w:val="clear" w:color="auto" w:fill="F4F7FB"/>
            <w:vAlign w:val="top"/>
          </w:tcPr>
          <w:p>
            <w:pPr>
              <w:pStyle w:val="TableText"/>
              <w:jc w:val="left"/>
            </w:pPr>
            <w:r>
              <w:t xml:space="preserve">Compliance officer</w:t>
            </w:r>
          </w:p>
        </w:tc>
        <w:tc>
          <w:tcPr>
            <w:tcW w:w="2353" w:type="dxa"/>
            <w:shd w:val="clear" w:color="auto" w:fill="F4F7FB"/>
            <w:vAlign w:val="top"/>
          </w:tcPr>
          <w:p>
            <w:pPr>
              <w:pStyle w:val="TableText"/>
              <w:jc w:val="left"/>
            </w:pPr>
            <w:r>
              <w:t xml:space="preserve">TASCO Insurance</w:t>
            </w:r>
          </w:p>
        </w:tc>
        <w:tc>
          <w:tcPr>
            <w:tcW w:w="4768" w:type="dxa"/>
            <w:shd w:val="clear" w:color="auto" w:fill="F4F7FB"/>
            <w:vAlign w:val="top"/>
          </w:tcPr>
          <w:p>
            <w:pPr>
              <w:pStyle w:val="TableText"/>
              <w:jc w:val="left"/>
            </w:pPr>
            <w:r>
              <w:t xml:space="preserve">Sign-off of copy guard, contact policy, consent, scripts and benefits</w:t>
            </w:r>
          </w:p>
        </w:tc>
      </w:tr>
      <w:tr>
        <w:trPr>
          <w:cantSplit/>
        </w:trPr>
        <w:tc>
          <w:tcPr>
            <w:tcW w:w="1906" w:type="dxa"/>
            <w:vAlign w:val="top"/>
          </w:tcPr>
          <w:p>
            <w:pPr>
              <w:pStyle w:val="TableText"/>
              <w:jc w:val="left"/>
            </w:pPr>
            <w:r>
              <w:t xml:space="preserve">Data steward</w:t>
            </w:r>
          </w:p>
        </w:tc>
        <w:tc>
          <w:tcPr>
            <w:tcW w:w="2353" w:type="dxa"/>
            <w:vAlign w:val="top"/>
          </w:tcPr>
          <w:p>
            <w:pPr>
              <w:pStyle w:val="TableText"/>
              <w:jc w:val="left"/>
            </w:pPr>
            <w:r>
              <w:t xml:space="preserve">TASCO Insurance</w:t>
            </w:r>
          </w:p>
        </w:tc>
        <w:tc>
          <w:tcPr>
            <w:tcW w:w="4768" w:type="dxa"/>
            <w:vAlign w:val="top"/>
          </w:tcPr>
          <w:p>
            <w:pPr>
              <w:pStyle w:val="TableText"/>
              <w:jc w:val="left"/>
            </w:pPr>
            <w:r>
              <w:t xml:space="preserve">Data quality acceptance; reconciliation sign-off</w:t>
            </w:r>
          </w:p>
        </w:tc>
      </w:tr>
      <w:tr>
        <w:trPr>
          <w:cantSplit/>
        </w:trPr>
        <w:tc>
          <w:tcPr>
            <w:tcW w:w="1906" w:type="dxa"/>
            <w:shd w:val="clear" w:color="auto" w:fill="F4F7FB"/>
            <w:vAlign w:val="top"/>
          </w:tcPr>
          <w:p>
            <w:pPr>
              <w:pStyle w:val="TableText"/>
              <w:jc w:val="left"/>
            </w:pPr>
            <w:r>
              <w:t xml:space="preserve">Partner IT</w:t>
            </w:r>
          </w:p>
        </w:tc>
        <w:tc>
          <w:tcPr>
            <w:tcW w:w="2353" w:type="dxa"/>
            <w:shd w:val="clear" w:color="auto" w:fill="F4F7FB"/>
            <w:vAlign w:val="top"/>
          </w:tcPr>
          <w:p>
            <w:pPr>
              <w:pStyle w:val="TableText"/>
              <w:jc w:val="left"/>
            </w:pPr>
            <w:r>
              <w:t xml:space="preserve">TASCO core IT, VETC IT, Zalo</w:t>
            </w:r>
          </w:p>
        </w:tc>
        <w:tc>
          <w:tcPr>
            <w:tcW w:w="4768" w:type="dxa"/>
            <w:shd w:val="clear" w:color="auto" w:fill="F4F7FB"/>
            <w:vAlign w:val="top"/>
          </w:tcPr>
          <w:p>
            <w:pPr>
              <w:pStyle w:val="TableText"/>
              <w:jc w:val="left"/>
            </w:pPr>
            <w:r>
              <w:t xml:space="preserve">SIT endpoints, test data, interface defect fixes</w:t>
            </w:r>
          </w:p>
        </w:tc>
      </w:tr>
      <w:tr>
        <w:trPr>
          <w:cantSplit/>
        </w:trPr>
        <w:tc>
          <w:tcPr>
            <w:tcW w:w="1906" w:type="dxa"/>
            <w:vAlign w:val="top"/>
          </w:tcPr>
          <w:p>
            <w:pPr>
              <w:pStyle w:val="TableText"/>
              <w:jc w:val="left"/>
            </w:pPr>
            <w:r>
              <w:t xml:space="preserve">Penetration tester</w:t>
            </w:r>
          </w:p>
        </w:tc>
        <w:tc>
          <w:tcPr>
            <w:tcW w:w="2353" w:type="dxa"/>
            <w:vAlign w:val="top"/>
          </w:tcPr>
          <w:p>
            <w:pPr>
              <w:pStyle w:val="TableText"/>
              <w:jc w:val="left"/>
            </w:pPr>
            <w:r>
              <w:t xml:space="preserve">Independent vendor</w:t>
            </w:r>
          </w:p>
        </w:tc>
        <w:tc>
          <w:tcPr>
            <w:tcW w:w="4768" w:type="dxa"/>
            <w:vAlign w:val="top"/>
          </w:tcPr>
          <w:p>
            <w:pPr>
              <w:pStyle w:val="TableText"/>
              <w:jc w:val="left"/>
            </w:pPr>
            <w:r>
              <w:t xml:space="preserve">Penetration test and report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7" w:name="_Toc300000033"/>
      <w:r>
        <w:rPr>
          <w:rStyle w:val="BookTitle"/>
          <w:bCs w:val="0"/>
          <w:i w:val="0"/>
          <w:iCs w:val="0"/>
          <w:spacing w:val="0"/>
        </w:rPr>
        <w:t xml:space="preserve">Current results</w:t>
      </w:r>
      <w:bookmarkEnd w:id="37"/>
    </w:p>
    <w:p>
      <w:pPr>
        <w:pStyle w:val="FirstParagraph"/>
      </w:pPr>
      <w:r>
        <w:t xml:space="preserve">The latest full run was on 7 October 2026 on release 1.0.0 (Node.js 22; PostgreSQL 16 for</w:t>
      </w:r>
      <w:r>
        <w:t xml:space="preserve"> </w:t>
      </w:r>
      <w:r>
        <w:rPr>
          <w:rStyle w:val="CodeChar"/>
        </w:rPr>
        <w:t xml:space="preserve">test/pg</w:t>
      </w:r>
      <w:r>
        <w:t xml:space="preserve">; in-memory store for the other suites).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48"/>
        <w:gridCol w:w="5056"/>
        <w:gridCol w:w="1623"/>
      </w:tblGrid>
      <w:tr>
        <w:trPr>
          <w:cantSplit/>
          <w:tblHeader/>
        </w:trPr>
        <w:tc>
          <w:tcPr>
            <w:tcW w:w="2348" w:type="dxa"/>
            <w:shd w:val="clear" w:color="auto" w:fill="0F4761"/>
            <w:vAlign w:val="center"/>
          </w:tcPr>
          <w:p>
            <w:pPr>
              <w:pStyle w:val="TableHeading"/>
              <w:jc w:val="left"/>
            </w:pPr>
            <w:r>
              <w:rPr>
                <w:color w:val="FFFFFF"/>
              </w:rPr>
              <w:t xml:space="preserve">Measure</w:t>
            </w:r>
          </w:p>
        </w:tc>
        <w:tc>
          <w:tcPr>
            <w:tcW w:w="5056" w:type="dxa"/>
            <w:shd w:val="clear" w:color="auto" w:fill="0F4761"/>
            <w:vAlign w:val="center"/>
          </w:tcPr>
          <w:p>
            <w:pPr>
              <w:pStyle w:val="TableHeading"/>
              <w:jc w:val="left"/>
            </w:pPr>
            <w:r>
              <w:rPr>
                <w:color w:val="FFFFFF"/>
              </w:rPr>
              <w:t xml:space="preserve">Result</w:t>
            </w:r>
          </w:p>
        </w:tc>
        <w:tc>
          <w:tcPr>
            <w:tcW w:w="1623" w:type="dxa"/>
            <w:shd w:val="clear" w:color="auto" w:fill="0F4761"/>
            <w:vAlign w:val="center"/>
          </w:tcPr>
          <w:p>
            <w:pPr>
              <w:pStyle w:val="TableHeading"/>
              <w:jc w:val="left"/>
            </w:pPr>
            <w:r>
              <w:rPr>
                <w:color w:val="FFFFFF"/>
              </w:rPr>
              <w:t xml:space="preserve">Gate</w:t>
            </w:r>
          </w:p>
        </w:tc>
      </w:tr>
      <w:tr>
        <w:trPr>
          <w:cantSplit/>
        </w:trPr>
        <w:tc>
          <w:tcPr>
            <w:tcW w:w="2348" w:type="dxa"/>
            <w:vAlign w:val="top"/>
          </w:tcPr>
          <w:p>
            <w:pPr>
              <w:pStyle w:val="TableText"/>
              <w:jc w:val="left"/>
            </w:pPr>
            <w:r>
              <w:t xml:space="preserve">Automated tests (</w:t>
            </w:r>
            <w:r>
              <w:rPr>
                <w:rStyle w:val="CodeChar"/>
              </w:rPr>
              <w:t xml:space="preserve">npm test</w:t>
            </w:r>
            <w:r>
              <w:t xml:space="preserve">)</w:t>
            </w:r>
          </w:p>
        </w:tc>
        <w:tc>
          <w:tcPr>
            <w:tcW w:w="5056" w:type="dxa"/>
            <w:vAlign w:val="top"/>
          </w:tcPr>
          <w:p>
            <w:pPr>
              <w:pStyle w:val="TableText"/>
              <w:jc w:val="left"/>
            </w:pPr>
            <w:r>
              <w:t xml:space="preserve">255 tests: 252 passed, 0 failed, 3 to-do (the manual and roadmap scenarios)</w:t>
            </w:r>
          </w:p>
        </w:tc>
        <w:tc>
          <w:tcPr>
            <w:tcW w:w="1623" w:type="dxa"/>
            <w:vAlign w:val="top"/>
          </w:tcPr>
          <w:p>
            <w:pPr>
              <w:pStyle w:val="TableText"/>
              <w:jc w:val="left"/>
            </w:pPr>
            <w:r>
              <w:t xml:space="preserve">0 failed</w:t>
            </w:r>
          </w:p>
        </w:tc>
      </w:tr>
      <w:tr>
        <w:trPr>
          <w:cantSplit/>
        </w:trPr>
        <w:tc>
          <w:tcPr>
            <w:tcW w:w="2348" w:type="dxa"/>
            <w:shd w:val="clear" w:color="auto" w:fill="F4F7FB"/>
            <w:vAlign w:val="top"/>
          </w:tcPr>
          <w:p>
            <w:pPr>
              <w:pStyle w:val="TableText"/>
              <w:jc w:val="left"/>
            </w:pPr>
            <w:r>
              <w:t xml:space="preserve">PostgreSQL suite</w:t>
            </w:r>
          </w:p>
        </w:tc>
        <w:tc>
          <w:tcPr>
            <w:tcW w:w="5056" w:type="dxa"/>
            <w:shd w:val="clear" w:color="auto" w:fill="F4F7FB"/>
            <w:vAlign w:val="top"/>
          </w:tcPr>
          <w:p>
            <w:pPr>
              <w:pStyle w:val="TableText"/>
              <w:jc w:val="left"/>
            </w:pPr>
            <w:r>
              <w:t xml:space="preserve">8 tests, all passed: migrations, encryption at rest, injection resistance, audit immutability, one active rule version per kind, row-locked outbox claims and an end-to-end sale</w:t>
            </w:r>
          </w:p>
        </w:tc>
        <w:tc>
          <w:tcPr>
            <w:tcW w:w="1623" w:type="dxa"/>
            <w:shd w:val="clear" w:color="auto" w:fill="F4F7FB"/>
            <w:vAlign w:val="top"/>
          </w:tcPr>
          <w:p>
            <w:pPr>
              <w:pStyle w:val="TableText"/>
              <w:jc w:val="left"/>
            </w:pPr>
            <w:r>
              <w:t xml:space="preserve">All pass</w:t>
            </w:r>
          </w:p>
        </w:tc>
      </w:tr>
      <w:tr>
        <w:trPr>
          <w:cantSplit/>
        </w:trPr>
        <w:tc>
          <w:tcPr>
            <w:tcW w:w="2348" w:type="dxa"/>
            <w:vAlign w:val="top"/>
          </w:tcPr>
          <w:p>
            <w:pPr>
              <w:pStyle w:val="TableText"/>
              <w:jc w:val="left"/>
            </w:pPr>
            <w:r>
              <w:t xml:space="preserve">Functional scenarios</w:t>
            </w:r>
          </w:p>
        </w:tc>
        <w:tc>
          <w:tcPr>
            <w:tcW w:w="5056" w:type="dxa"/>
            <w:vAlign w:val="top"/>
          </w:tcPr>
          <w:p>
            <w:pPr>
              <w:pStyle w:val="TableText"/>
              <w:jc w:val="left"/>
            </w:pPr>
            <w:r>
              <w:t xml:space="preserve">124: 121 automated and passing, 3 manual or roadmap</w:t>
            </w:r>
          </w:p>
        </w:tc>
        <w:tc>
          <w:tcPr>
            <w:tcW w:w="1623" w:type="dxa"/>
            <w:vAlign w:val="top"/>
          </w:tcPr>
          <w:p>
            <w:pPr>
              <w:pStyle w:val="TableText"/>
              <w:jc w:val="left"/>
            </w:pPr>
            <w:r>
              <w:t xml:space="preserve">All automated pass</w:t>
            </w:r>
          </w:p>
        </w:tc>
      </w:tr>
      <w:tr>
        <w:trPr>
          <w:cantSplit/>
        </w:trPr>
        <w:tc>
          <w:tcPr>
            <w:tcW w:w="2348" w:type="dxa"/>
            <w:shd w:val="clear" w:color="auto" w:fill="F4F7FB"/>
            <w:vAlign w:val="top"/>
          </w:tcPr>
          <w:p>
            <w:pPr>
              <w:pStyle w:val="TableText"/>
              <w:jc w:val="left"/>
            </w:pPr>
            <w:r>
              <w:t xml:space="preserve">Coverage (lines, branches, functions)</w:t>
            </w:r>
          </w:p>
        </w:tc>
        <w:tc>
          <w:tcPr>
            <w:tcW w:w="5056" w:type="dxa"/>
            <w:shd w:val="clear" w:color="auto" w:fill="F4F7FB"/>
            <w:vAlign w:val="top"/>
          </w:tcPr>
          <w:p>
            <w:pPr>
              <w:pStyle w:val="TableText"/>
              <w:jc w:val="left"/>
            </w:pPr>
            <w:r>
              <w:t xml:space="preserve">99.41 %, 88.25 %, 97.12 %</w:t>
            </w:r>
          </w:p>
        </w:tc>
        <w:tc>
          <w:tcPr>
            <w:tcW w:w="1623" w:type="dxa"/>
            <w:shd w:val="clear" w:color="auto" w:fill="F4F7FB"/>
            <w:vAlign w:val="top"/>
          </w:tcPr>
          <w:p>
            <w:pPr>
              <w:pStyle w:val="TableText"/>
              <w:jc w:val="left"/>
            </w:pPr>
            <w:r>
              <w:t xml:space="preserve">80 %, 70 %, 80 %</w:t>
            </w:r>
          </w:p>
        </w:tc>
      </w:tr>
      <w:tr>
        <w:trPr>
          <w:cantSplit/>
        </w:trPr>
        <w:tc>
          <w:tcPr>
            <w:tcW w:w="2348" w:type="dxa"/>
            <w:vAlign w:val="top"/>
          </w:tcPr>
          <w:p>
            <w:pPr>
              <w:pStyle w:val="TableText"/>
              <w:jc w:val="left"/>
            </w:pPr>
            <w:r>
              <w:t xml:space="preserve">Lint</w:t>
            </w:r>
          </w:p>
        </w:tc>
        <w:tc>
          <w:tcPr>
            <w:tcW w:w="5056" w:type="dxa"/>
            <w:vAlign w:val="top"/>
          </w:tcPr>
          <w:p>
            <w:pPr>
              <w:pStyle w:val="TableText"/>
              <w:jc w:val="left"/>
            </w:pPr>
            <w:r>
              <w:t xml:space="preserve">0 errors</w:t>
            </w:r>
          </w:p>
        </w:tc>
        <w:tc>
          <w:tcPr>
            <w:tcW w:w="1623" w:type="dxa"/>
            <w:vAlign w:val="top"/>
          </w:tcPr>
          <w:p>
            <w:pPr>
              <w:pStyle w:val="TableText"/>
              <w:jc w:val="left"/>
            </w:pPr>
            <w:r>
              <w:t xml:space="preserve">0 errors</w:t>
            </w:r>
          </w:p>
        </w:tc>
      </w:tr>
      <w:tr>
        <w:trPr>
          <w:cantSplit/>
        </w:trPr>
        <w:tc>
          <w:tcPr>
            <w:tcW w:w="2348" w:type="dxa"/>
            <w:shd w:val="clear" w:color="auto" w:fill="F4F7FB"/>
            <w:vAlign w:val="top"/>
          </w:tcPr>
          <w:p>
            <w:pPr>
              <w:pStyle w:val="TableText"/>
              <w:jc w:val="left"/>
            </w:pPr>
            <w:r>
              <w:t xml:space="preserve">Load smoke (one process, 25 concurrent, 15 s)</w:t>
            </w:r>
          </w:p>
        </w:tc>
        <w:tc>
          <w:tcPr>
            <w:tcW w:w="5056" w:type="dxa"/>
            <w:shd w:val="clear" w:color="auto" w:fill="F4F7FB"/>
            <w:vAlign w:val="top"/>
          </w:tcPr>
          <w:p>
            <w:pPr>
              <w:pStyle w:val="TableText"/>
              <w:jc w:val="left"/>
            </w:pPr>
            <w:r>
              <w:t xml:space="preserve">337 requests per second, p95 103 ms, 0 errors</w:t>
            </w:r>
          </w:p>
        </w:tc>
        <w:tc>
          <w:tcPr>
            <w:tcW w:w="1623" w:type="dxa"/>
            <w:shd w:val="clear" w:color="auto" w:fill="F4F7FB"/>
            <w:vAlign w:val="top"/>
          </w:tcPr>
          <w:p>
            <w:pPr>
              <w:pStyle w:val="TableText"/>
              <w:jc w:val="left"/>
            </w:pPr>
            <w:r>
              <w:t xml:space="preserve">p95 ≤ 300 ms, errors ≤ 1 %</w:t>
            </w:r>
          </w:p>
        </w:tc>
      </w:tr>
      <w:tr>
        <w:trPr>
          <w:cantSplit/>
        </w:trPr>
        <w:tc>
          <w:tcPr>
            <w:tcW w:w="2348" w:type="dxa"/>
            <w:vAlign w:val="top"/>
          </w:tcPr>
          <w:p>
            <w:pPr>
              <w:pStyle w:val="TableText"/>
              <w:jc w:val="left"/>
            </w:pPr>
            <w:r>
              <w:t xml:space="preserve">Catalogue cases in the workbook</w:t>
            </w:r>
          </w:p>
        </w:tc>
        <w:tc>
          <w:tcPr>
            <w:tcW w:w="5056" w:type="dxa"/>
            <w:vAlign w:val="top"/>
          </w:tcPr>
          <w:p>
            <w:pPr>
              <w:pStyle w:val="TableText"/>
              <w:jc w:val="left"/>
            </w:pPr>
            <w:r>
              <w:t xml:space="preserve">184: 157 Pass, 23 Not Run, 4 Blocked</w:t>
            </w:r>
          </w:p>
        </w:tc>
        <w:tc>
          <w:tcPr>
            <w:tcW w:w="1623" w:type="dxa"/>
            <w:vAlign w:val="top"/>
          </w:tcPr>
          <w:p>
            <w:pPr>
              <w:pStyle w:val="TableText"/>
              <w:jc w:val="left"/>
            </w:pPr>
            <w:r>
              <w:t xml:space="preserve">—</w:t>
            </w:r>
          </w:p>
        </w:tc>
      </w:tr>
    </w:tbl>
    <w:p>
      <w:pPr>
        <w:pStyle w:val="BodyText"/>
        <w:spacing w:before="160"/>
      </w:pPr>
      <w:r>
        <w:t xml:space="preserve">The Not Run cases are the SIT, UAT, DR, accessibility and at-scale performance cases, which belong to later phases. The four Blocked cases depend on open known issues: TC-017 (KI-07), TC-029 (KI-10), TC-114 (KI-13) and TC-155 (KI-18). The core rating cases TC-165 to TC-179 run in the suites above and passed; they are added to the workbook at its next regeneration.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8" w:name="_Toc300000034"/>
      <w:r>
        <w:rPr>
          <w:rStyle w:val="BookTitle"/>
          <w:bCs w:val="0"/>
          <w:i w:val="0"/>
          <w:iCs w:val="0"/>
          <w:spacing w:val="0"/>
        </w:rPr>
        <w:t xml:space="preserve">Known issues</w:t>
      </w:r>
      <w:bookmarkEnd w:id="38"/>
    </w:p>
    <w:p>
      <w:pPr>
        <w:pStyle w:val="FirstParagraph"/>
      </w:pPr>
      <w:r>
        <w:t xml:space="preserve">These issues were found while the tests were derived and are logged as defects with a proposed severity. IDs are stable and are referenced by test cases, runbooks and the readiness checklist. The QA Lead re-verifies the status at every release. Of 33 issues, 16 are open (three of them partly fixed) and 17 are fixed; the fixed items are listed in the Appendix.</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2"/>
        <w:gridCol w:w="606"/>
        <w:gridCol w:w="1782"/>
        <w:gridCol w:w="3180"/>
        <w:gridCol w:w="2627"/>
      </w:tblGrid>
      <w:tr>
        <w:trPr>
          <w:cantSplit/>
          <w:tblHeader/>
        </w:trPr>
        <w:tc>
          <w:tcPr>
            <w:tcW w:w="832" w:type="dxa"/>
            <w:shd w:val="clear" w:color="auto" w:fill="0F4761"/>
            <w:vAlign w:val="center"/>
          </w:tcPr>
          <w:p>
            <w:pPr>
              <w:pStyle w:val="TableHeading"/>
              <w:jc w:val="left"/>
            </w:pPr>
            <w:r>
              <w:rPr>
                <w:color w:val="FFFFFF"/>
              </w:rPr>
              <w:t xml:space="preserve">ID</w:t>
            </w:r>
          </w:p>
        </w:tc>
        <w:tc>
          <w:tcPr>
            <w:tcW w:w="606" w:type="dxa"/>
            <w:shd w:val="clear" w:color="auto" w:fill="0F4761"/>
            <w:vAlign w:val="center"/>
          </w:tcPr>
          <w:p>
            <w:pPr>
              <w:pStyle w:val="TableHeading"/>
              <w:jc w:val="left"/>
            </w:pPr>
            <w:r>
              <w:rPr>
                <w:color w:val="FFFFFF"/>
              </w:rPr>
              <w:t xml:space="preserve">Sev</w:t>
            </w:r>
          </w:p>
        </w:tc>
        <w:tc>
          <w:tcPr>
            <w:tcW w:w="1782" w:type="dxa"/>
            <w:shd w:val="clear" w:color="auto" w:fill="0F4761"/>
            <w:vAlign w:val="center"/>
          </w:tcPr>
          <w:p>
            <w:pPr>
              <w:pStyle w:val="TableHeading"/>
              <w:jc w:val="left"/>
            </w:pPr>
            <w:r>
              <w:rPr>
                <w:color w:val="FFFFFF"/>
              </w:rPr>
              <w:t xml:space="preserve">Area</w:t>
            </w:r>
          </w:p>
        </w:tc>
        <w:tc>
          <w:tcPr>
            <w:tcW w:w="3180" w:type="dxa"/>
            <w:shd w:val="clear" w:color="auto" w:fill="0F4761"/>
            <w:vAlign w:val="center"/>
          </w:tcPr>
          <w:p>
            <w:pPr>
              <w:pStyle w:val="TableHeading"/>
              <w:jc w:val="left"/>
            </w:pPr>
            <w:r>
              <w:rPr>
                <w:color w:val="FFFFFF"/>
              </w:rPr>
              <w:t xml:space="preserve">Finding</w:t>
            </w:r>
          </w:p>
        </w:tc>
        <w:tc>
          <w:tcPr>
            <w:tcW w:w="2627" w:type="dxa"/>
            <w:shd w:val="clear" w:color="auto" w:fill="0F4761"/>
            <w:vAlign w:val="center"/>
          </w:tcPr>
          <w:p>
            <w:pPr>
              <w:pStyle w:val="TableHeading"/>
              <w:jc w:val="left"/>
            </w:pPr>
            <w:r>
              <w:rPr>
                <w:color w:val="FFFFFF"/>
              </w:rPr>
              <w:t xml:space="preserve">Recommendation</w:t>
            </w:r>
          </w:p>
        </w:tc>
      </w:tr>
      <w:tr>
        <w:trPr>
          <w:cantSplit/>
        </w:trPr>
        <w:tc>
          <w:tcPr>
            <w:tcW w:w="832" w:type="dxa"/>
            <w:noWrap/>
            <w:vAlign w:val="top"/>
          </w:tcPr>
          <w:p>
            <w:pPr>
              <w:pStyle w:val="TableText"/>
              <w:jc w:val="left"/>
            </w:pPr>
            <w:r>
              <w:t xml:space="preserve">KI-03</w:t>
            </w:r>
          </w:p>
        </w:tc>
        <w:tc>
          <w:tcPr>
            <w:tcW w:w="606" w:type="dxa"/>
            <w:vAlign w:val="top"/>
          </w:tcPr>
          <w:p>
            <w:pPr>
              <w:pStyle w:val="TableText"/>
              <w:jc w:val="left"/>
            </w:pPr>
            <w:r>
              <w:t xml:space="preserve">3</w:t>
            </w:r>
          </w:p>
        </w:tc>
        <w:tc>
          <w:tcPr>
            <w:tcW w:w="1782" w:type="dxa"/>
            <w:vAlign w:val="top"/>
          </w:tcPr>
          <w:p>
            <w:pPr>
              <w:pStyle w:val="TableText"/>
              <w:jc w:val="left"/>
            </w:pPr>
            <w:r>
              <w:t xml:space="preserve">Events</w:t>
            </w:r>
          </w:p>
        </w:tc>
        <w:tc>
          <w:tcPr>
            <w:tcW w:w="3180" w:type="dxa"/>
            <w:vAlign w:val="top"/>
          </w:tcPr>
          <w:p>
            <w:pPr>
              <w:pStyle w:val="TableText"/>
              <w:jc w:val="left"/>
            </w:pPr>
            <w:r>
              <w:t xml:space="preserve">Partly fixed: stuck events are re-claimed after 5 minutes, but dead-letter events have no replay tool</w:t>
            </w:r>
          </w:p>
        </w:tc>
        <w:tc>
          <w:tcPr>
            <w:tcW w:w="2627" w:type="dxa"/>
            <w:vAlign w:val="top"/>
          </w:tcPr>
          <w:p>
            <w:pPr>
              <w:pStyle w:val="TableText"/>
              <w:jc w:val="left"/>
            </w:pPr>
            <w:r>
              <w:t xml:space="preserve">Ops job to requeue dead letters; interim SQL in RB-06</w:t>
            </w:r>
          </w:p>
        </w:tc>
      </w:tr>
      <w:tr>
        <w:trPr>
          <w:cantSplit/>
        </w:trPr>
        <w:tc>
          <w:tcPr>
            <w:tcW w:w="832" w:type="dxa"/>
            <w:shd w:val="clear" w:color="auto" w:fill="F4F7FB"/>
            <w:noWrap/>
            <w:vAlign w:val="top"/>
          </w:tcPr>
          <w:p>
            <w:pPr>
              <w:pStyle w:val="TableText"/>
              <w:jc w:val="left"/>
            </w:pPr>
            <w:r>
              <w:t xml:space="preserve">KI-04</w:t>
            </w:r>
          </w:p>
        </w:tc>
        <w:tc>
          <w:tcPr>
            <w:tcW w:w="606" w:type="dxa"/>
            <w:shd w:val="clear" w:color="auto" w:fill="F4F7FB"/>
            <w:vAlign w:val="top"/>
          </w:tcPr>
          <w:p>
            <w:pPr>
              <w:pStyle w:val="TableText"/>
              <w:jc w:val="left"/>
            </w:pPr>
            <w:r>
              <w:t xml:space="preserve">2</w:t>
            </w:r>
          </w:p>
        </w:tc>
        <w:tc>
          <w:tcPr>
            <w:tcW w:w="1782" w:type="dxa"/>
            <w:shd w:val="clear" w:color="auto" w:fill="F4F7FB"/>
            <w:vAlign w:val="top"/>
          </w:tcPr>
          <w:p>
            <w:pPr>
              <w:pStyle w:val="TableText"/>
              <w:jc w:val="left"/>
            </w:pPr>
            <w:r>
              <w:t xml:space="preserve">Performance</w:t>
            </w:r>
          </w:p>
        </w:tc>
        <w:tc>
          <w:tcPr>
            <w:tcW w:w="3180" w:type="dxa"/>
            <w:shd w:val="clear" w:color="auto" w:fill="F4F7FB"/>
            <w:vAlign w:val="top"/>
          </w:tcPr>
          <w:p>
            <w:pPr>
              <w:pStyle w:val="TableText"/>
              <w:jc w:val="left"/>
            </w:pPr>
            <w:r>
              <w:t xml:space="preserve">Several handlers drain the global event backlog inline, so one request’s latency depends on everyone’s events</w:t>
            </w:r>
          </w:p>
        </w:tc>
        <w:tc>
          <w:tcPr>
            <w:tcW w:w="2627" w:type="dxa"/>
            <w:shd w:val="clear" w:color="auto" w:fill="F4F7FB"/>
            <w:vAlign w:val="top"/>
          </w:tcPr>
          <w:p>
            <w:pPr>
              <w:pStyle w:val="TableText"/>
              <w:jc w:val="left"/>
            </w:pPr>
            <w:r>
              <w:t xml:space="preserve">Drain only the request’s own events or rely on the relay; measured by PERF-S5</w:t>
            </w:r>
          </w:p>
        </w:tc>
      </w:tr>
      <w:tr>
        <w:trPr>
          <w:cantSplit/>
        </w:trPr>
        <w:tc>
          <w:tcPr>
            <w:tcW w:w="832" w:type="dxa"/>
            <w:noWrap/>
            <w:vAlign w:val="top"/>
          </w:tcPr>
          <w:p>
            <w:pPr>
              <w:pStyle w:val="TableText"/>
              <w:jc w:val="left"/>
            </w:pPr>
            <w:r>
              <w:t xml:space="preserve">KI-07</w:t>
            </w:r>
          </w:p>
        </w:tc>
        <w:tc>
          <w:tcPr>
            <w:tcW w:w="606" w:type="dxa"/>
            <w:vAlign w:val="top"/>
          </w:tcPr>
          <w:p>
            <w:pPr>
              <w:pStyle w:val="TableText"/>
              <w:jc w:val="left"/>
            </w:pPr>
            <w:r>
              <w:t xml:space="preserve">3</w:t>
            </w:r>
          </w:p>
        </w:tc>
        <w:tc>
          <w:tcPr>
            <w:tcW w:w="1782" w:type="dxa"/>
            <w:vAlign w:val="top"/>
          </w:tcPr>
          <w:p>
            <w:pPr>
              <w:pStyle w:val="TableText"/>
              <w:jc w:val="left"/>
            </w:pPr>
            <w:r>
              <w:t xml:space="preserve">Security</w:t>
            </w:r>
          </w:p>
        </w:tc>
        <w:tc>
          <w:tcPr>
            <w:tcW w:w="3180" w:type="dxa"/>
            <w:vAlign w:val="top"/>
          </w:tcPr>
          <w:p>
            <w:pPr>
              <w:pStyle w:val="TableText"/>
              <w:jc w:val="left"/>
            </w:pPr>
            <w:r>
              <w:t xml:space="preserve">Sign-out and rate limits are per replica, so limits multiply and a revoked token stays valid elsewhere until expiry (30 minutes)</w:t>
            </w:r>
          </w:p>
        </w:tc>
        <w:tc>
          <w:tcPr>
            <w:tcW w:w="2627" w:type="dxa"/>
            <w:vAlign w:val="top"/>
          </w:tcPr>
          <w:p>
            <w:pPr>
              <w:pStyle w:val="TableText"/>
              <w:jc w:val="left"/>
            </w:pPr>
            <w:r>
              <w:t xml:space="preserve">Shared cache or gateway limits; short token lifetime</w:t>
            </w:r>
          </w:p>
        </w:tc>
      </w:tr>
      <w:tr>
        <w:trPr>
          <w:cantSplit/>
        </w:trPr>
        <w:tc>
          <w:tcPr>
            <w:tcW w:w="832" w:type="dxa"/>
            <w:shd w:val="clear" w:color="auto" w:fill="F4F7FB"/>
            <w:noWrap/>
            <w:vAlign w:val="top"/>
          </w:tcPr>
          <w:p>
            <w:pPr>
              <w:pStyle w:val="TableText"/>
              <w:jc w:val="left"/>
            </w:pPr>
            <w:r>
              <w:t xml:space="preserve">KI-08</w:t>
            </w:r>
          </w:p>
        </w:tc>
        <w:tc>
          <w:tcPr>
            <w:tcW w:w="606" w:type="dxa"/>
            <w:shd w:val="clear" w:color="auto" w:fill="F4F7FB"/>
            <w:vAlign w:val="top"/>
          </w:tcPr>
          <w:p>
            <w:pPr>
              <w:pStyle w:val="TableText"/>
              <w:jc w:val="left"/>
            </w:pPr>
            <w:r>
              <w:t xml:space="preserve">4</w:t>
            </w:r>
          </w:p>
        </w:tc>
        <w:tc>
          <w:tcPr>
            <w:tcW w:w="1782" w:type="dxa"/>
            <w:shd w:val="clear" w:color="auto" w:fill="F4F7FB"/>
            <w:vAlign w:val="top"/>
          </w:tcPr>
          <w:p>
            <w:pPr>
              <w:pStyle w:val="TableText"/>
              <w:jc w:val="left"/>
            </w:pPr>
            <w:r>
              <w:t xml:space="preserve">Security</w:t>
            </w:r>
          </w:p>
        </w:tc>
        <w:tc>
          <w:tcPr>
            <w:tcW w:w="3180" w:type="dxa"/>
            <w:shd w:val="clear" w:color="auto" w:fill="F4F7FB"/>
            <w:vAlign w:val="top"/>
          </w:tcPr>
          <w:p>
            <w:pPr>
              <w:pStyle w:val="TableText"/>
              <w:jc w:val="left"/>
            </w:pPr>
            <w:r>
              <w:t xml:space="preserve">Partly fixed: renewal links expire, but are keyed from</w:t>
            </w:r>
            <w:r>
              <w:t xml:space="preserve"> </w:t>
            </w:r>
            <w:r>
              <w:rPr>
                <w:rStyle w:val="CodeChar"/>
              </w:rPr>
              <w:t xml:space="preserve">JWT_SECRET</w:t>
            </w:r>
            <w:r>
              <w:t xml:space="preserve">, so rotating it invalidates every link sent</w:t>
            </w:r>
          </w:p>
        </w:tc>
        <w:tc>
          <w:tcPr>
            <w:tcW w:w="2627" w:type="dxa"/>
            <w:shd w:val="clear" w:color="auto" w:fill="F4F7FB"/>
            <w:vAlign w:val="top"/>
          </w:tcPr>
          <w:p>
            <w:pPr>
              <w:pStyle w:val="TableText"/>
              <w:jc w:val="left"/>
            </w:pPr>
            <w:r>
              <w:t xml:space="preserve">Separate link key</w:t>
            </w:r>
          </w:p>
        </w:tc>
      </w:tr>
      <w:tr>
        <w:trPr>
          <w:cantSplit/>
        </w:trPr>
        <w:tc>
          <w:tcPr>
            <w:tcW w:w="832" w:type="dxa"/>
            <w:noWrap/>
            <w:vAlign w:val="top"/>
          </w:tcPr>
          <w:p>
            <w:pPr>
              <w:pStyle w:val="TableText"/>
              <w:jc w:val="left"/>
            </w:pPr>
            <w:r>
              <w:t xml:space="preserve">KI-10</w:t>
            </w:r>
          </w:p>
        </w:tc>
        <w:tc>
          <w:tcPr>
            <w:tcW w:w="606" w:type="dxa"/>
            <w:vAlign w:val="top"/>
          </w:tcPr>
          <w:p>
            <w:pPr>
              <w:pStyle w:val="TableText"/>
              <w:jc w:val="left"/>
            </w:pPr>
            <w:r>
              <w:t xml:space="preserve">3</w:t>
            </w:r>
          </w:p>
        </w:tc>
        <w:tc>
          <w:tcPr>
            <w:tcW w:w="1782" w:type="dxa"/>
            <w:vAlign w:val="top"/>
          </w:tcPr>
          <w:p>
            <w:pPr>
              <w:pStyle w:val="TableText"/>
              <w:jc w:val="left"/>
            </w:pPr>
            <w:r>
              <w:t xml:space="preserve">Access control</w:t>
            </w:r>
          </w:p>
        </w:tc>
        <w:tc>
          <w:tcPr>
            <w:tcW w:w="3180" w:type="dxa"/>
            <w:vAlign w:val="top"/>
          </w:tcPr>
          <w:p>
            <w:pPr>
              <w:pStyle w:val="TableText"/>
              <w:jc w:val="left"/>
            </w:pPr>
            <w:r>
              <w:t xml:space="preserve">Partly fixed: regional checks do not yet cover voice sessions, policy lists and the claims list</w:t>
            </w:r>
          </w:p>
        </w:tc>
        <w:tc>
          <w:tcPr>
            <w:tcW w:w="2627" w:type="dxa"/>
            <w:vAlign w:val="top"/>
          </w:tcPr>
          <w:p>
            <w:pPr>
              <w:pStyle w:val="TableText"/>
              <w:jc w:val="left"/>
            </w:pPr>
            <w:r>
              <w:t xml:space="preserve">Apply the access check consistently</w:t>
            </w:r>
          </w:p>
        </w:tc>
      </w:tr>
      <w:tr>
        <w:trPr>
          <w:cantSplit/>
        </w:trPr>
        <w:tc>
          <w:tcPr>
            <w:tcW w:w="832" w:type="dxa"/>
            <w:shd w:val="clear" w:color="auto" w:fill="F4F7FB"/>
            <w:noWrap/>
            <w:vAlign w:val="top"/>
          </w:tcPr>
          <w:p>
            <w:pPr>
              <w:pStyle w:val="TableText"/>
              <w:jc w:val="left"/>
            </w:pPr>
            <w:r>
              <w:t xml:space="preserve">KI-12</w:t>
            </w:r>
          </w:p>
        </w:tc>
        <w:tc>
          <w:tcPr>
            <w:tcW w:w="606" w:type="dxa"/>
            <w:shd w:val="clear" w:color="auto" w:fill="F4F7FB"/>
            <w:vAlign w:val="top"/>
          </w:tcPr>
          <w:p>
            <w:pPr>
              <w:pStyle w:val="TableText"/>
              <w:jc w:val="left"/>
            </w:pPr>
            <w:r>
              <w:t xml:space="preserve">3</w:t>
            </w:r>
          </w:p>
        </w:tc>
        <w:tc>
          <w:tcPr>
            <w:tcW w:w="1782" w:type="dxa"/>
            <w:shd w:val="clear" w:color="auto" w:fill="F4F7FB"/>
            <w:vAlign w:val="top"/>
          </w:tcPr>
          <w:p>
            <w:pPr>
              <w:pStyle w:val="TableText"/>
              <w:jc w:val="left"/>
            </w:pPr>
            <w:r>
              <w:t xml:space="preserve">Performance</w:t>
            </w:r>
          </w:p>
        </w:tc>
        <w:tc>
          <w:tcPr>
            <w:tcW w:w="3180" w:type="dxa"/>
            <w:shd w:val="clear" w:color="auto" w:fill="F4F7FB"/>
            <w:vAlign w:val="top"/>
          </w:tcPr>
          <w:p>
            <w:pPr>
              <w:pStyle w:val="TableText"/>
              <w:jc w:val="left"/>
            </w:pPr>
            <w:r>
              <w:t xml:space="preserve">Audit verification loads the whole log; several jobs page with OFFSET, which degrades at 6 million rows</w:t>
            </w:r>
          </w:p>
        </w:tc>
        <w:tc>
          <w:tcPr>
            <w:tcW w:w="2627" w:type="dxa"/>
            <w:shd w:val="clear" w:color="auto" w:fill="F4F7FB"/>
            <w:vAlign w:val="top"/>
          </w:tcPr>
          <w:p>
            <w:pPr>
              <w:pStyle w:val="TableText"/>
              <w:jc w:val="left"/>
            </w:pPr>
            <w:r>
              <w:t xml:space="preserve">Verification checkpoints; keyset pagination; SQL aggregates</w:t>
            </w:r>
          </w:p>
        </w:tc>
      </w:tr>
      <w:tr>
        <w:trPr>
          <w:cantSplit/>
        </w:trPr>
        <w:tc>
          <w:tcPr>
            <w:tcW w:w="832" w:type="dxa"/>
            <w:noWrap/>
            <w:vAlign w:val="top"/>
          </w:tcPr>
          <w:p>
            <w:pPr>
              <w:pStyle w:val="TableText"/>
              <w:jc w:val="left"/>
            </w:pPr>
            <w:r>
              <w:t xml:space="preserve">KI-13</w:t>
            </w:r>
          </w:p>
        </w:tc>
        <w:tc>
          <w:tcPr>
            <w:tcW w:w="606" w:type="dxa"/>
            <w:vAlign w:val="top"/>
          </w:tcPr>
          <w:p>
            <w:pPr>
              <w:pStyle w:val="TableText"/>
              <w:jc w:val="left"/>
            </w:pPr>
            <w:r>
              <w:t xml:space="preserve">2</w:t>
            </w:r>
          </w:p>
        </w:tc>
        <w:tc>
          <w:tcPr>
            <w:tcW w:w="1782" w:type="dxa"/>
            <w:vAlign w:val="top"/>
          </w:tcPr>
          <w:p>
            <w:pPr>
              <w:pStyle w:val="TableText"/>
              <w:jc w:val="left"/>
            </w:pPr>
            <w:r>
              <w:t xml:space="preserve">Compliance</w:t>
            </w:r>
          </w:p>
        </w:tc>
        <w:tc>
          <w:tcPr>
            <w:tcW w:w="3180" w:type="dxa"/>
            <w:vAlign w:val="top"/>
          </w:tcPr>
          <w:p>
            <w:pPr>
              <w:pStyle w:val="TableText"/>
              <w:jc w:val="left"/>
            </w:pPr>
            <w:r>
              <w:t xml:space="preserve">Retention deletes only source records and voice sessions; profile anonymisation and archival of messages, orders and certificates have no job</w:t>
            </w:r>
          </w:p>
        </w:tc>
        <w:tc>
          <w:tcPr>
            <w:tcW w:w="2627" w:type="dxa"/>
            <w:vAlign w:val="top"/>
          </w:tcPr>
          <w:p>
            <w:pPr>
              <w:pStyle w:val="TableText"/>
              <w:jc w:val="left"/>
            </w:pPr>
            <w:r>
              <w:t xml:space="preserve">Build the archival job, or a legal waiver before go-live</w:t>
            </w:r>
          </w:p>
        </w:tc>
      </w:tr>
      <w:tr>
        <w:trPr>
          <w:cantSplit/>
        </w:trPr>
        <w:tc>
          <w:tcPr>
            <w:tcW w:w="832" w:type="dxa"/>
            <w:shd w:val="clear" w:color="auto" w:fill="F4F7FB"/>
            <w:noWrap/>
            <w:vAlign w:val="top"/>
          </w:tcPr>
          <w:p>
            <w:pPr>
              <w:pStyle w:val="TableText"/>
              <w:jc w:val="left"/>
            </w:pPr>
            <w:r>
              <w:t xml:space="preserve">KI-16</w:t>
            </w:r>
          </w:p>
        </w:tc>
        <w:tc>
          <w:tcPr>
            <w:tcW w:w="606" w:type="dxa"/>
            <w:shd w:val="clear" w:color="auto" w:fill="F4F7FB"/>
            <w:vAlign w:val="top"/>
          </w:tcPr>
          <w:p>
            <w:pPr>
              <w:pStyle w:val="TableText"/>
              <w:jc w:val="left"/>
            </w:pPr>
            <w:r>
              <w:t xml:space="preserve">4</w:t>
            </w:r>
          </w:p>
        </w:tc>
        <w:tc>
          <w:tcPr>
            <w:tcW w:w="1782" w:type="dxa"/>
            <w:shd w:val="clear" w:color="auto" w:fill="F4F7FB"/>
            <w:vAlign w:val="top"/>
          </w:tcPr>
          <w:p>
            <w:pPr>
              <w:pStyle w:val="TableText"/>
              <w:jc w:val="left"/>
            </w:pPr>
            <w:r>
              <w:t xml:space="preserve">API</w:t>
            </w:r>
          </w:p>
        </w:tc>
        <w:tc>
          <w:tcPr>
            <w:tcW w:w="3180" w:type="dxa"/>
            <w:shd w:val="clear" w:color="auto" w:fill="F4F7FB"/>
            <w:vAlign w:val="top"/>
          </w:tcPr>
          <w:p>
            <w:pPr>
              <w:pStyle w:val="TableText"/>
              <w:jc w:val="left"/>
            </w:pPr>
            <w:r>
              <w:t xml:space="preserve">Ingest accepts 5,000 records but the body limit is 1 MiB</w:t>
            </w:r>
          </w:p>
        </w:tc>
        <w:tc>
          <w:tcPr>
            <w:tcW w:w="2627" w:type="dxa"/>
            <w:shd w:val="clear" w:color="auto" w:fill="F4F7FB"/>
            <w:vAlign w:val="top"/>
          </w:tcPr>
          <w:p>
            <w:pPr>
              <w:pStyle w:val="TableText"/>
              <w:jc w:val="left"/>
            </w:pPr>
            <w:r>
              <w:t xml:space="preserve">Batches of 2,000 or fewer, or a per-route limit</w:t>
            </w:r>
          </w:p>
        </w:tc>
      </w:tr>
      <w:tr>
        <w:trPr>
          <w:cantSplit/>
        </w:trPr>
        <w:tc>
          <w:tcPr>
            <w:tcW w:w="832" w:type="dxa"/>
            <w:noWrap/>
            <w:vAlign w:val="top"/>
          </w:tcPr>
          <w:p>
            <w:pPr>
              <w:pStyle w:val="TableText"/>
              <w:jc w:val="left"/>
            </w:pPr>
            <w:r>
              <w:t xml:space="preserve">KI-17</w:t>
            </w:r>
          </w:p>
        </w:tc>
        <w:tc>
          <w:tcPr>
            <w:tcW w:w="606" w:type="dxa"/>
            <w:vAlign w:val="top"/>
          </w:tcPr>
          <w:p>
            <w:pPr>
              <w:pStyle w:val="TableText"/>
              <w:jc w:val="left"/>
            </w:pPr>
            <w:r>
              <w:t xml:space="preserve">4</w:t>
            </w:r>
          </w:p>
        </w:tc>
        <w:tc>
          <w:tcPr>
            <w:tcW w:w="1782" w:type="dxa"/>
            <w:vAlign w:val="top"/>
          </w:tcPr>
          <w:p>
            <w:pPr>
              <w:pStyle w:val="TableText"/>
              <w:jc w:val="left"/>
            </w:pPr>
            <w:r>
              <w:t xml:space="preserve">Observability</w:t>
            </w:r>
          </w:p>
        </w:tc>
        <w:tc>
          <w:tcPr>
            <w:tcW w:w="3180" w:type="dxa"/>
            <w:vAlign w:val="top"/>
          </w:tcPr>
          <w:p>
            <w:pPr>
              <w:pStyle w:val="TableText"/>
              <w:jc w:val="left"/>
            </w:pPr>
            <w:r>
              <w:t xml:space="preserve">Metrics have no type lines or gauges for circuit state, outbox backlog or pool; counters reset on restart</w:t>
            </w:r>
          </w:p>
        </w:tc>
        <w:tc>
          <w:tcPr>
            <w:tcW w:w="2627" w:type="dxa"/>
            <w:vAlign w:val="top"/>
          </w:tcPr>
          <w:p>
            <w:pPr>
              <w:pStyle w:val="TableText"/>
              <w:jc w:val="left"/>
            </w:pPr>
            <w:r>
              <w:t xml:space="preserve">Add gauges; alert rules use rates</w:t>
            </w:r>
          </w:p>
        </w:tc>
      </w:tr>
      <w:tr>
        <w:trPr>
          <w:cantSplit/>
        </w:trPr>
        <w:tc>
          <w:tcPr>
            <w:tcW w:w="832" w:type="dxa"/>
            <w:shd w:val="clear" w:color="auto" w:fill="F4F7FB"/>
            <w:noWrap/>
            <w:vAlign w:val="top"/>
          </w:tcPr>
          <w:p>
            <w:pPr>
              <w:pStyle w:val="TableText"/>
              <w:jc w:val="left"/>
            </w:pPr>
            <w:r>
              <w:t xml:space="preserve">KI-18</w:t>
            </w:r>
          </w:p>
        </w:tc>
        <w:tc>
          <w:tcPr>
            <w:tcW w:w="606" w:type="dxa"/>
            <w:shd w:val="clear" w:color="auto" w:fill="F4F7FB"/>
            <w:vAlign w:val="top"/>
          </w:tcPr>
          <w:p>
            <w:pPr>
              <w:pStyle w:val="TableText"/>
              <w:jc w:val="left"/>
            </w:pPr>
            <w:r>
              <w:t xml:space="preserve">2</w:t>
            </w:r>
          </w:p>
        </w:tc>
        <w:tc>
          <w:tcPr>
            <w:tcW w:w="1782" w:type="dxa"/>
            <w:shd w:val="clear" w:color="auto" w:fill="F4F7FB"/>
            <w:vAlign w:val="top"/>
          </w:tcPr>
          <w:p>
            <w:pPr>
              <w:pStyle w:val="TableText"/>
              <w:jc w:val="left"/>
            </w:pPr>
            <w:r>
              <w:t xml:space="preserve">Sales</w:t>
            </w:r>
          </w:p>
        </w:tc>
        <w:tc>
          <w:tcPr>
            <w:tcW w:w="3180" w:type="dxa"/>
            <w:shd w:val="clear" w:color="auto" w:fill="F4F7FB"/>
            <w:vAlign w:val="top"/>
          </w:tcPr>
          <w:p>
            <w:pPr>
              <w:pStyle w:val="TableText"/>
              <w:jc w:val="left"/>
            </w:pPr>
            <w:r>
              <w:t xml:space="preserve">A wallet debit that times out on our side but is captured by VETC leaves the order</w:t>
            </w:r>
            <w:r>
              <w:t xml:space="preserve"> </w:t>
            </w:r>
            <w:r>
              <w:rPr>
                <w:rStyle w:val="CodeChar"/>
              </w:rPr>
              <w:t xml:space="preserve">payment_failed</w:t>
            </w:r>
            <w:r>
              <w:t xml:space="preserve"> </w:t>
            </w:r>
            <w:r>
              <w:t xml:space="preserve">with no refund; no settlement adapter</w:t>
            </w:r>
          </w:p>
        </w:tc>
        <w:tc>
          <w:tcPr>
            <w:tcW w:w="2627" w:type="dxa"/>
            <w:shd w:val="clear" w:color="auto" w:fill="F4F7FB"/>
            <w:vAlign w:val="top"/>
          </w:tcPr>
          <w:p>
            <w:pPr>
              <w:pStyle w:val="TableText"/>
              <w:jc w:val="left"/>
            </w:pPr>
            <w:r>
              <w:t xml:space="preserve">Daily settlement reconciliation; reconciliation flags every</w:t>
            </w:r>
            <w:r>
              <w:t xml:space="preserve"> </w:t>
            </w:r>
            <w:r>
              <w:rPr>
                <w:rStyle w:val="CodeChar"/>
              </w:rPr>
              <w:t xml:space="preserve">payment_failed</w:t>
            </w:r>
            <w:r>
              <w:t xml:space="preserve"> </w:t>
            </w:r>
            <w:r>
              <w:t xml:space="preserve">order (RB-11)</w:t>
            </w:r>
          </w:p>
        </w:tc>
      </w:tr>
      <w:tr>
        <w:trPr>
          <w:cantSplit/>
        </w:trPr>
        <w:tc>
          <w:tcPr>
            <w:tcW w:w="832" w:type="dxa"/>
            <w:noWrap/>
            <w:vAlign w:val="top"/>
          </w:tcPr>
          <w:p>
            <w:pPr>
              <w:pStyle w:val="TableText"/>
              <w:jc w:val="left"/>
            </w:pPr>
            <w:r>
              <w:t xml:space="preserve">KI-19</w:t>
            </w:r>
          </w:p>
        </w:tc>
        <w:tc>
          <w:tcPr>
            <w:tcW w:w="606" w:type="dxa"/>
            <w:vAlign w:val="top"/>
          </w:tcPr>
          <w:p>
            <w:pPr>
              <w:pStyle w:val="TableText"/>
              <w:jc w:val="left"/>
            </w:pPr>
            <w:r>
              <w:t xml:space="preserve">3</w:t>
            </w:r>
          </w:p>
        </w:tc>
        <w:tc>
          <w:tcPr>
            <w:tcW w:w="1782" w:type="dxa"/>
            <w:vAlign w:val="top"/>
          </w:tcPr>
          <w:p>
            <w:pPr>
              <w:pStyle w:val="TableText"/>
              <w:jc w:val="left"/>
            </w:pPr>
            <w:r>
              <w:t xml:space="preserve">Security operations</w:t>
            </w:r>
          </w:p>
        </w:tc>
        <w:tc>
          <w:tcPr>
            <w:tcW w:w="3180" w:type="dxa"/>
            <w:vAlign w:val="top"/>
          </w:tcPr>
          <w:p>
            <w:pPr>
              <w:pStyle w:val="TableText"/>
              <w:jc w:val="left"/>
            </w:pPr>
            <w:r>
              <w:t xml:space="preserve">No re-encryption job after a data key rotation; the blind-index key cannot be rotated without a rebuild</w:t>
            </w:r>
          </w:p>
        </w:tc>
        <w:tc>
          <w:tcPr>
            <w:tcW w:w="2627" w:type="dxa"/>
            <w:vAlign w:val="top"/>
          </w:tcPr>
          <w:p>
            <w:pPr>
              <w:pStyle w:val="TableText"/>
              <w:jc w:val="left"/>
            </w:pPr>
            <w:r>
              <w:t xml:space="preserve">Re-encrypt and re-index job (SOP-01)</w:t>
            </w:r>
          </w:p>
        </w:tc>
      </w:tr>
      <w:tr>
        <w:trPr>
          <w:cantSplit/>
        </w:trPr>
        <w:tc>
          <w:tcPr>
            <w:tcW w:w="832" w:type="dxa"/>
            <w:shd w:val="clear" w:color="auto" w:fill="F4F7FB"/>
            <w:noWrap/>
            <w:vAlign w:val="top"/>
          </w:tcPr>
          <w:p>
            <w:pPr>
              <w:pStyle w:val="TableText"/>
              <w:jc w:val="left"/>
            </w:pPr>
            <w:r>
              <w:t xml:space="preserve">KI-20</w:t>
            </w:r>
          </w:p>
        </w:tc>
        <w:tc>
          <w:tcPr>
            <w:tcW w:w="606" w:type="dxa"/>
            <w:shd w:val="clear" w:color="auto" w:fill="F4F7FB"/>
            <w:vAlign w:val="top"/>
          </w:tcPr>
          <w:p>
            <w:pPr>
              <w:pStyle w:val="TableText"/>
              <w:jc w:val="left"/>
            </w:pPr>
            <w:r>
              <w:t xml:space="preserve">4</w:t>
            </w:r>
          </w:p>
        </w:tc>
        <w:tc>
          <w:tcPr>
            <w:tcW w:w="1782" w:type="dxa"/>
            <w:shd w:val="clear" w:color="auto" w:fill="F4F7FB"/>
            <w:vAlign w:val="top"/>
          </w:tcPr>
          <w:p>
            <w:pPr>
              <w:pStyle w:val="TableText"/>
              <w:jc w:val="left"/>
            </w:pPr>
            <w:r>
              <w:t xml:space="preserve">Sales</w:t>
            </w:r>
          </w:p>
        </w:tc>
        <w:tc>
          <w:tcPr>
            <w:tcW w:w="3180" w:type="dxa"/>
            <w:shd w:val="clear" w:color="auto" w:fill="F4F7FB"/>
            <w:vAlign w:val="top"/>
          </w:tcPr>
          <w:p>
            <w:pPr>
              <w:pStyle w:val="TableText"/>
              <w:jc w:val="left"/>
            </w:pPr>
            <w:r>
              <w:t xml:space="preserve">Two concurrent purchases with the same key: the second gets 409 instead of a replay. No double charge is possible</w:t>
            </w:r>
          </w:p>
        </w:tc>
        <w:tc>
          <w:tcPr>
            <w:tcW w:w="2627" w:type="dxa"/>
            <w:shd w:val="clear" w:color="auto" w:fill="F4F7FB"/>
            <w:vAlign w:val="top"/>
          </w:tcPr>
          <w:p>
            <w:pPr>
              <w:pStyle w:val="TableText"/>
              <w:jc w:val="left"/>
            </w:pPr>
            <w:r>
              <w:t xml:space="preserve">Return the stored order on conflict</w:t>
            </w:r>
          </w:p>
        </w:tc>
      </w:tr>
      <w:tr>
        <w:trPr>
          <w:cantSplit/>
        </w:trPr>
        <w:tc>
          <w:tcPr>
            <w:tcW w:w="832" w:type="dxa"/>
            <w:noWrap/>
            <w:vAlign w:val="top"/>
          </w:tcPr>
          <w:p>
            <w:pPr>
              <w:pStyle w:val="TableText"/>
              <w:jc w:val="left"/>
            </w:pPr>
            <w:r>
              <w:t xml:space="preserve">KI-21</w:t>
            </w:r>
          </w:p>
        </w:tc>
        <w:tc>
          <w:tcPr>
            <w:tcW w:w="606" w:type="dxa"/>
            <w:vAlign w:val="top"/>
          </w:tcPr>
          <w:p>
            <w:pPr>
              <w:pStyle w:val="TableText"/>
              <w:jc w:val="left"/>
            </w:pPr>
            <w:r>
              <w:t xml:space="preserve">4</w:t>
            </w:r>
          </w:p>
        </w:tc>
        <w:tc>
          <w:tcPr>
            <w:tcW w:w="1782" w:type="dxa"/>
            <w:vAlign w:val="top"/>
          </w:tcPr>
          <w:p>
            <w:pPr>
              <w:pStyle w:val="TableText"/>
              <w:jc w:val="left"/>
            </w:pPr>
            <w:r>
              <w:t xml:space="preserve">Rules</w:t>
            </w:r>
          </w:p>
        </w:tc>
        <w:tc>
          <w:tcPr>
            <w:tcW w:w="3180" w:type="dxa"/>
            <w:vAlign w:val="top"/>
          </w:tcPr>
          <w:p>
            <w:pPr>
              <w:pStyle w:val="TableText"/>
              <w:jc w:val="left"/>
            </w:pPr>
            <w:r>
              <w:t xml:space="preserve">The commission validator checks caps only where the rule names the product literally; runtime still caps</w:t>
            </w:r>
          </w:p>
        </w:tc>
        <w:tc>
          <w:tcPr>
            <w:tcW w:w="2627" w:type="dxa"/>
            <w:vAlign w:val="top"/>
          </w:tcPr>
          <w:p>
            <w:pPr>
              <w:pStyle w:val="TableText"/>
              <w:jc w:val="left"/>
            </w:pPr>
            <w:r>
              <w:t xml:space="preserve">Validate every product and partner type</w:t>
            </w:r>
          </w:p>
        </w:tc>
      </w:tr>
      <w:tr>
        <w:trPr>
          <w:cantSplit/>
        </w:trPr>
        <w:tc>
          <w:tcPr>
            <w:tcW w:w="832" w:type="dxa"/>
            <w:shd w:val="clear" w:color="auto" w:fill="F4F7FB"/>
            <w:noWrap/>
            <w:vAlign w:val="top"/>
          </w:tcPr>
          <w:p>
            <w:pPr>
              <w:pStyle w:val="TableText"/>
              <w:jc w:val="left"/>
            </w:pPr>
            <w:r>
              <w:t xml:space="preserve">KI-22</w:t>
            </w:r>
          </w:p>
        </w:tc>
        <w:tc>
          <w:tcPr>
            <w:tcW w:w="606" w:type="dxa"/>
            <w:shd w:val="clear" w:color="auto" w:fill="F4F7FB"/>
            <w:vAlign w:val="top"/>
          </w:tcPr>
          <w:p>
            <w:pPr>
              <w:pStyle w:val="TableText"/>
              <w:jc w:val="left"/>
            </w:pPr>
            <w:r>
              <w:t xml:space="preserve">4</w:t>
            </w:r>
          </w:p>
        </w:tc>
        <w:tc>
          <w:tcPr>
            <w:tcW w:w="1782" w:type="dxa"/>
            <w:shd w:val="clear" w:color="auto" w:fill="F4F7FB"/>
            <w:vAlign w:val="top"/>
          </w:tcPr>
          <w:p>
            <w:pPr>
              <w:pStyle w:val="TableText"/>
              <w:jc w:val="left"/>
            </w:pPr>
            <w:r>
              <w:t xml:space="preserve">Security</w:t>
            </w:r>
          </w:p>
        </w:tc>
        <w:tc>
          <w:tcPr>
            <w:tcW w:w="3180" w:type="dxa"/>
            <w:shd w:val="clear" w:color="auto" w:fill="F4F7FB"/>
            <w:vAlign w:val="top"/>
          </w:tcPr>
          <w:p>
            <w:pPr>
              <w:pStyle w:val="TableText"/>
              <w:jc w:val="left"/>
            </w:pPr>
            <w:r>
              <w:t xml:space="preserve">The request body is read before authentication</w:t>
            </w:r>
          </w:p>
        </w:tc>
        <w:tc>
          <w:tcPr>
            <w:tcW w:w="2627" w:type="dxa"/>
            <w:shd w:val="clear" w:color="auto" w:fill="F4F7FB"/>
            <w:vAlign w:val="top"/>
          </w:tcPr>
          <w:p>
            <w:pPr>
              <w:pStyle w:val="TableText"/>
              <w:jc w:val="left"/>
            </w:pPr>
            <w:r>
              <w:t xml:space="preserve">Authenticate first on non-public routes</w:t>
            </w:r>
          </w:p>
        </w:tc>
      </w:tr>
      <w:tr>
        <w:trPr>
          <w:cantSplit/>
        </w:trPr>
        <w:tc>
          <w:tcPr>
            <w:tcW w:w="832" w:type="dxa"/>
            <w:noWrap/>
            <w:vAlign w:val="top"/>
          </w:tcPr>
          <w:p>
            <w:pPr>
              <w:pStyle w:val="TableText"/>
              <w:jc w:val="left"/>
            </w:pPr>
            <w:r>
              <w:t xml:space="preserve">KI-23</w:t>
            </w:r>
          </w:p>
        </w:tc>
        <w:tc>
          <w:tcPr>
            <w:tcW w:w="606" w:type="dxa"/>
            <w:vAlign w:val="top"/>
          </w:tcPr>
          <w:p>
            <w:pPr>
              <w:pStyle w:val="TableText"/>
              <w:jc w:val="left"/>
            </w:pPr>
            <w:r>
              <w:t xml:space="preserve">4</w:t>
            </w:r>
          </w:p>
        </w:tc>
        <w:tc>
          <w:tcPr>
            <w:tcW w:w="1782" w:type="dxa"/>
            <w:vAlign w:val="top"/>
          </w:tcPr>
          <w:p>
            <w:pPr>
              <w:pStyle w:val="TableText"/>
              <w:jc w:val="left"/>
            </w:pPr>
            <w:r>
              <w:t xml:space="preserve">Security</w:t>
            </w:r>
          </w:p>
        </w:tc>
        <w:tc>
          <w:tcPr>
            <w:tcW w:w="3180" w:type="dxa"/>
            <w:vAlign w:val="top"/>
          </w:tcPr>
          <w:p>
            <w:pPr>
              <w:pStyle w:val="TableText"/>
              <w:jc w:val="left"/>
            </w:pPr>
            <w:r>
              <w:t xml:space="preserve">Customers cannot revoke their own one-hour tokens</w:t>
            </w:r>
          </w:p>
        </w:tc>
        <w:tc>
          <w:tcPr>
            <w:tcW w:w="2627" w:type="dxa"/>
            <w:vAlign w:val="top"/>
          </w:tcPr>
          <w:p>
            <w:pPr>
              <w:pStyle w:val="TableText"/>
              <w:jc w:val="left"/>
            </w:pPr>
            <w:r>
              <w:t xml:space="preserve">Customer sign-out, or a shorter lifetime with refresh</w:t>
            </w:r>
          </w:p>
        </w:tc>
      </w:tr>
      <w:tr>
        <w:trPr>
          <w:cantSplit/>
        </w:trPr>
        <w:tc>
          <w:tcPr>
            <w:tcW w:w="832" w:type="dxa"/>
            <w:shd w:val="clear" w:color="auto" w:fill="F4F7FB"/>
            <w:noWrap/>
            <w:vAlign w:val="top"/>
          </w:tcPr>
          <w:p>
            <w:pPr>
              <w:pStyle w:val="TableText"/>
              <w:jc w:val="left"/>
            </w:pPr>
            <w:r>
              <w:t xml:space="preserve">KI-24</w:t>
            </w:r>
          </w:p>
        </w:tc>
        <w:tc>
          <w:tcPr>
            <w:tcW w:w="606" w:type="dxa"/>
            <w:shd w:val="clear" w:color="auto" w:fill="F4F7FB"/>
            <w:vAlign w:val="top"/>
          </w:tcPr>
          <w:p>
            <w:pPr>
              <w:pStyle w:val="TableText"/>
              <w:jc w:val="left"/>
            </w:pPr>
            <w:r>
              <w:t xml:space="preserve">4</w:t>
            </w:r>
          </w:p>
        </w:tc>
        <w:tc>
          <w:tcPr>
            <w:tcW w:w="1782" w:type="dxa"/>
            <w:shd w:val="clear" w:color="auto" w:fill="F4F7FB"/>
            <w:noWrap/>
            <w:vAlign w:val="top"/>
          </w:tcPr>
          <w:p>
            <w:pPr>
              <w:pStyle w:val="TableText"/>
              <w:jc w:val="left"/>
            </w:pPr>
            <w:r>
              <w:t xml:space="preserve">Roll-out</w:t>
            </w:r>
          </w:p>
        </w:tc>
        <w:tc>
          <w:tcPr>
            <w:tcW w:w="3180" w:type="dxa"/>
            <w:shd w:val="clear" w:color="auto" w:fill="F4F7FB"/>
            <w:vAlign w:val="top"/>
          </w:tcPr>
          <w:p>
            <w:pPr>
              <w:pStyle w:val="TableText"/>
              <w:jc w:val="left"/>
            </w:pPr>
            <w:r>
              <w:t xml:space="preserve">No fact supports a percentage cohort, so</w:t>
            </w:r>
            <w:r>
              <w:t xml:space="preserve"> </w:t>
            </w:r>
            <w:r>
              <w:t xml:space="preserve">“</w:t>
            </w:r>
            <w:r>
              <w:t xml:space="preserve">10 % of the base</w:t>
            </w:r>
            <w:r>
              <w:t xml:space="preserve">”</w:t>
            </w:r>
            <w:r>
              <w:t xml:space="preserve"> </w:t>
            </w:r>
            <w:r>
              <w:t xml:space="preserve">needs a code change</w:t>
            </w:r>
          </w:p>
        </w:tc>
        <w:tc>
          <w:tcPr>
            <w:tcW w:w="2627" w:type="dxa"/>
            <w:shd w:val="clear" w:color="auto" w:fill="F4F7FB"/>
            <w:vAlign w:val="top"/>
          </w:tcPr>
          <w:p>
            <w:pPr>
              <w:pStyle w:val="TableText"/>
              <w:jc w:val="left"/>
            </w:pPr>
            <w:r>
              <w:t xml:space="preserve">Add a stable cohort bucket fact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9" w:name="_Toc300000035"/>
      <w:r>
        <w:rPr>
          <w:rStyle w:val="BookTitle"/>
          <w:bCs w:val="0"/>
          <w:i w:val="0"/>
          <w:iCs w:val="0"/>
          <w:spacing w:val="0"/>
        </w:rPr>
        <w:t xml:space="preserve">Appendix</w:t>
      </w:r>
      <w:bookmarkEnd w:id="39"/>
    </w:p>
    <w:p>
      <w:pPr>
        <w:pStyle w:val="Heading2"/>
      </w:pPr>
      <w:bookmarkStart w:id="40" w:name="_Toc300000036"/>
      <w:r>
        <w:t xml:space="preserve">Fixed known issues</w:t>
      </w:r>
      <w:bookmarkEnd w:id="4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4"/>
        <w:gridCol w:w="606"/>
        <w:gridCol w:w="1796"/>
        <w:gridCol w:w="4331"/>
        <w:gridCol w:w="1460"/>
      </w:tblGrid>
      <w:tr>
        <w:trPr>
          <w:cantSplit/>
          <w:tblHeader/>
        </w:trPr>
        <w:tc>
          <w:tcPr>
            <w:tcW w:w="834" w:type="dxa"/>
            <w:shd w:val="clear" w:color="auto" w:fill="0F4761"/>
            <w:vAlign w:val="center"/>
          </w:tcPr>
          <w:p>
            <w:pPr>
              <w:pStyle w:val="TableHeading"/>
              <w:jc w:val="left"/>
            </w:pPr>
            <w:r>
              <w:rPr>
                <w:color w:val="FFFFFF"/>
              </w:rPr>
              <w:t xml:space="preserve">ID</w:t>
            </w:r>
          </w:p>
        </w:tc>
        <w:tc>
          <w:tcPr>
            <w:tcW w:w="606" w:type="dxa"/>
            <w:shd w:val="clear" w:color="auto" w:fill="0F4761"/>
            <w:vAlign w:val="center"/>
          </w:tcPr>
          <w:p>
            <w:pPr>
              <w:pStyle w:val="TableHeading"/>
              <w:jc w:val="left"/>
            </w:pPr>
            <w:r>
              <w:rPr>
                <w:color w:val="FFFFFF"/>
              </w:rPr>
              <w:t xml:space="preserve">Sev</w:t>
            </w:r>
          </w:p>
        </w:tc>
        <w:tc>
          <w:tcPr>
            <w:tcW w:w="1796" w:type="dxa"/>
            <w:shd w:val="clear" w:color="auto" w:fill="0F4761"/>
            <w:vAlign w:val="center"/>
          </w:tcPr>
          <w:p>
            <w:pPr>
              <w:pStyle w:val="TableHeading"/>
              <w:jc w:val="left"/>
            </w:pPr>
            <w:r>
              <w:rPr>
                <w:color w:val="FFFFFF"/>
              </w:rPr>
              <w:t xml:space="preserve">Area</w:t>
            </w:r>
          </w:p>
        </w:tc>
        <w:tc>
          <w:tcPr>
            <w:tcW w:w="4331" w:type="dxa"/>
            <w:shd w:val="clear" w:color="auto" w:fill="0F4761"/>
            <w:vAlign w:val="center"/>
          </w:tcPr>
          <w:p>
            <w:pPr>
              <w:pStyle w:val="TableHeading"/>
              <w:jc w:val="left"/>
            </w:pPr>
            <w:r>
              <w:rPr>
                <w:color w:val="FFFFFF"/>
              </w:rPr>
              <w:t xml:space="preserve">Fix</w:t>
            </w:r>
          </w:p>
        </w:tc>
        <w:tc>
          <w:tcPr>
            <w:tcW w:w="1460" w:type="dxa"/>
            <w:shd w:val="clear" w:color="auto" w:fill="0F4761"/>
            <w:vAlign w:val="center"/>
          </w:tcPr>
          <w:p>
            <w:pPr>
              <w:pStyle w:val="TableHeading"/>
              <w:jc w:val="left"/>
            </w:pPr>
            <w:r>
              <w:rPr>
                <w:color w:val="FFFFFF"/>
              </w:rPr>
              <w:t xml:space="preserve">Regression</w:t>
            </w:r>
          </w:p>
        </w:tc>
      </w:tr>
      <w:tr>
        <w:trPr>
          <w:cantSplit/>
        </w:trPr>
        <w:tc>
          <w:tcPr>
            <w:tcW w:w="834" w:type="dxa"/>
            <w:noWrap/>
            <w:vAlign w:val="top"/>
          </w:tcPr>
          <w:p>
            <w:pPr>
              <w:pStyle w:val="TableText"/>
              <w:jc w:val="left"/>
            </w:pPr>
            <w:r>
              <w:t xml:space="preserve">KI-01</w:t>
            </w:r>
          </w:p>
        </w:tc>
        <w:tc>
          <w:tcPr>
            <w:tcW w:w="606" w:type="dxa"/>
            <w:vAlign w:val="top"/>
          </w:tcPr>
          <w:p>
            <w:pPr>
              <w:pStyle w:val="TableText"/>
              <w:jc w:val="left"/>
            </w:pPr>
            <w:r>
              <w:t xml:space="preserve">1</w:t>
            </w:r>
          </w:p>
        </w:tc>
        <w:tc>
          <w:tcPr>
            <w:tcW w:w="1796" w:type="dxa"/>
            <w:vAlign w:val="top"/>
          </w:tcPr>
          <w:p>
            <w:pPr>
              <w:pStyle w:val="TableText"/>
              <w:jc w:val="left"/>
            </w:pPr>
            <w:r>
              <w:t xml:space="preserve">Security</w:t>
            </w:r>
          </w:p>
        </w:tc>
        <w:tc>
          <w:tcPr>
            <w:tcW w:w="4331" w:type="dxa"/>
            <w:vAlign w:val="top"/>
          </w:tcPr>
          <w:p>
            <w:pPr>
              <w:pStyle w:val="TableText"/>
              <w:jc w:val="left"/>
            </w:pPr>
            <w:r>
              <w:t xml:space="preserve">Seed job refuses to run unless demo mode is on; no seed job in the Kubernetes manifests</w:t>
            </w:r>
          </w:p>
        </w:tc>
        <w:tc>
          <w:tcPr>
            <w:tcW w:w="1460" w:type="dxa"/>
            <w:noWrap/>
            <w:vAlign w:val="top"/>
          </w:tcPr>
          <w:p>
            <w:pPr>
              <w:pStyle w:val="TableText"/>
              <w:jc w:val="left"/>
            </w:pPr>
            <w:r>
              <w:t xml:space="preserve">TC-134</w:t>
            </w:r>
          </w:p>
        </w:tc>
      </w:tr>
      <w:tr>
        <w:trPr>
          <w:cantSplit/>
        </w:trPr>
        <w:tc>
          <w:tcPr>
            <w:tcW w:w="834" w:type="dxa"/>
            <w:shd w:val="clear" w:color="auto" w:fill="F4F7FB"/>
            <w:noWrap/>
            <w:vAlign w:val="top"/>
          </w:tcPr>
          <w:p>
            <w:pPr>
              <w:pStyle w:val="TableText"/>
              <w:jc w:val="left"/>
            </w:pPr>
            <w:r>
              <w:t xml:space="preserve">KI-02</w:t>
            </w:r>
          </w:p>
        </w:tc>
        <w:tc>
          <w:tcPr>
            <w:tcW w:w="606" w:type="dxa"/>
            <w:shd w:val="clear" w:color="auto" w:fill="F4F7FB"/>
            <w:vAlign w:val="top"/>
          </w:tcPr>
          <w:p>
            <w:pPr>
              <w:pStyle w:val="TableText"/>
              <w:jc w:val="left"/>
            </w:pPr>
            <w:r>
              <w:t xml:space="preserve">1</w:t>
            </w:r>
          </w:p>
        </w:tc>
        <w:tc>
          <w:tcPr>
            <w:tcW w:w="1796" w:type="dxa"/>
            <w:shd w:val="clear" w:color="auto" w:fill="F4F7FB"/>
            <w:vAlign w:val="top"/>
          </w:tcPr>
          <w:p>
            <w:pPr>
              <w:pStyle w:val="TableText"/>
              <w:jc w:val="left"/>
            </w:pPr>
            <w:r>
              <w:t xml:space="preserve">Sales</w:t>
            </w:r>
          </w:p>
        </w:tc>
        <w:tc>
          <w:tcPr>
            <w:tcW w:w="4331" w:type="dxa"/>
            <w:shd w:val="clear" w:color="auto" w:fill="F4F7FB"/>
            <w:vAlign w:val="top"/>
          </w:tcPr>
          <w:p>
            <w:pPr>
              <w:pStyle w:val="TableText"/>
              <w:jc w:val="left"/>
            </w:pPr>
            <w:r>
              <w:t xml:space="preserve">Saga compensation: issued lines cancelled, full refund through the breaker,</w:t>
            </w:r>
            <w:r>
              <w:t xml:space="preserve"> </w:t>
            </w:r>
            <w:r>
              <w:rPr>
                <w:rStyle w:val="CodeChar"/>
              </w:rPr>
              <w:t xml:space="preserve">compensation_failed</w:t>
            </w:r>
            <w:r>
              <w:t xml:space="preserve"> </w:t>
            </w:r>
            <w:r>
              <w:t xml:space="preserve">flagged by reconciliation</w:t>
            </w:r>
          </w:p>
        </w:tc>
        <w:tc>
          <w:tcPr>
            <w:tcW w:w="1460" w:type="dxa"/>
            <w:shd w:val="clear" w:color="auto" w:fill="F4F7FB"/>
            <w:noWrap/>
            <w:vAlign w:val="top"/>
          </w:tcPr>
          <w:p>
            <w:pPr>
              <w:pStyle w:val="TableText"/>
              <w:jc w:val="left"/>
            </w:pPr>
            <w:r>
              <w:t xml:space="preserve">TC-080</w:t>
            </w:r>
          </w:p>
        </w:tc>
      </w:tr>
      <w:tr>
        <w:trPr>
          <w:cantSplit/>
        </w:trPr>
        <w:tc>
          <w:tcPr>
            <w:tcW w:w="834" w:type="dxa"/>
            <w:noWrap/>
            <w:vAlign w:val="top"/>
          </w:tcPr>
          <w:p>
            <w:pPr>
              <w:pStyle w:val="TableText"/>
              <w:jc w:val="left"/>
            </w:pPr>
            <w:r>
              <w:t xml:space="preserve">KI-05</w:t>
            </w:r>
          </w:p>
        </w:tc>
        <w:tc>
          <w:tcPr>
            <w:tcW w:w="606" w:type="dxa"/>
            <w:vAlign w:val="top"/>
          </w:tcPr>
          <w:p>
            <w:pPr>
              <w:pStyle w:val="TableText"/>
              <w:jc w:val="left"/>
            </w:pPr>
            <w:r>
              <w:t xml:space="preserve">2</w:t>
            </w:r>
          </w:p>
        </w:tc>
        <w:tc>
          <w:tcPr>
            <w:tcW w:w="1796" w:type="dxa"/>
            <w:vAlign w:val="top"/>
          </w:tcPr>
          <w:p>
            <w:pPr>
              <w:pStyle w:val="TableText"/>
              <w:jc w:val="left"/>
            </w:pPr>
            <w:r>
              <w:t xml:space="preserve">Journeys</w:t>
            </w:r>
          </w:p>
        </w:tc>
        <w:tc>
          <w:tcPr>
            <w:tcW w:w="4331" w:type="dxa"/>
            <w:vAlign w:val="top"/>
          </w:tcPr>
          <w:p>
            <w:pPr>
              <w:pStyle w:val="TableText"/>
              <w:jc w:val="left"/>
            </w:pPr>
            <w:r>
              <w:t xml:space="preserve">Journey runs page through all due touchpoints; window-blocked touchpoints are deferred, not skipped</w:t>
            </w:r>
          </w:p>
        </w:tc>
        <w:tc>
          <w:tcPr>
            <w:tcW w:w="1460" w:type="dxa"/>
            <w:noWrap/>
            <w:vAlign w:val="top"/>
          </w:tcPr>
          <w:p>
            <w:pPr>
              <w:pStyle w:val="TableText"/>
              <w:jc w:val="left"/>
            </w:pPr>
            <w:r>
              <w:t xml:space="preserve">TC-050</w:t>
            </w:r>
          </w:p>
        </w:tc>
      </w:tr>
      <w:tr>
        <w:trPr>
          <w:cantSplit/>
        </w:trPr>
        <w:tc>
          <w:tcPr>
            <w:tcW w:w="834" w:type="dxa"/>
            <w:shd w:val="clear" w:color="auto" w:fill="F4F7FB"/>
            <w:noWrap/>
            <w:vAlign w:val="top"/>
          </w:tcPr>
          <w:p>
            <w:pPr>
              <w:pStyle w:val="TableText"/>
              <w:jc w:val="left"/>
            </w:pPr>
            <w:r>
              <w:t xml:space="preserve">KI-06</w:t>
            </w:r>
          </w:p>
        </w:tc>
        <w:tc>
          <w:tcPr>
            <w:tcW w:w="606" w:type="dxa"/>
            <w:shd w:val="clear" w:color="auto" w:fill="F4F7FB"/>
            <w:vAlign w:val="top"/>
          </w:tcPr>
          <w:p>
            <w:pPr>
              <w:pStyle w:val="TableText"/>
              <w:jc w:val="left"/>
            </w:pPr>
            <w:r>
              <w:t xml:space="preserve">—</w:t>
            </w:r>
          </w:p>
        </w:tc>
        <w:tc>
          <w:tcPr>
            <w:tcW w:w="1796" w:type="dxa"/>
            <w:shd w:val="clear" w:color="auto" w:fill="F4F7FB"/>
            <w:vAlign w:val="top"/>
          </w:tcPr>
          <w:p>
            <w:pPr>
              <w:pStyle w:val="TableText"/>
              <w:jc w:val="left"/>
            </w:pPr>
            <w:r>
              <w:t xml:space="preserve">Security</w:t>
            </w:r>
          </w:p>
        </w:tc>
        <w:tc>
          <w:tcPr>
            <w:tcW w:w="4331" w:type="dxa"/>
            <w:shd w:val="clear" w:color="auto" w:fill="F4F7FB"/>
            <w:vAlign w:val="top"/>
          </w:tcPr>
          <w:p>
            <w:pPr>
              <w:pStyle w:val="TableText"/>
              <w:jc w:val="left"/>
            </w:pPr>
            <w:r>
              <w:t xml:space="preserve">MFA step checks status and lock, counts failures across both factors, refuses code replay</w:t>
            </w:r>
          </w:p>
        </w:tc>
        <w:tc>
          <w:tcPr>
            <w:tcW w:w="1460" w:type="dxa"/>
            <w:shd w:val="clear" w:color="auto" w:fill="F4F7FB"/>
            <w:noWrap/>
            <w:vAlign w:val="top"/>
          </w:tcPr>
          <w:p>
            <w:pPr>
              <w:pStyle w:val="TableText"/>
              <w:jc w:val="left"/>
            </w:pPr>
            <w:r>
              <w:t xml:space="preserve">TC-020</w:t>
            </w:r>
          </w:p>
        </w:tc>
      </w:tr>
      <w:tr>
        <w:trPr>
          <w:cantSplit/>
        </w:trPr>
        <w:tc>
          <w:tcPr>
            <w:tcW w:w="834" w:type="dxa"/>
            <w:noWrap/>
            <w:vAlign w:val="top"/>
          </w:tcPr>
          <w:p>
            <w:pPr>
              <w:pStyle w:val="TableText"/>
              <w:jc w:val="left"/>
            </w:pPr>
            <w:r>
              <w:t xml:space="preserve">KI-09</w:t>
            </w:r>
          </w:p>
        </w:tc>
        <w:tc>
          <w:tcPr>
            <w:tcW w:w="606" w:type="dxa"/>
            <w:vAlign w:val="top"/>
          </w:tcPr>
          <w:p>
            <w:pPr>
              <w:pStyle w:val="TableText"/>
              <w:jc w:val="left"/>
            </w:pPr>
            <w:r>
              <w:t xml:space="preserve">1</w:t>
            </w:r>
          </w:p>
        </w:tc>
        <w:tc>
          <w:tcPr>
            <w:tcW w:w="1796" w:type="dxa"/>
            <w:vAlign w:val="top"/>
          </w:tcPr>
          <w:p>
            <w:pPr>
              <w:pStyle w:val="TableText"/>
              <w:jc w:val="left"/>
            </w:pPr>
            <w:r>
              <w:t xml:space="preserve">Compliance</w:t>
            </w:r>
          </w:p>
        </w:tc>
        <w:tc>
          <w:tcPr>
            <w:tcW w:w="4331" w:type="dxa"/>
            <w:vAlign w:val="top"/>
          </w:tcPr>
          <w:p>
            <w:pPr>
              <w:pStyle w:val="TableText"/>
              <w:jc w:val="left"/>
            </w:pPr>
            <w:r>
              <w:t xml:space="preserve">Voice campaign checks consent, DNC, window and caps for each call and records the contact</w:t>
            </w:r>
          </w:p>
        </w:tc>
        <w:tc>
          <w:tcPr>
            <w:tcW w:w="1460" w:type="dxa"/>
            <w:noWrap/>
            <w:vAlign w:val="top"/>
          </w:tcPr>
          <w:p>
            <w:pPr>
              <w:pStyle w:val="TableText"/>
              <w:jc w:val="left"/>
            </w:pPr>
            <w:r>
              <w:t xml:space="preserve">TC-135</w:t>
            </w:r>
          </w:p>
        </w:tc>
      </w:tr>
      <w:tr>
        <w:trPr>
          <w:cantSplit/>
        </w:trPr>
        <w:tc>
          <w:tcPr>
            <w:tcW w:w="834" w:type="dxa"/>
            <w:shd w:val="clear" w:color="auto" w:fill="F4F7FB"/>
            <w:noWrap/>
            <w:vAlign w:val="top"/>
          </w:tcPr>
          <w:p>
            <w:pPr>
              <w:pStyle w:val="TableText"/>
              <w:jc w:val="left"/>
            </w:pPr>
            <w:r>
              <w:t xml:space="preserve">KI-11</w:t>
            </w:r>
          </w:p>
        </w:tc>
        <w:tc>
          <w:tcPr>
            <w:tcW w:w="606" w:type="dxa"/>
            <w:shd w:val="clear" w:color="auto" w:fill="F4F7FB"/>
            <w:vAlign w:val="top"/>
          </w:tcPr>
          <w:p>
            <w:pPr>
              <w:pStyle w:val="TableText"/>
              <w:jc w:val="left"/>
            </w:pPr>
            <w:r>
              <w:t xml:space="preserve">—</w:t>
            </w:r>
          </w:p>
        </w:tc>
        <w:tc>
          <w:tcPr>
            <w:tcW w:w="1796" w:type="dxa"/>
            <w:shd w:val="clear" w:color="auto" w:fill="F4F7FB"/>
            <w:vAlign w:val="top"/>
          </w:tcPr>
          <w:p>
            <w:pPr>
              <w:pStyle w:val="TableText"/>
              <w:jc w:val="left"/>
            </w:pPr>
            <w:r>
              <w:t xml:space="preserve">API</w:t>
            </w:r>
          </w:p>
        </w:tc>
        <w:tc>
          <w:tcPr>
            <w:tcW w:w="4331" w:type="dxa"/>
            <w:shd w:val="clear" w:color="auto" w:fill="F4F7FB"/>
            <w:vAlign w:val="top"/>
          </w:tcPr>
          <w:p>
            <w:pPr>
              <w:pStyle w:val="TableText"/>
              <w:jc w:val="left"/>
            </w:pPr>
            <w:r>
              <w:t xml:space="preserve">Malformed path encoding returns 400</w:t>
            </w:r>
          </w:p>
        </w:tc>
        <w:tc>
          <w:tcPr>
            <w:tcW w:w="1460" w:type="dxa"/>
            <w:shd w:val="clear" w:color="auto" w:fill="F4F7FB"/>
            <w:noWrap/>
            <w:vAlign w:val="top"/>
          </w:tcPr>
          <w:p>
            <w:pPr>
              <w:pStyle w:val="TableText"/>
              <w:jc w:val="left"/>
            </w:pPr>
            <w:r>
              <w:t xml:space="preserve">TC-129</w:t>
            </w:r>
          </w:p>
        </w:tc>
      </w:tr>
      <w:tr>
        <w:trPr>
          <w:cantSplit/>
        </w:trPr>
        <w:tc>
          <w:tcPr>
            <w:tcW w:w="834" w:type="dxa"/>
            <w:noWrap/>
            <w:vAlign w:val="top"/>
          </w:tcPr>
          <w:p>
            <w:pPr>
              <w:pStyle w:val="TableText"/>
              <w:jc w:val="left"/>
            </w:pPr>
            <w:r>
              <w:t xml:space="preserve">KI-14</w:t>
            </w:r>
          </w:p>
        </w:tc>
        <w:tc>
          <w:tcPr>
            <w:tcW w:w="606" w:type="dxa"/>
            <w:vAlign w:val="top"/>
          </w:tcPr>
          <w:p>
            <w:pPr>
              <w:pStyle w:val="TableText"/>
              <w:jc w:val="left"/>
            </w:pPr>
            <w:r>
              <w:t xml:space="preserve">4</w:t>
            </w:r>
          </w:p>
        </w:tc>
        <w:tc>
          <w:tcPr>
            <w:tcW w:w="1796" w:type="dxa"/>
            <w:vAlign w:val="top"/>
          </w:tcPr>
          <w:p>
            <w:pPr>
              <w:pStyle w:val="TableText"/>
              <w:jc w:val="left"/>
            </w:pPr>
            <w:r>
              <w:t xml:space="preserve">Security</w:t>
            </w:r>
          </w:p>
        </w:tc>
        <w:tc>
          <w:tcPr>
            <w:tcW w:w="4331" w:type="dxa"/>
            <w:vAlign w:val="top"/>
          </w:tcPr>
          <w:p>
            <w:pPr>
              <w:pStyle w:val="TableText"/>
              <w:jc w:val="left"/>
            </w:pPr>
            <w:r>
              <w:rPr>
                <w:rStyle w:val="CodeChar"/>
              </w:rPr>
              <w:t xml:space="preserve">/metrics</w:t>
            </w:r>
            <w:r>
              <w:t xml:space="preserve"> </w:t>
            </w:r>
            <w:r>
              <w:t xml:space="preserve">requires a bearer token when</w:t>
            </w:r>
            <w:r>
              <w:t xml:space="preserve"> </w:t>
            </w:r>
            <w:r>
              <w:rPr>
                <w:rStyle w:val="CodeChar"/>
              </w:rPr>
              <w:t xml:space="preserve">METRICS_TOKEN</w:t>
            </w:r>
            <w:r>
              <w:t xml:space="preserve"> </w:t>
            </w:r>
            <w:r>
              <w:t xml:space="preserve">is set</w:t>
            </w:r>
          </w:p>
        </w:tc>
        <w:tc>
          <w:tcPr>
            <w:tcW w:w="1460" w:type="dxa"/>
            <w:noWrap/>
            <w:vAlign w:val="top"/>
          </w:tcPr>
          <w:p>
            <w:pPr>
              <w:pStyle w:val="TableText"/>
              <w:jc w:val="left"/>
            </w:pPr>
            <w:r>
              <w:t xml:space="preserve">TC-132</w:t>
            </w:r>
          </w:p>
        </w:tc>
      </w:tr>
      <w:tr>
        <w:trPr>
          <w:cantSplit/>
        </w:trPr>
        <w:tc>
          <w:tcPr>
            <w:tcW w:w="834" w:type="dxa"/>
            <w:shd w:val="clear" w:color="auto" w:fill="F4F7FB"/>
            <w:noWrap/>
            <w:vAlign w:val="top"/>
          </w:tcPr>
          <w:p>
            <w:pPr>
              <w:pStyle w:val="TableText"/>
              <w:jc w:val="left"/>
            </w:pPr>
            <w:r>
              <w:t xml:space="preserve">KI-15</w:t>
            </w:r>
          </w:p>
        </w:tc>
        <w:tc>
          <w:tcPr>
            <w:tcW w:w="606" w:type="dxa"/>
            <w:shd w:val="clear" w:color="auto" w:fill="F4F7FB"/>
            <w:vAlign w:val="top"/>
          </w:tcPr>
          <w:p>
            <w:pPr>
              <w:pStyle w:val="TableText"/>
              <w:jc w:val="left"/>
            </w:pPr>
            <w:r>
              <w:t xml:space="preserve">—</w:t>
            </w:r>
          </w:p>
        </w:tc>
        <w:tc>
          <w:tcPr>
            <w:tcW w:w="1796" w:type="dxa"/>
            <w:shd w:val="clear" w:color="auto" w:fill="F4F7FB"/>
            <w:vAlign w:val="top"/>
          </w:tcPr>
          <w:p>
            <w:pPr>
              <w:pStyle w:val="TableText"/>
              <w:jc w:val="left"/>
            </w:pPr>
            <w:r>
              <w:t xml:space="preserve">Front end</w:t>
            </w:r>
          </w:p>
        </w:tc>
        <w:tc>
          <w:tcPr>
            <w:tcW w:w="4331" w:type="dxa"/>
            <w:shd w:val="clear" w:color="auto" w:fill="F4F7FB"/>
            <w:vAlign w:val="top"/>
          </w:tcPr>
          <w:p>
            <w:pPr>
              <w:pStyle w:val="TableText"/>
              <w:jc w:val="left"/>
            </w:pPr>
            <w:r>
              <w:t xml:space="preserve">Staff console, customer app and certificate verification pages present</w:t>
            </w:r>
          </w:p>
        </w:tc>
        <w:tc>
          <w:tcPr>
            <w:tcW w:w="1460" w:type="dxa"/>
            <w:shd w:val="clear" w:color="auto" w:fill="F4F7FB"/>
            <w:vAlign w:val="top"/>
          </w:tcPr>
          <w:p>
            <w:pPr>
              <w:pStyle w:val="TableText"/>
              <w:jc w:val="left"/>
            </w:pPr>
            <w:r>
              <w:t xml:space="preserve">Smoke test</w:t>
            </w:r>
          </w:p>
        </w:tc>
      </w:tr>
      <w:tr>
        <w:trPr>
          <w:cantSplit/>
        </w:trPr>
        <w:tc>
          <w:tcPr>
            <w:tcW w:w="834" w:type="dxa"/>
            <w:noWrap/>
            <w:vAlign w:val="top"/>
          </w:tcPr>
          <w:p>
            <w:pPr>
              <w:pStyle w:val="TableText"/>
              <w:jc w:val="left"/>
            </w:pPr>
            <w:r>
              <w:t xml:space="preserve">KI-25</w:t>
            </w:r>
          </w:p>
        </w:tc>
        <w:tc>
          <w:tcPr>
            <w:tcW w:w="606" w:type="dxa"/>
            <w:vAlign w:val="top"/>
          </w:tcPr>
          <w:p>
            <w:pPr>
              <w:pStyle w:val="TableText"/>
              <w:jc w:val="left"/>
            </w:pPr>
            <w:r>
              <w:t xml:space="preserve">2</w:t>
            </w:r>
          </w:p>
        </w:tc>
        <w:tc>
          <w:tcPr>
            <w:tcW w:w="1796" w:type="dxa"/>
            <w:vAlign w:val="top"/>
          </w:tcPr>
          <w:p>
            <w:pPr>
              <w:pStyle w:val="TableText"/>
              <w:jc w:val="left"/>
            </w:pPr>
            <w:r>
              <w:t xml:space="preserve">Voice bot</w:t>
            </w:r>
          </w:p>
        </w:tc>
        <w:tc>
          <w:tcPr>
            <w:tcW w:w="4331" w:type="dxa"/>
            <w:vAlign w:val="top"/>
          </w:tcPr>
          <w:p>
            <w:pPr>
              <w:pStyle w:val="TableText"/>
              <w:jc w:val="left"/>
            </w:pPr>
            <w:r>
              <w:t xml:space="preserve">Spoken plates with Vietnamese tens and motorbike plates parse</w:t>
            </w:r>
          </w:p>
        </w:tc>
        <w:tc>
          <w:tcPr>
            <w:tcW w:w="1460" w:type="dxa"/>
            <w:noWrap/>
            <w:vAlign w:val="top"/>
          </w:tcPr>
          <w:p>
            <w:pPr>
              <w:pStyle w:val="TableText"/>
              <w:jc w:val="left"/>
            </w:pPr>
            <w:r>
              <w:t xml:space="preserve">TC-065</w:t>
            </w:r>
          </w:p>
        </w:tc>
      </w:tr>
      <w:tr>
        <w:trPr>
          <w:cantSplit/>
        </w:trPr>
        <w:tc>
          <w:tcPr>
            <w:tcW w:w="834" w:type="dxa"/>
            <w:shd w:val="clear" w:color="auto" w:fill="F4F7FB"/>
            <w:noWrap/>
            <w:vAlign w:val="top"/>
          </w:tcPr>
          <w:p>
            <w:pPr>
              <w:pStyle w:val="TableText"/>
              <w:jc w:val="left"/>
            </w:pPr>
            <w:r>
              <w:t xml:space="preserve">KI-26</w:t>
            </w:r>
          </w:p>
        </w:tc>
        <w:tc>
          <w:tcPr>
            <w:tcW w:w="606" w:type="dxa"/>
            <w:shd w:val="clear" w:color="auto" w:fill="F4F7FB"/>
            <w:vAlign w:val="top"/>
          </w:tcPr>
          <w:p>
            <w:pPr>
              <w:pStyle w:val="TableText"/>
              <w:jc w:val="left"/>
            </w:pPr>
            <w:r>
              <w:t xml:space="preserve">3</w:t>
            </w:r>
          </w:p>
        </w:tc>
        <w:tc>
          <w:tcPr>
            <w:tcW w:w="1796" w:type="dxa"/>
            <w:shd w:val="clear" w:color="auto" w:fill="F4F7FB"/>
            <w:vAlign w:val="top"/>
          </w:tcPr>
          <w:p>
            <w:pPr>
              <w:pStyle w:val="TableText"/>
              <w:jc w:val="left"/>
            </w:pPr>
            <w:r>
              <w:t xml:space="preserve">Compliance</w:t>
            </w:r>
          </w:p>
        </w:tc>
        <w:tc>
          <w:tcPr>
            <w:tcW w:w="4331" w:type="dxa"/>
            <w:shd w:val="clear" w:color="auto" w:fill="F4F7FB"/>
            <w:vAlign w:val="top"/>
          </w:tcPr>
          <w:p>
            <w:pPr>
              <w:pStyle w:val="TableText"/>
              <w:jc w:val="left"/>
            </w:pPr>
            <w:r>
              <w:t xml:space="preserve">Copy guard also matches with spaces, dots, hyphens and underscores removed</w:t>
            </w:r>
          </w:p>
        </w:tc>
        <w:tc>
          <w:tcPr>
            <w:tcW w:w="1460" w:type="dxa"/>
            <w:shd w:val="clear" w:color="auto" w:fill="F4F7FB"/>
            <w:noWrap/>
            <w:vAlign w:val="top"/>
          </w:tcPr>
          <w:p>
            <w:pPr>
              <w:pStyle w:val="TableText"/>
              <w:jc w:val="left"/>
            </w:pPr>
            <w:r>
              <w:t xml:space="preserve">TC-061</w:t>
            </w:r>
          </w:p>
        </w:tc>
      </w:tr>
      <w:tr>
        <w:trPr>
          <w:cantSplit/>
        </w:trPr>
        <w:tc>
          <w:tcPr>
            <w:tcW w:w="834" w:type="dxa"/>
            <w:noWrap/>
            <w:vAlign w:val="top"/>
          </w:tcPr>
          <w:p>
            <w:pPr>
              <w:pStyle w:val="TableText"/>
              <w:jc w:val="left"/>
            </w:pPr>
            <w:r>
              <w:t xml:space="preserve">KI-27</w:t>
            </w:r>
          </w:p>
        </w:tc>
        <w:tc>
          <w:tcPr>
            <w:tcW w:w="606" w:type="dxa"/>
            <w:vAlign w:val="top"/>
          </w:tcPr>
          <w:p>
            <w:pPr>
              <w:pStyle w:val="TableText"/>
              <w:jc w:val="left"/>
            </w:pPr>
            <w:r>
              <w:t xml:space="preserve">3</w:t>
            </w:r>
          </w:p>
        </w:tc>
        <w:tc>
          <w:tcPr>
            <w:tcW w:w="1796" w:type="dxa"/>
            <w:vAlign w:val="top"/>
          </w:tcPr>
          <w:p>
            <w:pPr>
              <w:pStyle w:val="TableText"/>
              <w:jc w:val="left"/>
            </w:pPr>
            <w:r>
              <w:t xml:space="preserve">Identity operations</w:t>
            </w:r>
          </w:p>
        </w:tc>
        <w:tc>
          <w:tcPr>
            <w:tcW w:w="4331" w:type="dxa"/>
            <w:vAlign w:val="top"/>
          </w:tcPr>
          <w:p>
            <w:pPr>
              <w:pStyle w:val="TableText"/>
              <w:jc w:val="left"/>
            </w:pPr>
            <w:r>
              <w:t xml:space="preserve">Administrator unlock and MFA reset endpoint, audited, never reveals the seed</w:t>
            </w:r>
          </w:p>
        </w:tc>
        <w:tc>
          <w:tcPr>
            <w:tcW w:w="1460" w:type="dxa"/>
            <w:noWrap/>
            <w:vAlign w:val="top"/>
          </w:tcPr>
          <w:p>
            <w:pPr>
              <w:pStyle w:val="TableText"/>
              <w:jc w:val="left"/>
            </w:pPr>
            <w:r>
              <w:t xml:space="preserve">SOP-08</w:t>
            </w:r>
          </w:p>
        </w:tc>
      </w:tr>
      <w:tr>
        <w:trPr>
          <w:cantSplit/>
        </w:trPr>
        <w:tc>
          <w:tcPr>
            <w:tcW w:w="834" w:type="dxa"/>
            <w:shd w:val="clear" w:color="auto" w:fill="F4F7FB"/>
            <w:noWrap/>
            <w:vAlign w:val="top"/>
          </w:tcPr>
          <w:p>
            <w:pPr>
              <w:pStyle w:val="TableText"/>
              <w:jc w:val="left"/>
            </w:pPr>
            <w:r>
              <w:t xml:space="preserve">KI-28</w:t>
            </w:r>
          </w:p>
        </w:tc>
        <w:tc>
          <w:tcPr>
            <w:tcW w:w="606" w:type="dxa"/>
            <w:shd w:val="clear" w:color="auto" w:fill="F4F7FB"/>
            <w:vAlign w:val="top"/>
          </w:tcPr>
          <w:p>
            <w:pPr>
              <w:pStyle w:val="TableText"/>
              <w:jc w:val="left"/>
            </w:pPr>
            <w:r>
              <w:t xml:space="preserve">1</w:t>
            </w:r>
          </w:p>
        </w:tc>
        <w:tc>
          <w:tcPr>
            <w:tcW w:w="1796" w:type="dxa"/>
            <w:shd w:val="clear" w:color="auto" w:fill="F4F7FB"/>
            <w:vAlign w:val="top"/>
          </w:tcPr>
          <w:p>
            <w:pPr>
              <w:pStyle w:val="TableText"/>
              <w:jc w:val="left"/>
            </w:pPr>
            <w:r>
              <w:t xml:space="preserve">Configuration</w:t>
            </w:r>
          </w:p>
        </w:tc>
        <w:tc>
          <w:tcPr>
            <w:tcW w:w="4331" w:type="dxa"/>
            <w:shd w:val="clear" w:color="auto" w:fill="F4F7FB"/>
            <w:vAlign w:val="top"/>
          </w:tcPr>
          <w:p>
            <w:pPr>
              <w:pStyle w:val="TableText"/>
              <w:jc w:val="left"/>
            </w:pPr>
            <w:r>
              <w:t xml:space="preserve">Production refuses to start without</w:t>
            </w:r>
            <w:r>
              <w:t xml:space="preserve"> </w:t>
            </w:r>
            <w:r>
              <w:rPr>
                <w:rStyle w:val="CodeChar"/>
              </w:rPr>
              <w:t xml:space="preserve">DATABASE_URL</w:t>
            </w:r>
          </w:p>
        </w:tc>
        <w:tc>
          <w:tcPr>
            <w:tcW w:w="1460" w:type="dxa"/>
            <w:shd w:val="clear" w:color="auto" w:fill="F4F7FB"/>
            <w:noWrap/>
            <w:vAlign w:val="top"/>
          </w:tcPr>
          <w:p>
            <w:pPr>
              <w:pStyle w:val="TableText"/>
              <w:jc w:val="left"/>
            </w:pPr>
            <w:r>
              <w:t xml:space="preserve">TC-159</w:t>
            </w:r>
          </w:p>
        </w:tc>
      </w:tr>
      <w:tr>
        <w:trPr>
          <w:cantSplit/>
        </w:trPr>
        <w:tc>
          <w:tcPr>
            <w:tcW w:w="834" w:type="dxa"/>
            <w:noWrap/>
            <w:vAlign w:val="top"/>
          </w:tcPr>
          <w:p>
            <w:pPr>
              <w:pStyle w:val="TableText"/>
              <w:jc w:val="left"/>
            </w:pPr>
            <w:r>
              <w:t xml:space="preserve">KI-29</w:t>
            </w:r>
          </w:p>
        </w:tc>
        <w:tc>
          <w:tcPr>
            <w:tcW w:w="606" w:type="dxa"/>
            <w:vAlign w:val="top"/>
          </w:tcPr>
          <w:p>
            <w:pPr>
              <w:pStyle w:val="TableText"/>
              <w:jc w:val="left"/>
            </w:pPr>
            <w:r>
              <w:t xml:space="preserve">—</w:t>
            </w:r>
          </w:p>
        </w:tc>
        <w:tc>
          <w:tcPr>
            <w:tcW w:w="1796" w:type="dxa"/>
            <w:vAlign w:val="top"/>
          </w:tcPr>
          <w:p>
            <w:pPr>
              <w:pStyle w:val="TableText"/>
              <w:jc w:val="left"/>
            </w:pPr>
            <w:r>
              <w:t xml:space="preserve">Privacy</w:t>
            </w:r>
          </w:p>
        </w:tc>
        <w:tc>
          <w:tcPr>
            <w:tcW w:w="4331" w:type="dxa"/>
            <w:vAlign w:val="top"/>
          </w:tcPr>
          <w:p>
            <w:pPr>
              <w:pStyle w:val="TableText"/>
              <w:jc w:val="left"/>
            </w:pPr>
            <w:r>
              <w:t xml:space="preserve">Erasure also clears handoffs, claims text and voice signals and revokes sessions</w:t>
            </w:r>
          </w:p>
        </w:tc>
        <w:tc>
          <w:tcPr>
            <w:tcW w:w="1460" w:type="dxa"/>
            <w:noWrap/>
            <w:vAlign w:val="top"/>
          </w:tcPr>
          <w:p>
            <w:pPr>
              <w:pStyle w:val="TableText"/>
              <w:jc w:val="left"/>
            </w:pPr>
            <w:r>
              <w:t xml:space="preserve">TC-107</w:t>
            </w:r>
          </w:p>
        </w:tc>
      </w:tr>
      <w:tr>
        <w:trPr>
          <w:cantSplit/>
        </w:trPr>
        <w:tc>
          <w:tcPr>
            <w:tcW w:w="834" w:type="dxa"/>
            <w:shd w:val="clear" w:color="auto" w:fill="F4F7FB"/>
            <w:noWrap/>
            <w:vAlign w:val="top"/>
          </w:tcPr>
          <w:p>
            <w:pPr>
              <w:pStyle w:val="TableText"/>
              <w:jc w:val="left"/>
            </w:pPr>
            <w:r>
              <w:t xml:space="preserve">KI-30</w:t>
            </w:r>
          </w:p>
        </w:tc>
        <w:tc>
          <w:tcPr>
            <w:tcW w:w="606" w:type="dxa"/>
            <w:shd w:val="clear" w:color="auto" w:fill="F4F7FB"/>
            <w:vAlign w:val="top"/>
          </w:tcPr>
          <w:p>
            <w:pPr>
              <w:pStyle w:val="TableText"/>
              <w:jc w:val="left"/>
            </w:pPr>
            <w:r>
              <w:t xml:space="preserve">—</w:t>
            </w:r>
          </w:p>
        </w:tc>
        <w:tc>
          <w:tcPr>
            <w:tcW w:w="1796" w:type="dxa"/>
            <w:shd w:val="clear" w:color="auto" w:fill="F4F7FB"/>
            <w:vAlign w:val="top"/>
          </w:tcPr>
          <w:p>
            <w:pPr>
              <w:pStyle w:val="TableText"/>
              <w:jc w:val="left"/>
            </w:pPr>
            <w:r>
              <w:t xml:space="preserve">Deployment</w:t>
            </w:r>
          </w:p>
        </w:tc>
        <w:tc>
          <w:tcPr>
            <w:tcW w:w="4331" w:type="dxa"/>
            <w:shd w:val="clear" w:color="auto" w:fill="F4F7FB"/>
            <w:vAlign w:val="top"/>
          </w:tcPr>
          <w:p>
            <w:pPr>
              <w:pStyle w:val="TableText"/>
              <w:jc w:val="left"/>
            </w:pPr>
            <w:r>
              <w:t xml:space="preserve">Migrations take an advisory lock</w:t>
            </w:r>
          </w:p>
        </w:tc>
        <w:tc>
          <w:tcPr>
            <w:tcW w:w="1460" w:type="dxa"/>
            <w:shd w:val="clear" w:color="auto" w:fill="F4F7FB"/>
            <w:vAlign w:val="top"/>
          </w:tcPr>
          <w:p>
            <w:pPr>
              <w:pStyle w:val="TableText"/>
              <w:jc w:val="left"/>
            </w:pPr>
            <w:r>
              <w:rPr>
                <w:rStyle w:val="CodeChar"/>
              </w:rPr>
              <w:t xml:space="preserve">test/pg</w:t>
            </w:r>
          </w:p>
        </w:tc>
      </w:tr>
      <w:tr>
        <w:trPr>
          <w:cantSplit/>
        </w:trPr>
        <w:tc>
          <w:tcPr>
            <w:tcW w:w="834" w:type="dxa"/>
            <w:noWrap/>
            <w:vAlign w:val="top"/>
          </w:tcPr>
          <w:p>
            <w:pPr>
              <w:pStyle w:val="TableText"/>
              <w:jc w:val="left"/>
            </w:pPr>
            <w:r>
              <w:t xml:space="preserve">KI-31</w:t>
            </w:r>
          </w:p>
        </w:tc>
        <w:tc>
          <w:tcPr>
            <w:tcW w:w="606" w:type="dxa"/>
            <w:vAlign w:val="top"/>
          </w:tcPr>
          <w:p>
            <w:pPr>
              <w:pStyle w:val="TableText"/>
              <w:jc w:val="left"/>
            </w:pPr>
            <w:r>
              <w:t xml:space="preserve">3</w:t>
            </w:r>
          </w:p>
        </w:tc>
        <w:tc>
          <w:tcPr>
            <w:tcW w:w="1796" w:type="dxa"/>
            <w:vAlign w:val="top"/>
          </w:tcPr>
          <w:p>
            <w:pPr>
              <w:pStyle w:val="TableText"/>
              <w:jc w:val="left"/>
            </w:pPr>
            <w:r>
              <w:t xml:space="preserve">Sales</w:t>
            </w:r>
          </w:p>
        </w:tc>
        <w:tc>
          <w:tcPr>
            <w:tcW w:w="4331" w:type="dxa"/>
            <w:vAlign w:val="top"/>
          </w:tcPr>
          <w:p>
            <w:pPr>
              <w:pStyle w:val="TableText"/>
              <w:jc w:val="left"/>
            </w:pPr>
            <w:r>
              <w:t xml:space="preserve">Replaying a failed attempt’s key returns 409; a new key succeeds</w:t>
            </w:r>
          </w:p>
        </w:tc>
        <w:tc>
          <w:tcPr>
            <w:tcW w:w="1460" w:type="dxa"/>
            <w:noWrap/>
            <w:vAlign w:val="top"/>
          </w:tcPr>
          <w:p>
            <w:pPr>
              <w:pStyle w:val="TableText"/>
              <w:jc w:val="left"/>
            </w:pPr>
            <w:r>
              <w:t xml:space="preserve">TC-160</w:t>
            </w:r>
          </w:p>
        </w:tc>
      </w:tr>
      <w:tr>
        <w:trPr>
          <w:cantSplit/>
        </w:trPr>
        <w:tc>
          <w:tcPr>
            <w:tcW w:w="834" w:type="dxa"/>
            <w:shd w:val="clear" w:color="auto" w:fill="F4F7FB"/>
            <w:noWrap/>
            <w:vAlign w:val="top"/>
          </w:tcPr>
          <w:p>
            <w:pPr>
              <w:pStyle w:val="TableText"/>
              <w:jc w:val="left"/>
            </w:pPr>
            <w:r>
              <w:t xml:space="preserve">KI-32</w:t>
            </w:r>
          </w:p>
        </w:tc>
        <w:tc>
          <w:tcPr>
            <w:tcW w:w="606" w:type="dxa"/>
            <w:shd w:val="clear" w:color="auto" w:fill="F4F7FB"/>
            <w:vAlign w:val="top"/>
          </w:tcPr>
          <w:p>
            <w:pPr>
              <w:pStyle w:val="TableText"/>
              <w:jc w:val="left"/>
            </w:pPr>
            <w:r>
              <w:t xml:space="preserve">4</w:t>
            </w:r>
          </w:p>
        </w:tc>
        <w:tc>
          <w:tcPr>
            <w:tcW w:w="1796" w:type="dxa"/>
            <w:shd w:val="clear" w:color="auto" w:fill="F4F7FB"/>
            <w:vAlign w:val="top"/>
          </w:tcPr>
          <w:p>
            <w:pPr>
              <w:pStyle w:val="TableText"/>
              <w:jc w:val="left"/>
            </w:pPr>
            <w:r>
              <w:t xml:space="preserve">Access control</w:t>
            </w:r>
          </w:p>
        </w:tc>
        <w:tc>
          <w:tcPr>
            <w:tcW w:w="4331" w:type="dxa"/>
            <w:shd w:val="clear" w:color="auto" w:fill="F4F7FB"/>
            <w:vAlign w:val="top"/>
          </w:tcPr>
          <w:p>
            <w:pPr>
              <w:pStyle w:val="TableText"/>
              <w:jc w:val="left"/>
            </w:pPr>
            <w:r>
              <w:t xml:space="preserve">Region checked before a quote is marked as sent</w:t>
            </w:r>
          </w:p>
        </w:tc>
        <w:tc>
          <w:tcPr>
            <w:tcW w:w="1460" w:type="dxa"/>
            <w:shd w:val="clear" w:color="auto" w:fill="F4F7FB"/>
            <w:noWrap/>
            <w:vAlign w:val="top"/>
          </w:tcPr>
          <w:p>
            <w:pPr>
              <w:pStyle w:val="TableText"/>
              <w:jc w:val="left"/>
            </w:pPr>
            <w:r>
              <w:t xml:space="preserve">TC-158</w:t>
            </w:r>
          </w:p>
        </w:tc>
      </w:tr>
      <w:tr>
        <w:trPr>
          <w:cantSplit/>
        </w:trPr>
        <w:tc>
          <w:tcPr>
            <w:tcW w:w="834" w:type="dxa"/>
            <w:noWrap/>
            <w:vAlign w:val="top"/>
          </w:tcPr>
          <w:p>
            <w:pPr>
              <w:pStyle w:val="TableText"/>
              <w:jc w:val="left"/>
            </w:pPr>
            <w:r>
              <w:t xml:space="preserve">KI-33</w:t>
            </w:r>
          </w:p>
        </w:tc>
        <w:tc>
          <w:tcPr>
            <w:tcW w:w="606" w:type="dxa"/>
            <w:vAlign w:val="top"/>
          </w:tcPr>
          <w:p>
            <w:pPr>
              <w:pStyle w:val="TableText"/>
              <w:jc w:val="left"/>
            </w:pPr>
            <w:r>
              <w:t xml:space="preserve">2</w:t>
            </w:r>
          </w:p>
        </w:tc>
        <w:tc>
          <w:tcPr>
            <w:tcW w:w="1796" w:type="dxa"/>
            <w:vAlign w:val="top"/>
          </w:tcPr>
          <w:p>
            <w:pPr>
              <w:pStyle w:val="TableText"/>
              <w:jc w:val="left"/>
            </w:pPr>
            <w:r>
              <w:t xml:space="preserve">Compliance</w:t>
            </w:r>
          </w:p>
        </w:tc>
        <w:tc>
          <w:tcPr>
            <w:tcW w:w="4331" w:type="dxa"/>
            <w:vAlign w:val="top"/>
          </w:tcPr>
          <w:p>
            <w:pPr>
              <w:pStyle w:val="TableText"/>
              <w:jc w:val="left"/>
            </w:pPr>
            <w:r>
              <w:t xml:space="preserve">Simulated times honoured only in demo mode</w:t>
            </w:r>
          </w:p>
        </w:tc>
        <w:tc>
          <w:tcPr>
            <w:tcW w:w="1460" w:type="dxa"/>
            <w:noWrap/>
            <w:vAlign w:val="top"/>
          </w:tcPr>
          <w:p>
            <w:pPr>
              <w:pStyle w:val="TableText"/>
              <w:jc w:val="left"/>
            </w:pPr>
            <w:r>
              <w:t xml:space="preserve">TC-162</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41" w:name="_Toc300000037"/>
      <w:r>
        <w:rPr>
          <w:rStyle w:val="BookTitle"/>
          <w:bCs w:val="0"/>
          <w:i w:val="0"/>
          <w:iCs w:val="0"/>
          <w:spacing w:val="0"/>
        </w:rPr>
        <w:t xml:space="preserve">Sign-Off</w:t>
      </w:r>
      <w:bookmarkEnd w:id="4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044"/>
        <w:gridCol w:w="2039"/>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044"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039"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04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TASCO core UAT endpoints, interface specification and test credentials available for SIT by 11/01/2027</w:t>
            </w:r>
          </w:p>
        </w:tc>
        <w:tc>
          <w:tcPr>
            <w:tcW w:w="203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04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VETC wallet, VETC identity and Zalo test accounts available for SIT by 11/01/2027</w:t>
            </w:r>
          </w:p>
        </w:tc>
        <w:tc>
          <w:tcPr>
            <w:tcW w:w="203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VETC IT and TASCO Marketing</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04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Independent penetration test vendor appointed for the test phase</w:t>
            </w:r>
          </w:p>
        </w:tc>
        <w:tc>
          <w:tcPr>
            <w:tcW w:w="203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CISO</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04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Decision on open Sev 2 known issues KI-04, KI-13 and KI-18 (fix or dated waiver) before G3</w:t>
            </w:r>
          </w:p>
        </w:tc>
        <w:tc>
          <w:tcPr>
            <w:tcW w:w="203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Programme Sponsor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04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Retention of profiles, messages, orders and certificates without an archival job (KI-13) to be confirmed by TASCO legal</w:t>
            </w:r>
          </w:p>
        </w:tc>
        <w:tc>
          <w:tcPr>
            <w:tcW w:w="203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62"/>
        <w:gridCol w:w="1671"/>
        <w:gridCol w:w="2619"/>
        <w:gridCol w:w="3675"/>
      </w:tblGrid>
      <w:tr w:rsidR="002B183A" w14:paraId="731A77C7" w14:textId="77777777" w:rsidTr="002923F3">
        <w:trPr>
          <w:cantSplit/>
          <w:trHeight w:val="440"/>
          <w:tblHeader/>
        </w:trPr>
        <w:tc>
          <w:tcPr>
            <w:tcW w:w="1062"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71"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19"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7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Quality Assurance</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Engineering</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hyperlink" Target="https://tasco-growth-api-uat.up.railway.app" TargetMode="External"/><Relationship Id="rIdG4" Type="http://schemas.openxmlformats.org/officeDocument/2006/relationships/image" Target="media/body_00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dc:title>
  <dc:subject>TGP-QA-01</dc:subject>
  <dc:creator>iorta TechNXT</dc:creator>
  <cp:keywords>TGP-QA-01; TASCO Insurance; iorta TechNXT</cp:keywords>
  <dc:description>TASCO Motor Insurance Growth Platform</dc:description>
  <cp:lastModifiedBy>iorta TechNXT</cp:lastModifiedBy>
  <cp:revision>1</cp:revision>
  <dcterms:created xsi:type="dcterms:W3CDTF">2026-10-08T02:23:48Z</dcterms:created>
  <dcterms:modified xsi:type="dcterms:W3CDTF">2026-10-08T02:23:48Z</dcterms:modified>
</cp:coreProperties>
</file>