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TGP-QA-03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Performance and Capacity Test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1"/>
      </w:pPr>
      <w:hyperlink w:anchor="_Toc300000004" w:history="1">
        <w:r>
          <w:rPr>
            <w:noProof/>
          </w:rPr>
          <w:t>4.</w:t>
        </w:r>
        <w:r>
          <w:rPr>
            <w:noProof/>
          </w:rPr>
          <w:tab/>
        </w:r>
        <w:r>
          <w:rPr>
            <w:noProof/>
          </w:rPr>
          <w:t xml:space="preserve">Objectives</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1"/>
      </w:pPr>
      <w:hyperlink w:anchor="_Toc300000005" w:history="1">
        <w:r>
          <w:rPr>
            <w:noProof/>
          </w:rPr>
          <w:t>5.</w:t>
        </w:r>
        <w:r>
          <w:rPr>
            <w:noProof/>
          </w:rPr>
          <w:tab/>
        </w:r>
        <w:r>
          <w:rPr>
            <w:noProof/>
          </w:rPr>
          <w:t xml:space="preserve">Workload model</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5.1.</w:t>
        </w:r>
        <w:r>
          <w:rPr>
            <w:noProof/>
          </w:rPr>
          <w:tab/>
        </w:r>
        <w:r>
          <w:rPr>
            <w:noProof/>
          </w:rPr>
          <w:t xml:space="preserve">Population</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5.2.</w:t>
        </w:r>
        <w:r>
          <w:rPr>
            <w:noProof/>
          </w:rPr>
          <w:tab/>
        </w:r>
        <w:r>
          <w:rPr>
            <w:noProof/>
          </w:rPr>
          <w:t xml:space="preserve">Daily batch volumes at full scale</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w:t>
        </w:r>
        <w:r>
          <w:rPr>
            <w:noProof/>
            <w:webHidden/>
          </w:rPr>
          <w:fldChar w:fldCharType="end"/>
        </w:r>
      </w:hyperlink>
    </w:p>
    <w:p>
      <w:pPr>
        <w:pStyle w:val="TOC2"/>
      </w:pPr>
      <w:hyperlink w:anchor="_Toc300000008" w:history="1">
        <w:r>
          <w:rPr>
            <w:noProof/>
          </w:rPr>
          <w:t>5.3.</w:t>
        </w:r>
        <w:r>
          <w:rPr>
            <w:noProof/>
          </w:rPr>
          <w:tab/>
        </w:r>
        <w:r>
          <w:rPr>
            <w:noProof/>
          </w:rPr>
          <w:t xml:space="preserve">Online traffic</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6</w:t>
        </w:r>
        <w:r>
          <w:rPr>
            <w:noProof/>
            <w:webHidden/>
          </w:rPr>
          <w:fldChar w:fldCharType="end"/>
        </w:r>
      </w:hyperlink>
    </w:p>
    <w:p>
      <w:pPr>
        <w:pStyle w:val="TOC2"/>
      </w:pPr>
      <w:hyperlink w:anchor="_Toc300000009" w:history="1">
        <w:r>
          <w:rPr>
            <w:noProof/>
          </w:rPr>
          <w:t>5.4.</w:t>
        </w:r>
        <w:r>
          <w:rPr>
            <w:noProof/>
          </w:rPr>
          <w:tab/>
        </w:r>
        <w:r>
          <w:rPr>
            <w:noProof/>
          </w:rPr>
          <w:t xml:space="preserve">Transaction mix for PERF-S1</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7</w:t>
        </w:r>
        <w:r>
          <w:rPr>
            <w:noProof/>
            <w:webHidden/>
          </w:rPr>
          <w:fldChar w:fldCharType="end"/>
        </w:r>
      </w:hyperlink>
    </w:p>
    <w:p>
      <w:pPr>
        <w:pStyle w:val="TOC1"/>
      </w:pPr>
      <w:hyperlink w:anchor="_Toc300000010" w:history="1">
        <w:r>
          <w:rPr>
            <w:noProof/>
          </w:rPr>
          <w:t>6.</w:t>
        </w:r>
        <w:r>
          <w:rPr>
            <w:noProof/>
          </w:rPr>
          <w:tab/>
        </w:r>
        <w:r>
          <w:rPr>
            <w:noProof/>
          </w:rPr>
          <w:t xml:space="preserve">Scenarios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1"/>
      </w:pPr>
      <w:hyperlink w:anchor="_Toc300000011" w:history="1">
        <w:r>
          <w:rPr>
            <w:noProof/>
          </w:rPr>
          <w:t>7.</w:t>
        </w:r>
        <w:r>
          <w:rPr>
            <w:noProof/>
          </w:rPr>
          <w:tab/>
        </w:r>
        <w:r>
          <w:rPr>
            <w:noProof/>
          </w:rPr>
          <w:t xml:space="preserve">Targets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10</w:t>
        </w:r>
        <w:r>
          <w:rPr>
            <w:noProof/>
            <w:webHidden/>
          </w:rPr>
          <w:fldChar w:fldCharType="end"/>
        </w:r>
      </w:hyperlink>
    </w:p>
    <w:p>
      <w:pPr>
        <w:pStyle w:val="TOC1"/>
      </w:pPr>
      <w:hyperlink w:anchor="_Toc300000012" w:history="1">
        <w:r>
          <w:rPr>
            <w:noProof/>
          </w:rPr>
          <w:t>8.</w:t>
        </w:r>
        <w:r>
          <w:rPr>
            <w:noProof/>
          </w:rPr>
          <w:tab/>
        </w:r>
        <w:r>
          <w:rPr>
            <w:noProof/>
          </w:rPr>
          <w:t xml:space="preserve">Tooling</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11</w:t>
        </w:r>
        <w:r>
          <w:rPr>
            <w:noProof/>
            <w:webHidden/>
          </w:rPr>
          <w:fldChar w:fldCharType="end"/>
        </w:r>
      </w:hyperlink>
    </w:p>
    <w:p>
      <w:pPr>
        <w:pStyle w:val="TOC1"/>
      </w:pPr>
      <w:hyperlink w:anchor="_Toc300000013" w:history="1">
        <w:r>
          <w:rPr>
            <w:noProof/>
          </w:rPr>
          <w:t>9.</w:t>
        </w:r>
        <w:r>
          <w:rPr>
            <w:noProof/>
          </w:rPr>
          <w:tab/>
        </w:r>
        <w:r>
          <w:rPr>
            <w:noProof/>
          </w:rPr>
          <w:t xml:space="preserve">Test environment</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11</w:t>
        </w:r>
        <w:r>
          <w:rPr>
            <w:noProof/>
            <w:webHidden/>
          </w:rPr>
          <w:fldChar w:fldCharType="end"/>
        </w:r>
      </w:hyperlink>
    </w:p>
    <w:p>
      <w:pPr>
        <w:pStyle w:val="TOC1"/>
      </w:pPr>
      <w:hyperlink w:anchor="_Toc300000014" w:history="1">
        <w:r>
          <w:rPr>
            <w:noProof/>
          </w:rPr>
          <w:t>10.</w:t>
        </w:r>
        <w:r>
          <w:rPr>
            <w:noProof/>
          </w:rPr>
          <w:tab/>
        </w:r>
        <w:r>
          <w:rPr>
            <w:noProof/>
          </w:rPr>
          <w:t xml:space="preserve">Monitoring during tests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11</w:t>
        </w:r>
        <w:r>
          <w:rPr>
            <w:noProof/>
            <w:webHidden/>
          </w:rPr>
          <w:fldChar w:fldCharType="end"/>
        </w:r>
      </w:hyperlink>
    </w:p>
    <w:p>
      <w:pPr>
        <w:pStyle w:val="TOC1"/>
      </w:pPr>
      <w:hyperlink w:anchor="_Toc300000015" w:history="1">
        <w:r>
          <w:rPr>
            <w:noProof/>
          </w:rPr>
          <w:t>11.</w:t>
        </w:r>
        <w:r>
          <w:rPr>
            <w:noProof/>
          </w:rPr>
          <w:tab/>
        </w:r>
        <w:r>
          <w:rPr>
            <w:noProof/>
          </w:rPr>
          <w:t xml:space="preserve">Pass and fail criteria</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12</w:t>
        </w:r>
        <w:r>
          <w:rPr>
            <w:noProof/>
            <w:webHidden/>
          </w:rPr>
          <w:fldChar w:fldCharType="end"/>
        </w:r>
      </w:hyperlink>
    </w:p>
    <w:p>
      <w:pPr>
        <w:pStyle w:val="TOC1"/>
      </w:pPr>
      <w:hyperlink w:anchor="_Toc300000016" w:history="1">
        <w:r>
          <w:rPr>
            <w:noProof/>
          </w:rPr>
          <w:t>12.</w:t>
        </w:r>
        <w:r>
          <w:rPr>
            <w:noProof/>
          </w:rPr>
          <w:tab/>
        </w:r>
        <w:r>
          <w:rPr>
            <w:noProof/>
          </w:rPr>
          <w:t xml:space="preserve">Capacity model</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12</w:t>
        </w:r>
        <w:r>
          <w:rPr>
            <w:noProof/>
            <w:webHidden/>
          </w:rPr>
          <w:fldChar w:fldCharType="end"/>
        </w:r>
      </w:hyperlink>
    </w:p>
    <w:p>
      <w:pPr>
        <w:pStyle w:val="TOC2"/>
      </w:pPr>
      <w:hyperlink w:anchor="_Toc300000017" w:history="1">
        <w:r>
          <w:rPr>
            <w:noProof/>
          </w:rPr>
          <w:t>12.1.</w:t>
        </w:r>
        <w:r>
          <w:rPr>
            <w:noProof/>
          </w:rPr>
          <w:tab/>
        </w:r>
        <w:r>
          <w:rPr>
            <w:noProof/>
          </w:rPr>
          <w:t xml:space="preserve">Online tier</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12</w:t>
        </w:r>
        <w:r>
          <w:rPr>
            <w:noProof/>
            <w:webHidden/>
          </w:rPr>
          <w:fldChar w:fldCharType="end"/>
        </w:r>
      </w:hyperlink>
    </w:p>
    <w:p>
      <w:pPr>
        <w:pStyle w:val="TOC2"/>
      </w:pPr>
      <w:hyperlink w:anchor="_Toc300000018" w:history="1">
        <w:r>
          <w:rPr>
            <w:noProof/>
          </w:rPr>
          <w:t>12.2.</w:t>
        </w:r>
        <w:r>
          <w:rPr>
            <w:noProof/>
          </w:rPr>
          <w:tab/>
        </w:r>
        <w:r>
          <w:rPr>
            <w:noProof/>
          </w:rPr>
          <w:t xml:space="preserve">Batch tier</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14</w:t>
        </w:r>
        <w:r>
          <w:rPr>
            <w:noProof/>
            <w:webHidden/>
          </w:rPr>
          <w:fldChar w:fldCharType="end"/>
        </w:r>
      </w:hyperlink>
    </w:p>
    <w:p>
      <w:pPr>
        <w:pStyle w:val="TOC2"/>
      </w:pPr>
      <w:hyperlink w:anchor="_Toc300000019" w:history="1">
        <w:r>
          <w:rPr>
            <w:noProof/>
          </w:rPr>
          <w:t>12.3.</w:t>
        </w:r>
        <w:r>
          <w:rPr>
            <w:noProof/>
          </w:rPr>
          <w:tab/>
        </w:r>
        <w:r>
          <w:rPr>
            <w:noProof/>
          </w:rPr>
          <w:t xml:space="preserve">Storage at full scale, year 1</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15</w:t>
        </w:r>
        <w:r>
          <w:rPr>
            <w:noProof/>
            <w:webHidden/>
          </w:rPr>
          <w:fldChar w:fldCharType="end"/>
        </w:r>
      </w:hyperlink>
    </w:p>
    <w:p>
      <w:pPr>
        <w:pStyle w:val="TOC2"/>
      </w:pPr>
      <w:hyperlink w:anchor="_Toc300000020" w:history="1">
        <w:r>
          <w:rPr>
            <w:noProof/>
          </w:rPr>
          <w:t>12.4.</w:t>
        </w:r>
        <w:r>
          <w:rPr>
            <w:noProof/>
          </w:rPr>
          <w:tab/>
        </w:r>
        <w:r>
          <w:rPr>
            <w:noProof/>
          </w:rPr>
          <w:t xml:space="preserve">Scaling triggers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15</w:t>
        </w:r>
        <w:r>
          <w:rPr>
            <w:noProof/>
            <w:webHidden/>
          </w:rPr>
          <w:fldChar w:fldCharType="end"/>
        </w:r>
      </w:hyperlink>
    </w:p>
    <w:p>
      <w:pPr>
        <w:pStyle w:val="TOC1"/>
      </w:pPr>
      <w:hyperlink w:anchor="_Toc300000021" w:history="1">
        <w:r>
          <w:rPr>
            <w:noProof/>
          </w:rPr>
          <w:t>13.</w:t>
        </w:r>
        <w:r>
          <w:rPr>
            <w:noProof/>
          </w:rPr>
          <w:tab/>
        </w:r>
        <w:r>
          <w:rPr>
            <w:noProof/>
          </w:rPr>
          <w:t xml:space="preserve">Schedule</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15</w:t>
        </w:r>
        <w:r>
          <w:rPr>
            <w:noProof/>
            <w:webHidden/>
          </w:rPr>
          <w:fldChar w:fldCharType="end"/>
        </w:r>
      </w:hyperlink>
    </w:p>
    <w:p>
      <w:pPr>
        <w:pStyle w:val="TOC1"/>
      </w:pPr>
      <w:hyperlink w:anchor="_Toc300000022" w:history="1">
        <w:r>
          <w:rPr>
            <w:noProof/>
          </w:rPr>
          <w:t>14.</w:t>
        </w:r>
        <w:r>
          <w:rPr>
            <w:noProof/>
          </w:rPr>
          <w:tab/>
        </w:r>
        <w:r>
          <w:rPr>
            <w:noProof/>
          </w:rPr>
          <w:t xml:space="preserve">Sign-Off</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17</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71"/>
        <w:gridCol w:w="980"/>
        <w:gridCol w:w="1694"/>
        <w:gridCol w:w="1694"/>
        <w:gridCol w:w="2117"/>
        <w:gridCol w:w="1271"/>
      </w:tblGrid>
      <w:tr w:rsidR="002B183A" w14:paraId="4E198CD6" w14:textId="77777777" w:rsidTr="002923F3">
        <w:trPr>
          <w:cantSplit/>
          <w:trHeight w:val="440"/>
          <w:tblHeader/>
        </w:trPr>
        <w:tc>
          <w:tcPr>
            <w:tcW w:w="1271"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80"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694"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694"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17"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7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71"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80"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694"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Quality Engineering</w:t>
            </w:r>
          </w:p>
        </w:tc>
        <w:tc>
          <w:tcPr>
            <w:tcW w:w="1694"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Infrastructure</w:t>
            </w:r>
          </w:p>
        </w:tc>
        <w:tc>
          <w:tcPr>
            <w:tcW w:w="2117"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7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626"/>
        <w:gridCol w:w="7401"/>
      </w:tblGrid>
      <w:tr w:rsidR="002B183A" w14:paraId="388F227F" w14:textId="77777777" w:rsidTr="002923F3">
        <w:trPr>
          <w:cantSplit/>
          <w:trHeight w:val="440"/>
          <w:tblHeader/>
        </w:trPr>
        <w:tc>
          <w:tcPr>
            <w:tcW w:w="1626"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01"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CPU</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Central Processing Unit</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GB</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Gigabyte</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GiB</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Gibibyte</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IOPS</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Input/Output Operations Per Second</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Performance test environment</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PITR</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Point-In-Time Recovery</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RPS</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Requests Per Second</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SRE</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Site Reliability Engineering</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SSD</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Solid-State Drive</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Test Case</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TPS</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Transactions Per Second</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vCPU</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Virtual CPU</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WAL</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Write-Ahead Log</w:t>
            </w:r>
          </w:p>
        </w:tc>
      </w:tr>
      <w:tr w:rsidR="002B183A" w:rsidRPr="00BB346A" w14:paraId="73CFB63E" w14:textId="77777777" w:rsidTr="002923F3">
        <w:trPr>
          <w:cantSplit/>
          <w:trHeight w:val="449"/>
        </w:trPr>
        <w:tc>
          <w:tcPr>
            <w:tcW w:w="162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0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plan defines how the platform’s performance and capacity are tested: the workload model, the scenarios, the latency and throughput targets, the tooling, the test environment, the pass and fail criteria, and the capacity model that turns business volumes into pods, database size and connections.</w:t>
      </w:r>
    </w:p>
    <w:p>
      <w:pPr>
        <w:pStyle w:val="BodyText"/>
      </w:pPr>
      <w:r>
        <w:t xml:space="preserve">It covers the online tier (customer app, staff console, partner API, certificate verification, ecosystem events), the batch tier (ingestion, lead recompute, journey runs, reconciliation) and the effect of slow or unavailable dependencies, including TASCO core rating.</w:t>
      </w:r>
    </w:p>
    <w:p>
      <w:pPr>
        <w:pStyle w:val="BodyText"/>
      </w:pPr>
      <w:r>
        <w:t xml:space="preserve">The audience is the performance engineer, SRE, TASCO IT infrastructure and VETC IT, who supply the traffic forecasts.</w:t>
      </w:r>
    </w:p>
    <w:p>
      <w:pPr>
        <w:pStyle w:val="BodyText"/>
      </w:pPr>
      <w:r>
        <w:t xml:space="preserve">Related documents:</w:t>
      </w:r>
    </w:p>
    <w:p>
      <w:pPr>
        <w:pStyle w:val="Compact"/>
        <w:numPr>
          <w:ilvl w:val="0"/>
          <w:numId w:val="1001"/>
        </w:numPr>
      </w:pPr>
      <w:r>
        <w:t xml:space="preserve">TGP-QA-01 Test Strategy (non-functional testing and CI gates).</w:t>
      </w:r>
    </w:p>
    <w:p>
      <w:pPr>
        <w:pStyle w:val="Compact"/>
        <w:numPr>
          <w:ilvl w:val="0"/>
          <w:numId w:val="1001"/>
        </w:numPr>
      </w:pPr>
      <w:r>
        <w:t xml:space="preserve">TGP-QA-02 Test Case Catalogue (TC-136 to TC-143 and TC-169).</w:t>
      </w:r>
    </w:p>
    <w:p>
      <w:pPr>
        <w:pStyle w:val="Compact"/>
        <w:numPr>
          <w:ilvl w:val="0"/>
          <w:numId w:val="1001"/>
        </w:numPr>
      </w:pPr>
      <w:r>
        <w:t xml:space="preserve">TGP-OPS-02 Monitoring and Alerting (metrics and service level objectives).</w:t>
      </w:r>
    </w:p>
    <w:p>
      <w:pPr>
        <w:pStyle w:val="Compact"/>
        <w:numPr>
          <w:ilvl w:val="0"/>
          <w:numId w:val="1001"/>
        </w:numPr>
      </w:pPr>
      <w:r>
        <w:t xml:space="preserve">TGP-BUS-03 Non-Functional Requirements.</w:t>
      </w:r>
    </w:p>
    <w:p>
      <w:pPr>
        <w:pStyle w:val="Compact"/>
        <w:numPr>
          <w:ilvl w:val="0"/>
          <w:numId w:val="1001"/>
        </w:numPr>
      </w:pPr>
      <w:r>
        <w:t xml:space="preserve">TGP-ARC-05 Deployment and Infrastructure Architecture.</w:t>
      </w:r>
    </w:p>
    <w:p>
      <w:pPr>
        <w:pStyle w:val="FirstParagraph"/>
      </w:pPr>
      <w:r>
        <w:t xml:space="preserve">Every workload figure marked (A) is an assumption. VETC and TASCO confirm it with real data in discovery, and it is re-based after the first two weeks of the pilot.</w:t>
      </w:r>
    </w:p>
    <w:p>
      <w:pPr>
        <w:pStyle w:val="BodyText"/>
      </w:pPr>
      <w:r>
        <w:t xml:space="preserve">The latest smoke result (7 October 2026,</w:t>
      </w:r>
      <w:r>
        <w:t xml:space="preserve"> </w:t>
      </w:r>
      <w:r>
        <w:rPr>
          <w:rStyle w:val="CodeChar"/>
        </w:rPr>
        <w:t xml:space="preserve">npm run test:perf</w:t>
      </w:r>
      <w:r>
        <w:t xml:space="preserve">, one process, 25 concurrent users, in-memory store) is 337 requests per second, p95 103 ms and 0 errors, against a budget of p95 ≤ 300 ms and errors ≤ 1 %.</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Objectives</w:t>
      </w:r>
      <w:bookmarkEnd w:id="8"/>
    </w:p>
    <w:p>
      <w:pPr>
        <w:pStyle w:val="Compact"/>
        <w:numPr>
          <w:ilvl w:val="0"/>
          <w:numId w:val="1002"/>
        </w:numPr>
      </w:pPr>
      <w:r>
        <w:t xml:space="preserve">Show that the platform meets the latency and throughput targets at the forecast peak with at least 2× headroom.</w:t>
      </w:r>
    </w:p>
    <w:p>
      <w:pPr>
        <w:pStyle w:val="Compact"/>
        <w:numPr>
          <w:ilvl w:val="0"/>
          <w:numId w:val="1002"/>
        </w:numPr>
      </w:pPr>
      <w:r>
        <w:t xml:space="preserve">Show that it can load and process the pilot cohort (50,000 to 100,000 vehicles) within its batch windows, and later the full VETC base of about 6 million vehicles.</w:t>
      </w:r>
    </w:p>
    <w:p>
      <w:pPr>
        <w:pStyle w:val="Compact"/>
        <w:numPr>
          <w:ilvl w:val="0"/>
          <w:numId w:val="1002"/>
        </w:numPr>
      </w:pPr>
      <w:r>
        <w:t xml:space="preserve">Find the breaking point and confirm graceful degradation: 429 and 503 responses, open circuits and no data corruption.</w:t>
      </w:r>
    </w:p>
    <w:p>
      <w:pPr>
        <w:pStyle w:val="Compact"/>
        <w:numPr>
          <w:ilvl w:val="0"/>
          <w:numId w:val="1002"/>
        </w:numPr>
      </w:pPr>
      <w:r>
        <w:t xml:space="preserve">Find memory and connection leaks over long runs.</w:t>
      </w:r>
    </w:p>
    <w:p>
      <w:pPr>
        <w:pStyle w:val="Compact"/>
        <w:numPr>
          <w:ilvl w:val="0"/>
          <w:numId w:val="1002"/>
        </w:numPr>
      </w:pPr>
      <w:r>
        <w:t xml:space="preserve">Produce a capacity model so that operations can scale before each roll-out step.</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Workload model</w:t>
      </w:r>
      <w:bookmarkEnd w:id="9"/>
    </w:p>
    <w:p>
      <w:pPr>
        <w:pStyle w:val="Heading2"/>
      </w:pPr>
      <w:bookmarkStart w:id="10" w:name="_Toc300000006"/>
      <w:r>
        <w:t xml:space="preserve">Population</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03"/>
        <w:gridCol w:w="3182"/>
        <w:gridCol w:w="3142"/>
      </w:tblGrid>
      <w:tr>
        <w:trPr>
          <w:cantSplit/>
          <w:tblHeader/>
        </w:trPr>
        <w:tc>
          <w:tcPr>
            <w:tcW w:w="2703" w:type="dxa"/>
            <w:shd w:val="clear" w:color="auto" w:fill="0F4761"/>
            <w:vAlign w:val="center"/>
          </w:tcPr>
          <w:p>
            <w:pPr>
              <w:pStyle w:val="TableHeading"/>
              <w:jc w:val="left"/>
            </w:pPr>
            <w:r>
              <w:rPr>
                <w:color w:val="FFFFFF"/>
              </w:rPr>
              <w:t xml:space="preserve">Quantity</w:t>
            </w:r>
          </w:p>
        </w:tc>
        <w:tc>
          <w:tcPr>
            <w:tcW w:w="3182" w:type="dxa"/>
            <w:shd w:val="clear" w:color="auto" w:fill="0F4761"/>
            <w:vAlign w:val="center"/>
          </w:tcPr>
          <w:p>
            <w:pPr>
              <w:pStyle w:val="TableHeading"/>
              <w:jc w:val="left"/>
            </w:pPr>
            <w:r>
              <w:rPr>
                <w:color w:val="FFFFFF"/>
              </w:rPr>
              <w:t xml:space="preserve">Value</w:t>
            </w:r>
          </w:p>
        </w:tc>
        <w:tc>
          <w:tcPr>
            <w:tcW w:w="3142" w:type="dxa"/>
            <w:shd w:val="clear" w:color="auto" w:fill="0F4761"/>
            <w:vAlign w:val="center"/>
          </w:tcPr>
          <w:p>
            <w:pPr>
              <w:pStyle w:val="TableHeading"/>
              <w:jc w:val="left"/>
            </w:pPr>
            <w:r>
              <w:rPr>
                <w:color w:val="FFFFFF"/>
              </w:rPr>
              <w:t xml:space="preserve">Basis</w:t>
            </w:r>
          </w:p>
        </w:tc>
      </w:tr>
      <w:tr>
        <w:trPr>
          <w:cantSplit/>
        </w:trPr>
        <w:tc>
          <w:tcPr>
            <w:tcW w:w="2703" w:type="dxa"/>
            <w:vAlign w:val="top"/>
          </w:tcPr>
          <w:p>
            <w:pPr>
              <w:pStyle w:val="TableText"/>
              <w:jc w:val="left"/>
            </w:pPr>
            <w:r>
              <w:t xml:space="preserve">Vehicle profiles at full scale</w:t>
            </w:r>
          </w:p>
        </w:tc>
        <w:tc>
          <w:tcPr>
            <w:tcW w:w="3182" w:type="dxa"/>
            <w:vAlign w:val="top"/>
          </w:tcPr>
          <w:p>
            <w:pPr>
              <w:pStyle w:val="TableText"/>
              <w:jc w:val="left"/>
            </w:pPr>
            <w:r>
              <w:t xml:space="preserve">6,000,000</w:t>
            </w:r>
          </w:p>
        </w:tc>
        <w:tc>
          <w:tcPr>
            <w:tcW w:w="3142" w:type="dxa"/>
            <w:vAlign w:val="top"/>
          </w:tcPr>
          <w:p>
            <w:pPr>
              <w:pStyle w:val="TableText"/>
              <w:jc w:val="left"/>
            </w:pPr>
            <w:r>
              <w:t xml:space="preserve">VETC electronic toll base</w:t>
            </w:r>
          </w:p>
        </w:tc>
      </w:tr>
      <w:tr>
        <w:trPr>
          <w:cantSplit/>
        </w:trPr>
        <w:tc>
          <w:tcPr>
            <w:tcW w:w="2703" w:type="dxa"/>
            <w:shd w:val="clear" w:color="auto" w:fill="F4F7FB"/>
            <w:vAlign w:val="top"/>
          </w:tcPr>
          <w:p>
            <w:pPr>
              <w:pStyle w:val="TableText"/>
              <w:jc w:val="left"/>
            </w:pPr>
            <w:r>
              <w:t xml:space="preserve">Pilot cohort</w:t>
            </w:r>
          </w:p>
        </w:tc>
        <w:tc>
          <w:tcPr>
            <w:tcW w:w="3182" w:type="dxa"/>
            <w:shd w:val="clear" w:color="auto" w:fill="F4F7FB"/>
            <w:vAlign w:val="top"/>
          </w:tcPr>
          <w:p>
            <w:pPr>
              <w:pStyle w:val="TableText"/>
              <w:jc w:val="left"/>
            </w:pPr>
            <w:r>
              <w:t xml:space="preserve">50,000 to 100,000, with a control group of about 10 %</w:t>
            </w:r>
          </w:p>
        </w:tc>
        <w:tc>
          <w:tcPr>
            <w:tcW w:w="3142" w:type="dxa"/>
            <w:shd w:val="clear" w:color="auto" w:fill="F4F7FB"/>
            <w:vAlign w:val="top"/>
          </w:tcPr>
          <w:p>
            <w:pPr>
              <w:pStyle w:val="TableText"/>
              <w:jc w:val="left"/>
            </w:pPr>
            <w:r>
              <w:t xml:space="preserve">Proposal pilot design</w:t>
            </w:r>
          </w:p>
        </w:tc>
      </w:tr>
      <w:tr>
        <w:trPr>
          <w:cantSplit/>
        </w:trPr>
        <w:tc>
          <w:tcPr>
            <w:tcW w:w="2703" w:type="dxa"/>
            <w:vAlign w:val="top"/>
          </w:tcPr>
          <w:p>
            <w:pPr>
              <w:pStyle w:val="TableText"/>
              <w:jc w:val="left"/>
            </w:pPr>
            <w:r>
              <w:t xml:space="preserve">VETC app users at full scale</w:t>
            </w:r>
          </w:p>
        </w:tc>
        <w:tc>
          <w:tcPr>
            <w:tcW w:w="3182" w:type="dxa"/>
            <w:vAlign w:val="top"/>
          </w:tcPr>
          <w:p>
            <w:pPr>
              <w:pStyle w:val="TableText"/>
              <w:jc w:val="left"/>
            </w:pPr>
            <w:r>
              <w:t xml:space="preserve">70 to 80 %, 4.2 to 4.8 million</w:t>
            </w:r>
          </w:p>
        </w:tc>
        <w:tc>
          <w:tcPr>
            <w:tcW w:w="3142" w:type="dxa"/>
            <w:vAlign w:val="top"/>
          </w:tcPr>
          <w:p>
            <w:pPr>
              <w:pStyle w:val="TableText"/>
              <w:jc w:val="left"/>
            </w:pPr>
            <w:r>
              <w:t xml:space="preserve">Programme brief</w:t>
            </w:r>
          </w:p>
        </w:tc>
      </w:tr>
      <w:tr>
        <w:trPr>
          <w:cantSplit/>
        </w:trPr>
        <w:tc>
          <w:tcPr>
            <w:tcW w:w="2703" w:type="dxa"/>
            <w:shd w:val="clear" w:color="auto" w:fill="F4F7FB"/>
            <w:vAlign w:val="top"/>
          </w:tcPr>
          <w:p>
            <w:pPr>
              <w:pStyle w:val="TableText"/>
              <w:jc w:val="left"/>
            </w:pPr>
            <w:r>
              <w:t xml:space="preserve">Source records per vehicle</w:t>
            </w:r>
          </w:p>
        </w:tc>
        <w:tc>
          <w:tcPr>
            <w:tcW w:w="3182" w:type="dxa"/>
            <w:shd w:val="clear" w:color="auto" w:fill="F4F7FB"/>
            <w:vAlign w:val="top"/>
          </w:tcPr>
          <w:p>
            <w:pPr>
              <w:pStyle w:val="TableText"/>
              <w:jc w:val="left"/>
            </w:pPr>
            <w:r>
              <w:t xml:space="preserve">About 1.5, so about 9 million rows</w:t>
            </w:r>
          </w:p>
        </w:tc>
        <w:tc>
          <w:tcPr>
            <w:tcW w:w="3142" w:type="dxa"/>
            <w:shd w:val="clear" w:color="auto" w:fill="F4F7FB"/>
            <w:vAlign w:val="top"/>
          </w:tcPr>
          <w:p>
            <w:pPr>
              <w:pStyle w:val="TableText"/>
              <w:jc w:val="left"/>
            </w:pPr>
            <w:r>
              <w:t xml:space="preserve">(A)</w:t>
            </w:r>
          </w:p>
        </w:tc>
      </w:tr>
      <w:tr>
        <w:trPr>
          <w:cantSplit/>
        </w:trPr>
        <w:tc>
          <w:tcPr>
            <w:tcW w:w="2703" w:type="dxa"/>
            <w:vAlign w:val="top"/>
          </w:tcPr>
          <w:p>
            <w:pPr>
              <w:pStyle w:val="TableText"/>
              <w:jc w:val="left"/>
            </w:pPr>
            <w:r>
              <w:t xml:space="preserve">Vehicles with a usable expiry at start</w:t>
            </w:r>
          </w:p>
        </w:tc>
        <w:tc>
          <w:tcPr>
            <w:tcW w:w="3182" w:type="dxa"/>
            <w:vAlign w:val="top"/>
          </w:tcPr>
          <w:p>
            <w:pPr>
              <w:pStyle w:val="TableText"/>
              <w:jc w:val="left"/>
            </w:pPr>
            <w:r>
              <w:t xml:space="preserve">About 10 %</w:t>
            </w:r>
          </w:p>
        </w:tc>
        <w:tc>
          <w:tcPr>
            <w:tcW w:w="3142" w:type="dxa"/>
            <w:vAlign w:val="top"/>
          </w:tcPr>
          <w:p>
            <w:pPr>
              <w:pStyle w:val="TableText"/>
              <w:jc w:val="left"/>
            </w:pPr>
            <w:r>
              <w:t xml:space="preserve">Programme brief</w:t>
            </w:r>
          </w:p>
        </w:tc>
      </w:tr>
      <w:tr>
        <w:trPr>
          <w:cantSplit/>
        </w:trPr>
        <w:tc>
          <w:tcPr>
            <w:tcW w:w="2703" w:type="dxa"/>
            <w:shd w:val="clear" w:color="auto" w:fill="F4F7FB"/>
            <w:vAlign w:val="top"/>
          </w:tcPr>
          <w:p>
            <w:pPr>
              <w:pStyle w:val="TableText"/>
              <w:jc w:val="left"/>
            </w:pPr>
            <w:r>
              <w:t xml:space="preserve">Expiries per day at full scale</w:t>
            </w:r>
          </w:p>
        </w:tc>
        <w:tc>
          <w:tcPr>
            <w:tcW w:w="3182" w:type="dxa"/>
            <w:shd w:val="clear" w:color="auto" w:fill="F4F7FB"/>
            <w:vAlign w:val="top"/>
          </w:tcPr>
          <w:p>
            <w:pPr>
              <w:pStyle w:val="TableText"/>
              <w:jc w:val="left"/>
            </w:pPr>
            <w:r>
              <w:t xml:space="preserve">About 16,400 (6 million / 365)</w:t>
            </w:r>
          </w:p>
        </w:tc>
        <w:tc>
          <w:tcPr>
            <w:tcW w:w="3142" w:type="dxa"/>
            <w:shd w:val="clear" w:color="auto" w:fill="F4F7FB"/>
            <w:vAlign w:val="top"/>
          </w:tcPr>
          <w:p>
            <w:pPr>
              <w:pStyle w:val="TableText"/>
              <w:jc w:val="left"/>
            </w:pPr>
            <w:r>
              <w:t xml:space="preserve">Annual TNDS term</w:t>
            </w:r>
          </w:p>
        </w:tc>
      </w:tr>
      <w:tr>
        <w:trPr>
          <w:cantSplit/>
        </w:trPr>
        <w:tc>
          <w:tcPr>
            <w:tcW w:w="2703" w:type="dxa"/>
            <w:vAlign w:val="top"/>
          </w:tcPr>
          <w:p>
            <w:pPr>
              <w:pStyle w:val="TableText"/>
              <w:jc w:val="left"/>
            </w:pPr>
            <w:r>
              <w:t xml:space="preserve">Peak renewal day</w:t>
            </w:r>
          </w:p>
        </w:tc>
        <w:tc>
          <w:tcPr>
            <w:tcW w:w="3182" w:type="dxa"/>
            <w:vAlign w:val="top"/>
          </w:tcPr>
          <w:p>
            <w:pPr>
              <w:pStyle w:val="TableText"/>
              <w:jc w:val="left"/>
            </w:pPr>
            <w:r>
              <w:t xml:space="preserve">3× average, about 50,000</w:t>
            </w:r>
          </w:p>
        </w:tc>
        <w:tc>
          <w:tcPr>
            <w:tcW w:w="3142" w:type="dxa"/>
            <w:vAlign w:val="top"/>
          </w:tcPr>
          <w:p>
            <w:pPr>
              <w:pStyle w:val="TableText"/>
              <w:jc w:val="left"/>
            </w:pPr>
            <w:r>
              <w:t xml:space="preserve">(A) month end, after Tết, registration anniversaries</w:t>
            </w:r>
          </w:p>
        </w:tc>
      </w:tr>
    </w:tbl>
    <w:p>
      <w:pPr>
        <w:pStyle w:val="Heading2"/>
      </w:pPr>
      <w:bookmarkStart w:id="11" w:name="_Toc300000007"/>
      <w:r>
        <w:t xml:space="preserve">Daily batch volumes at full scale</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54"/>
        <w:gridCol w:w="2630"/>
        <w:gridCol w:w="4543"/>
      </w:tblGrid>
      <w:tr>
        <w:trPr>
          <w:cantSplit/>
          <w:tblHeader/>
        </w:trPr>
        <w:tc>
          <w:tcPr>
            <w:tcW w:w="1854" w:type="dxa"/>
            <w:shd w:val="clear" w:color="auto" w:fill="0F4761"/>
            <w:vAlign w:val="center"/>
          </w:tcPr>
          <w:p>
            <w:pPr>
              <w:pStyle w:val="TableHeading"/>
              <w:jc w:val="left"/>
            </w:pPr>
            <w:r>
              <w:rPr>
                <w:color w:val="FFFFFF"/>
              </w:rPr>
              <w:t xml:space="preserve">Flow</w:t>
            </w:r>
          </w:p>
        </w:tc>
        <w:tc>
          <w:tcPr>
            <w:tcW w:w="2630" w:type="dxa"/>
            <w:shd w:val="clear" w:color="auto" w:fill="0F4761"/>
            <w:vAlign w:val="center"/>
          </w:tcPr>
          <w:p>
            <w:pPr>
              <w:pStyle w:val="TableHeading"/>
              <w:jc w:val="left"/>
            </w:pPr>
            <w:r>
              <w:rPr>
                <w:color w:val="FFFFFF"/>
              </w:rPr>
              <w:t xml:space="preserve">Daily volume</w:t>
            </w:r>
          </w:p>
        </w:tc>
        <w:tc>
          <w:tcPr>
            <w:tcW w:w="4543" w:type="dxa"/>
            <w:shd w:val="clear" w:color="auto" w:fill="0F4761"/>
            <w:vAlign w:val="center"/>
          </w:tcPr>
          <w:p>
            <w:pPr>
              <w:pStyle w:val="TableHeading"/>
              <w:jc w:val="left"/>
            </w:pPr>
            <w:r>
              <w:rPr>
                <w:color w:val="FFFFFF"/>
              </w:rPr>
              <w:t xml:space="preserve">Derivation</w:t>
            </w:r>
          </w:p>
        </w:tc>
      </w:tr>
      <w:tr>
        <w:trPr>
          <w:cantSplit/>
        </w:trPr>
        <w:tc>
          <w:tcPr>
            <w:tcW w:w="1854" w:type="dxa"/>
            <w:vAlign w:val="top"/>
          </w:tcPr>
          <w:p>
            <w:pPr>
              <w:pStyle w:val="TableText"/>
              <w:jc w:val="left"/>
            </w:pPr>
            <w:r>
              <w:t xml:space="preserve">Touchpoints due</w:t>
            </w:r>
          </w:p>
        </w:tc>
        <w:tc>
          <w:tcPr>
            <w:tcW w:w="2630" w:type="dxa"/>
            <w:vAlign w:val="top"/>
          </w:tcPr>
          <w:p>
            <w:pPr>
              <w:pStyle w:val="TableText"/>
              <w:jc w:val="left"/>
            </w:pPr>
            <w:r>
              <w:t xml:space="preserve">About 115,000 (peak 300,000)</w:t>
            </w:r>
          </w:p>
        </w:tc>
        <w:tc>
          <w:tcPr>
            <w:tcW w:w="4543" w:type="dxa"/>
            <w:vAlign w:val="top"/>
          </w:tcPr>
          <w:p>
            <w:pPr>
              <w:pStyle w:val="TableText"/>
              <w:jc w:val="left"/>
            </w:pPr>
            <w:r>
              <w:t xml:space="preserve">6 to 7 renewal and conquest steps per expiring vehicle, plus lapsed and new-vehicle journeys</w:t>
            </w:r>
          </w:p>
        </w:tc>
      </w:tr>
      <w:tr>
        <w:trPr>
          <w:cantSplit/>
        </w:trPr>
        <w:tc>
          <w:tcPr>
            <w:tcW w:w="1854" w:type="dxa"/>
            <w:shd w:val="clear" w:color="auto" w:fill="F4F7FB"/>
            <w:vAlign w:val="top"/>
          </w:tcPr>
          <w:p>
            <w:pPr>
              <w:pStyle w:val="TableText"/>
              <w:jc w:val="left"/>
            </w:pPr>
            <w:r>
              <w:t xml:space="preserve">Messages attempted</w:t>
            </w:r>
          </w:p>
        </w:tc>
        <w:tc>
          <w:tcPr>
            <w:tcW w:w="2630" w:type="dxa"/>
            <w:shd w:val="clear" w:color="auto" w:fill="F4F7FB"/>
            <w:vAlign w:val="top"/>
          </w:tcPr>
          <w:p>
            <w:pPr>
              <w:pStyle w:val="TableText"/>
              <w:jc w:val="left"/>
            </w:pPr>
            <w:r>
              <w:t xml:space="preserve">About 100,000 (peak 280,000)</w:t>
            </w:r>
          </w:p>
        </w:tc>
        <w:tc>
          <w:tcPr>
            <w:tcW w:w="4543" w:type="dxa"/>
            <w:shd w:val="clear" w:color="auto" w:fill="F4F7FB"/>
            <w:vAlign w:val="top"/>
          </w:tcPr>
          <w:p>
            <w:pPr>
              <w:pStyle w:val="TableText"/>
              <w:jc w:val="left"/>
            </w:pPr>
            <w:r>
              <w:t xml:space="preserve">One send per digital touchpoint plus fallbacks</w:t>
            </w:r>
          </w:p>
        </w:tc>
      </w:tr>
      <w:tr>
        <w:trPr>
          <w:cantSplit/>
        </w:trPr>
        <w:tc>
          <w:tcPr>
            <w:tcW w:w="1854" w:type="dxa"/>
            <w:vAlign w:val="top"/>
          </w:tcPr>
          <w:p>
            <w:pPr>
              <w:pStyle w:val="TableText"/>
              <w:jc w:val="left"/>
            </w:pPr>
            <w:r>
              <w:t xml:space="preserve">Voice bot calls</w:t>
            </w:r>
          </w:p>
        </w:tc>
        <w:tc>
          <w:tcPr>
            <w:tcW w:w="2630" w:type="dxa"/>
            <w:vAlign w:val="top"/>
          </w:tcPr>
          <w:p>
            <w:pPr>
              <w:pStyle w:val="TableText"/>
              <w:jc w:val="left"/>
            </w:pPr>
            <w:r>
              <w:t xml:space="preserve">About 6,500 (peak 20,000)</w:t>
            </w:r>
          </w:p>
        </w:tc>
        <w:tc>
          <w:tcPr>
            <w:tcW w:w="4543" w:type="dxa"/>
            <w:vAlign w:val="top"/>
          </w:tcPr>
          <w:p>
            <w:pPr>
              <w:pStyle w:val="TableText"/>
              <w:jc w:val="left"/>
            </w:pPr>
            <w:r>
              <w:t xml:space="preserve">Hot and warm share (about 40 %) of expiring vehicles at day −14, with call consent</w:t>
            </w:r>
          </w:p>
        </w:tc>
      </w:tr>
      <w:tr>
        <w:trPr>
          <w:cantSplit/>
        </w:trPr>
        <w:tc>
          <w:tcPr>
            <w:tcW w:w="1854" w:type="dxa"/>
            <w:shd w:val="clear" w:color="auto" w:fill="F4F7FB"/>
            <w:vAlign w:val="top"/>
          </w:tcPr>
          <w:p>
            <w:pPr>
              <w:pStyle w:val="TableText"/>
              <w:jc w:val="left"/>
            </w:pPr>
            <w:r>
              <w:t xml:space="preserve">Telesales handoffs</w:t>
            </w:r>
          </w:p>
        </w:tc>
        <w:tc>
          <w:tcPr>
            <w:tcW w:w="2630" w:type="dxa"/>
            <w:shd w:val="clear" w:color="auto" w:fill="F4F7FB"/>
            <w:vAlign w:val="top"/>
          </w:tcPr>
          <w:p>
            <w:pPr>
              <w:pStyle w:val="TableText"/>
              <w:jc w:val="left"/>
            </w:pPr>
            <w:r>
              <w:t xml:space="preserve">About 1,500</w:t>
            </w:r>
          </w:p>
        </w:tc>
        <w:tc>
          <w:tcPr>
            <w:tcW w:w="4543" w:type="dxa"/>
            <w:shd w:val="clear" w:color="auto" w:fill="F4F7FB"/>
            <w:vAlign w:val="top"/>
          </w:tcPr>
          <w:p>
            <w:pPr>
              <w:pStyle w:val="TableText"/>
              <w:jc w:val="left"/>
            </w:pPr>
            <w:r>
              <w:t xml:space="preserve">About 22 % of calls end as a hot handoff, plus journey escalations</w:t>
            </w:r>
          </w:p>
        </w:tc>
      </w:tr>
      <w:tr>
        <w:trPr>
          <w:cantSplit/>
        </w:trPr>
        <w:tc>
          <w:tcPr>
            <w:tcW w:w="1854" w:type="dxa"/>
            <w:vAlign w:val="top"/>
          </w:tcPr>
          <w:p>
            <w:pPr>
              <w:pStyle w:val="TableText"/>
              <w:jc w:val="left"/>
            </w:pPr>
            <w:r>
              <w:t xml:space="preserve">Incremental ingest</w:t>
            </w:r>
          </w:p>
        </w:tc>
        <w:tc>
          <w:tcPr>
            <w:tcW w:w="2630" w:type="dxa"/>
            <w:vAlign w:val="top"/>
          </w:tcPr>
          <w:p>
            <w:pPr>
              <w:pStyle w:val="TableText"/>
              <w:jc w:val="left"/>
            </w:pPr>
            <w:r>
              <w:t xml:space="preserve">60,000 to 180,000 records</w:t>
            </w:r>
          </w:p>
        </w:tc>
        <w:tc>
          <w:tcPr>
            <w:tcW w:w="4543" w:type="dxa"/>
            <w:vAlign w:val="top"/>
          </w:tcPr>
          <w:p>
            <w:pPr>
              <w:pStyle w:val="TableText"/>
              <w:jc w:val="left"/>
            </w:pPr>
            <w:r>
              <w:t xml:space="preserve">(A) 1 to 3 % of the base changes per day</w:t>
            </w:r>
          </w:p>
        </w:tc>
      </w:tr>
      <w:tr>
        <w:trPr>
          <w:cantSplit/>
        </w:trPr>
        <w:tc>
          <w:tcPr>
            <w:tcW w:w="1854" w:type="dxa"/>
            <w:shd w:val="clear" w:color="auto" w:fill="F4F7FB"/>
            <w:vAlign w:val="top"/>
          </w:tcPr>
          <w:p>
            <w:pPr>
              <w:pStyle w:val="TableText"/>
              <w:jc w:val="left"/>
            </w:pPr>
            <w:r>
              <w:t xml:space="preserve">Lead recompute</w:t>
            </w:r>
          </w:p>
        </w:tc>
        <w:tc>
          <w:tcPr>
            <w:tcW w:w="2630" w:type="dxa"/>
            <w:shd w:val="clear" w:color="auto" w:fill="F4F7FB"/>
            <w:vAlign w:val="top"/>
          </w:tcPr>
          <w:p>
            <w:pPr>
              <w:pStyle w:val="TableText"/>
              <w:jc w:val="left"/>
            </w:pPr>
            <w:r>
              <w:t xml:space="preserve">Event-driven, plus a full recompute</w:t>
            </w:r>
          </w:p>
        </w:tc>
        <w:tc>
          <w:tcPr>
            <w:tcW w:w="4543" w:type="dxa"/>
            <w:shd w:val="clear" w:color="auto" w:fill="F4F7FB"/>
            <w:vAlign w:val="top"/>
          </w:tcPr>
          <w:p>
            <w:pPr>
              <w:pStyle w:val="TableText"/>
              <w:jc w:val="left"/>
            </w:pPr>
            <w:r>
              <w:t xml:space="preserve">Nightly in the shipped schedule; weekly at full scale (A)</w:t>
            </w:r>
          </w:p>
        </w:tc>
      </w:tr>
      <w:tr>
        <w:trPr>
          <w:cantSplit/>
        </w:trPr>
        <w:tc>
          <w:tcPr>
            <w:tcW w:w="1854" w:type="dxa"/>
            <w:vAlign w:val="top"/>
          </w:tcPr>
          <w:p>
            <w:pPr>
              <w:pStyle w:val="TableText"/>
              <w:jc w:val="left"/>
            </w:pPr>
            <w:r>
              <w:t xml:space="preserve">Catalogue sync</w:t>
            </w:r>
          </w:p>
        </w:tc>
        <w:tc>
          <w:tcPr>
            <w:tcW w:w="2630" w:type="dxa"/>
            <w:vAlign w:val="top"/>
          </w:tcPr>
          <w:p>
            <w:pPr>
              <w:pStyle w:val="TableText"/>
              <w:jc w:val="left"/>
            </w:pPr>
            <w:r>
              <w:t xml:space="preserve">One call to TASCO core per night</w:t>
            </w:r>
          </w:p>
        </w:tc>
        <w:tc>
          <w:tcPr>
            <w:tcW w:w="4543" w:type="dxa"/>
            <w:vAlign w:val="top"/>
          </w:tcPr>
          <w:p>
            <w:pPr>
              <w:pStyle w:val="TableText"/>
              <w:jc w:val="left"/>
            </w:pPr>
            <w:r>
              <w:t xml:space="preserve">Scheduled at 01:00 Vietnam time</w:t>
            </w:r>
          </w:p>
        </w:tc>
      </w:tr>
    </w:tbl>
    <w:p>
      <w:pPr>
        <w:pStyle w:val="BodyText"/>
        <w:spacing w:before="160"/>
      </w:pPr>
      <w:r>
        <w:t xml:space="preserve">Pilot volumes are about 1 to 2 % of these figures.</w:t>
      </w:r>
    </w:p>
    <w:p>
      <w:pPr>
        <w:pStyle w:val="Heading2"/>
      </w:pPr>
      <w:bookmarkStart w:id="12" w:name="_Toc300000008"/>
      <w:r>
        <w:t xml:space="preserve">Online traffic</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08"/>
        <w:gridCol w:w="2483"/>
        <w:gridCol w:w="1406"/>
        <w:gridCol w:w="1636"/>
        <w:gridCol w:w="1594"/>
      </w:tblGrid>
      <w:tr>
        <w:trPr>
          <w:cantSplit/>
          <w:tblHeader/>
        </w:trPr>
        <w:tc>
          <w:tcPr>
            <w:tcW w:w="1908" w:type="dxa"/>
            <w:shd w:val="clear" w:color="auto" w:fill="0F4761"/>
            <w:vAlign w:val="center"/>
          </w:tcPr>
          <w:p>
            <w:pPr>
              <w:pStyle w:val="TableHeading"/>
              <w:jc w:val="left"/>
            </w:pPr>
            <w:r>
              <w:rPr>
                <w:color w:val="FFFFFF"/>
              </w:rPr>
              <w:t xml:space="preserve">Actor</w:t>
            </w:r>
          </w:p>
        </w:tc>
        <w:tc>
          <w:tcPr>
            <w:tcW w:w="2483" w:type="dxa"/>
            <w:shd w:val="clear" w:color="auto" w:fill="0F4761"/>
            <w:vAlign w:val="center"/>
          </w:tcPr>
          <w:p>
            <w:pPr>
              <w:pStyle w:val="TableHeading"/>
              <w:jc w:val="left"/>
            </w:pPr>
            <w:r>
              <w:rPr>
                <w:color w:val="FFFFFF"/>
              </w:rPr>
              <w:t xml:space="preserve">Peak-hour assumption</w:t>
            </w:r>
          </w:p>
        </w:tc>
        <w:tc>
          <w:tcPr>
            <w:tcW w:w="1406" w:type="dxa"/>
            <w:shd w:val="clear" w:color="auto" w:fill="0F4761"/>
            <w:vAlign w:val="center"/>
          </w:tcPr>
          <w:p>
            <w:pPr>
              <w:pStyle w:val="TableHeading"/>
              <w:jc w:val="left"/>
            </w:pPr>
            <w:r>
              <w:rPr>
                <w:color w:val="FFFFFF"/>
              </w:rPr>
              <w:t xml:space="preserve">Requests per session</w:t>
            </w:r>
          </w:p>
        </w:tc>
        <w:tc>
          <w:tcPr>
            <w:tcW w:w="1636" w:type="dxa"/>
            <w:shd w:val="clear" w:color="auto" w:fill="0F4761"/>
            <w:vAlign w:val="center"/>
          </w:tcPr>
          <w:p>
            <w:pPr>
              <w:pStyle w:val="TableHeading"/>
              <w:jc w:val="left"/>
            </w:pPr>
            <w:r>
              <w:rPr>
                <w:color w:val="FFFFFF"/>
              </w:rPr>
              <w:t xml:space="preserve">Sustained RPS</w:t>
            </w:r>
          </w:p>
        </w:tc>
        <w:tc>
          <w:tcPr>
            <w:tcW w:w="1594" w:type="dxa"/>
            <w:shd w:val="clear" w:color="auto" w:fill="0F4761"/>
            <w:vAlign w:val="center"/>
          </w:tcPr>
          <w:p>
            <w:pPr>
              <w:pStyle w:val="TableHeading"/>
              <w:jc w:val="left"/>
            </w:pPr>
            <w:r>
              <w:rPr>
                <w:color w:val="FFFFFF"/>
              </w:rPr>
              <w:t xml:space="preserve">Burst RPS</w:t>
            </w:r>
          </w:p>
        </w:tc>
      </w:tr>
      <w:tr>
        <w:trPr>
          <w:cantSplit/>
        </w:trPr>
        <w:tc>
          <w:tcPr>
            <w:tcW w:w="1908" w:type="dxa"/>
            <w:vAlign w:val="top"/>
          </w:tcPr>
          <w:p>
            <w:pPr>
              <w:pStyle w:val="TableText"/>
              <w:jc w:val="left"/>
            </w:pPr>
            <w:r>
              <w:t xml:space="preserve">Customers (VETC app, Zalo)</w:t>
            </w:r>
          </w:p>
        </w:tc>
        <w:tc>
          <w:tcPr>
            <w:tcW w:w="2483" w:type="dxa"/>
            <w:vAlign w:val="top"/>
          </w:tcPr>
          <w:p>
            <w:pPr>
              <w:pStyle w:val="TableText"/>
              <w:jc w:val="left"/>
            </w:pPr>
            <w:r>
              <w:t xml:space="preserve">75,000 sessions on a peak day, 15 % in the peak hour (A)</w:t>
            </w:r>
          </w:p>
        </w:tc>
        <w:tc>
          <w:tcPr>
            <w:tcW w:w="1406" w:type="dxa"/>
            <w:vAlign w:val="top"/>
          </w:tcPr>
          <w:p>
            <w:pPr>
              <w:pStyle w:val="TableText"/>
              <w:jc w:val="left"/>
            </w:pPr>
            <w:r>
              <w:t xml:space="preserve">About 6</w:t>
            </w:r>
          </w:p>
        </w:tc>
        <w:tc>
          <w:tcPr>
            <w:tcW w:w="1636" w:type="dxa"/>
            <w:vAlign w:val="top"/>
          </w:tcPr>
          <w:p>
            <w:pPr>
              <w:pStyle w:val="TableText"/>
              <w:jc w:val="left"/>
            </w:pPr>
            <w:r>
              <w:t xml:space="preserve">About 19</w:t>
            </w:r>
          </w:p>
        </w:tc>
        <w:tc>
          <w:tcPr>
            <w:tcW w:w="1594" w:type="dxa"/>
            <w:vAlign w:val="top"/>
          </w:tcPr>
          <w:p>
            <w:pPr>
              <w:pStyle w:val="TableText"/>
              <w:jc w:val="left"/>
            </w:pPr>
            <w:r>
              <w:t xml:space="preserve">About 100 for 10 minutes after a push blast</w:t>
            </w:r>
          </w:p>
        </w:tc>
      </w:tr>
      <w:tr>
        <w:trPr>
          <w:cantSplit/>
        </w:trPr>
        <w:tc>
          <w:tcPr>
            <w:tcW w:w="1908" w:type="dxa"/>
            <w:shd w:val="clear" w:color="auto" w:fill="F4F7FB"/>
            <w:vAlign w:val="top"/>
          </w:tcPr>
          <w:p>
            <w:pPr>
              <w:pStyle w:val="TableText"/>
              <w:jc w:val="left"/>
            </w:pPr>
            <w:r>
              <w:t xml:space="preserve">Telesales and staff</w:t>
            </w:r>
          </w:p>
        </w:tc>
        <w:tc>
          <w:tcPr>
            <w:tcW w:w="2483" w:type="dxa"/>
            <w:shd w:val="clear" w:color="auto" w:fill="F4F7FB"/>
            <w:vAlign w:val="top"/>
          </w:tcPr>
          <w:p>
            <w:pPr>
              <w:pStyle w:val="TableText"/>
              <w:jc w:val="left"/>
            </w:pPr>
            <w:r>
              <w:t xml:space="preserve">250 concurrent staff, 200 of them agents (A)</w:t>
            </w:r>
          </w:p>
        </w:tc>
        <w:tc>
          <w:tcPr>
            <w:tcW w:w="1406" w:type="dxa"/>
            <w:shd w:val="clear" w:color="auto" w:fill="F4F7FB"/>
            <w:vAlign w:val="top"/>
          </w:tcPr>
          <w:p>
            <w:pPr>
              <w:pStyle w:val="TableText"/>
              <w:jc w:val="left"/>
            </w:pPr>
            <w:r>
              <w:t xml:space="preserve">One request per 10 s per user</w:t>
            </w:r>
          </w:p>
        </w:tc>
        <w:tc>
          <w:tcPr>
            <w:tcW w:w="1636" w:type="dxa"/>
            <w:shd w:val="clear" w:color="auto" w:fill="F4F7FB"/>
            <w:vAlign w:val="top"/>
          </w:tcPr>
          <w:p>
            <w:pPr>
              <w:pStyle w:val="TableText"/>
              <w:jc w:val="left"/>
            </w:pPr>
            <w:r>
              <w:t xml:space="preserve">About 25</w:t>
            </w:r>
          </w:p>
        </w:tc>
        <w:tc>
          <w:tcPr>
            <w:tcW w:w="1594" w:type="dxa"/>
            <w:shd w:val="clear" w:color="auto" w:fill="F4F7FB"/>
            <w:vAlign w:val="top"/>
          </w:tcPr>
          <w:p>
            <w:pPr>
              <w:pStyle w:val="TableText"/>
              <w:jc w:val="left"/>
            </w:pPr>
            <w:r>
              <w:t xml:space="preserve">About 50 at shift start</w:t>
            </w:r>
          </w:p>
        </w:tc>
      </w:tr>
      <w:tr>
        <w:trPr>
          <w:cantSplit/>
        </w:trPr>
        <w:tc>
          <w:tcPr>
            <w:tcW w:w="1908" w:type="dxa"/>
            <w:vAlign w:val="top"/>
          </w:tcPr>
          <w:p>
            <w:pPr>
              <w:pStyle w:val="TableText"/>
              <w:jc w:val="left"/>
            </w:pPr>
            <w:r>
              <w:t xml:space="preserve">Partner API</w:t>
            </w:r>
          </w:p>
        </w:tc>
        <w:tc>
          <w:tcPr>
            <w:tcW w:w="2483" w:type="dxa"/>
            <w:vAlign w:val="top"/>
          </w:tcPr>
          <w:p>
            <w:pPr>
              <w:pStyle w:val="TableText"/>
              <w:jc w:val="left"/>
            </w:pPr>
            <w:r>
              <w:t xml:space="preserve">30 partners at scale (A)</w:t>
            </w:r>
          </w:p>
        </w:tc>
        <w:tc>
          <w:tcPr>
            <w:tcW w:w="1406" w:type="dxa"/>
            <w:vAlign w:val="top"/>
          </w:tcPr>
          <w:p>
            <w:pPr>
              <w:pStyle w:val="TableText"/>
              <w:jc w:val="left"/>
            </w:pPr>
            <w:r>
              <w:t xml:space="preserve">—</w:t>
            </w:r>
          </w:p>
        </w:tc>
        <w:tc>
          <w:tcPr>
            <w:tcW w:w="1636" w:type="dxa"/>
            <w:vAlign w:val="top"/>
          </w:tcPr>
          <w:p>
            <w:pPr>
              <w:pStyle w:val="TableText"/>
              <w:jc w:val="left"/>
            </w:pPr>
            <w:r>
              <w:t xml:space="preserve">Quotes 20, orders 5, other 5 TPS (A)</w:t>
            </w:r>
          </w:p>
        </w:tc>
        <w:tc>
          <w:tcPr>
            <w:tcW w:w="1594" w:type="dxa"/>
            <w:vAlign w:val="top"/>
          </w:tcPr>
          <w:p>
            <w:pPr>
              <w:pStyle w:val="TableText"/>
              <w:jc w:val="left"/>
            </w:pPr>
            <w:r>
              <w:t xml:space="preserve">50 TPS</w:t>
            </w:r>
          </w:p>
        </w:tc>
      </w:tr>
      <w:tr>
        <w:trPr>
          <w:cantSplit/>
        </w:trPr>
        <w:tc>
          <w:tcPr>
            <w:tcW w:w="1908" w:type="dxa"/>
            <w:shd w:val="clear" w:color="auto" w:fill="F4F7FB"/>
            <w:vAlign w:val="top"/>
          </w:tcPr>
          <w:p>
            <w:pPr>
              <w:pStyle w:val="TableText"/>
              <w:jc w:val="left"/>
            </w:pPr>
            <w:r>
              <w:t xml:space="preserve">Certificate verification</w:t>
            </w:r>
          </w:p>
        </w:tc>
        <w:tc>
          <w:tcPr>
            <w:tcW w:w="2483" w:type="dxa"/>
            <w:shd w:val="clear" w:color="auto" w:fill="F4F7FB"/>
            <w:vAlign w:val="top"/>
          </w:tcPr>
          <w:p>
            <w:pPr>
              <w:pStyle w:val="TableText"/>
              <w:jc w:val="left"/>
            </w:pPr>
            <w:r>
              <w:t xml:space="preserve">Police, inspection centres, customers (A)</w:t>
            </w:r>
          </w:p>
        </w:tc>
        <w:tc>
          <w:tcPr>
            <w:tcW w:w="1406" w:type="dxa"/>
            <w:shd w:val="clear" w:color="auto" w:fill="F4F7FB"/>
            <w:vAlign w:val="top"/>
          </w:tcPr>
          <w:p>
            <w:pPr>
              <w:pStyle w:val="TableText"/>
              <w:jc w:val="left"/>
            </w:pPr>
            <w:r>
              <w:t xml:space="preserve">1</w:t>
            </w:r>
          </w:p>
        </w:tc>
        <w:tc>
          <w:tcPr>
            <w:tcW w:w="1636" w:type="dxa"/>
            <w:shd w:val="clear" w:color="auto" w:fill="F4F7FB"/>
            <w:vAlign w:val="top"/>
          </w:tcPr>
          <w:p>
            <w:pPr>
              <w:pStyle w:val="TableText"/>
              <w:jc w:val="left"/>
            </w:pPr>
            <w:r>
              <w:t xml:space="preserve">5</w:t>
            </w:r>
          </w:p>
        </w:tc>
        <w:tc>
          <w:tcPr>
            <w:tcW w:w="1594" w:type="dxa"/>
            <w:shd w:val="clear" w:color="auto" w:fill="F4F7FB"/>
            <w:vAlign w:val="top"/>
          </w:tcPr>
          <w:p>
            <w:pPr>
              <w:pStyle w:val="TableText"/>
              <w:jc w:val="left"/>
            </w:pPr>
            <w:r>
              <w:t xml:space="preserve">20</w:t>
            </w:r>
          </w:p>
        </w:tc>
      </w:tr>
      <w:tr>
        <w:trPr>
          <w:cantSplit/>
        </w:trPr>
        <w:tc>
          <w:tcPr>
            <w:tcW w:w="1908" w:type="dxa"/>
            <w:vAlign w:val="top"/>
          </w:tcPr>
          <w:p>
            <w:pPr>
              <w:pStyle w:val="TableText"/>
              <w:jc w:val="left"/>
            </w:pPr>
            <w:r>
              <w:t xml:space="preserve">Ecosystem events</w:t>
            </w:r>
          </w:p>
        </w:tc>
        <w:tc>
          <w:tcPr>
            <w:tcW w:w="2483" w:type="dxa"/>
            <w:vAlign w:val="top"/>
          </w:tcPr>
          <w:p>
            <w:pPr>
              <w:pStyle w:val="TableText"/>
              <w:jc w:val="left"/>
            </w:pPr>
            <w:r>
              <w:t xml:space="preserve">Tag activations, inspection bookings, top-ups (A)</w:t>
            </w:r>
          </w:p>
        </w:tc>
        <w:tc>
          <w:tcPr>
            <w:tcW w:w="1406" w:type="dxa"/>
            <w:vAlign w:val="top"/>
          </w:tcPr>
          <w:p>
            <w:pPr>
              <w:pStyle w:val="TableText"/>
              <w:jc w:val="left"/>
            </w:pPr>
            <w:r>
              <w:t xml:space="preserve">1</w:t>
            </w:r>
          </w:p>
        </w:tc>
        <w:tc>
          <w:tcPr>
            <w:tcW w:w="1636" w:type="dxa"/>
            <w:vAlign w:val="top"/>
          </w:tcPr>
          <w:p>
            <w:pPr>
              <w:pStyle w:val="TableText"/>
              <w:jc w:val="left"/>
            </w:pPr>
            <w:r>
              <w:t xml:space="preserve">10</w:t>
            </w:r>
          </w:p>
        </w:tc>
        <w:tc>
          <w:tcPr>
            <w:tcW w:w="1594" w:type="dxa"/>
            <w:vAlign w:val="top"/>
          </w:tcPr>
          <w:p>
            <w:pPr>
              <w:pStyle w:val="TableText"/>
              <w:jc w:val="left"/>
            </w:pPr>
            <w:r>
              <w:t xml:space="preserve">50</w:t>
            </w:r>
          </w:p>
        </w:tc>
      </w:tr>
      <w:tr>
        <w:trPr>
          <w:cantSplit/>
        </w:trPr>
        <w:tc>
          <w:tcPr>
            <w:tcW w:w="1908" w:type="dxa"/>
            <w:shd w:val="clear" w:color="auto" w:fill="F4F7FB"/>
            <w:vAlign w:val="top"/>
          </w:tcPr>
          <w:p>
            <w:pPr>
              <w:pStyle w:val="TableText"/>
              <w:jc w:val="left"/>
            </w:pPr>
            <w:r>
              <w:t xml:space="preserve">Design point</w:t>
            </w:r>
          </w:p>
        </w:tc>
        <w:tc>
          <w:tcPr>
            <w:tcW w:w="2483" w:type="dxa"/>
            <w:shd w:val="clear" w:color="auto" w:fill="F4F7FB"/>
            <w:vAlign w:val="top"/>
          </w:tcPr>
          <w:p>
            <w:pPr>
              <w:pStyle w:val="TableText"/>
              <w:jc w:val="left"/>
            </w:pPr>
            <w:r>
              <w:t xml:space="preserve">—</w:t>
            </w:r>
          </w:p>
        </w:tc>
        <w:tc>
          <w:tcPr>
            <w:tcW w:w="1406" w:type="dxa"/>
            <w:shd w:val="clear" w:color="auto" w:fill="F4F7FB"/>
            <w:vAlign w:val="top"/>
          </w:tcPr>
          <w:p>
            <w:pPr>
              <w:pStyle w:val="TableText"/>
              <w:jc w:val="left"/>
            </w:pPr>
            <w:r>
              <w:t xml:space="preserve">—</w:t>
            </w:r>
          </w:p>
        </w:tc>
        <w:tc>
          <w:tcPr>
            <w:tcW w:w="1636" w:type="dxa"/>
            <w:shd w:val="clear" w:color="auto" w:fill="F4F7FB"/>
            <w:vAlign w:val="top"/>
          </w:tcPr>
          <w:p>
            <w:pPr>
              <w:pStyle w:val="TableText"/>
              <w:jc w:val="left"/>
            </w:pPr>
            <w:r>
              <w:t xml:space="preserve">About 100</w:t>
            </w:r>
          </w:p>
        </w:tc>
        <w:tc>
          <w:tcPr>
            <w:tcW w:w="1594" w:type="dxa"/>
            <w:shd w:val="clear" w:color="auto" w:fill="F4F7FB"/>
            <w:vAlign w:val="top"/>
          </w:tcPr>
          <w:p>
            <w:pPr>
              <w:pStyle w:val="TableText"/>
              <w:jc w:val="left"/>
            </w:pPr>
            <w:r>
              <w:t xml:space="preserve">300 design, 600 stress target</w:t>
            </w:r>
          </w:p>
        </w:tc>
      </w:tr>
    </w:tbl>
    <w:p>
      <w:pPr>
        <w:pStyle w:val="BodyText"/>
        <w:spacing w:before="160"/>
      </w:pPr>
      <w:r>
        <w:t xml:space="preserve">Partner figures are sizing assumptions, not commitments. Contractual rate limits per partner are enforced at the API gateway.</w:t>
      </w:r>
    </w:p>
    <w:p>
      <w:pPr>
        <w:pStyle w:val="BodyText"/>
      </w:pPr>
      <w:r>
        <w:t xml:space="preserve">Every quote calls TASCO core for rating (</w:t>
      </w:r>
      <w:r>
        <w:rPr>
          <w:rStyle w:val="CodeChar"/>
        </w:rPr>
        <w:t xml:space="preserve">RATING_SOURCE=core</w:t>
      </w:r>
      <w:r>
        <w:t xml:space="preserve">), so quote latency includes core’s response time. The tests inject realistic core latency into the sandbox.</w:t>
      </w:r>
    </w:p>
    <w:p>
      <w:pPr>
        <w:pStyle w:val="Heading2"/>
      </w:pPr>
      <w:bookmarkStart w:id="13" w:name="_Toc300000009"/>
      <w:r>
        <w:t xml:space="preserve">Transaction mix for PERF-S1</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59"/>
        <w:gridCol w:w="6314"/>
        <w:gridCol w:w="854"/>
      </w:tblGrid>
      <w:tr>
        <w:trPr>
          <w:cantSplit/>
          <w:tblHeader/>
        </w:trPr>
        <w:tc>
          <w:tcPr>
            <w:tcW w:w="1859" w:type="dxa"/>
            <w:shd w:val="clear" w:color="auto" w:fill="0F4761"/>
            <w:vAlign w:val="center"/>
          </w:tcPr>
          <w:p>
            <w:pPr>
              <w:pStyle w:val="TableHeading"/>
              <w:jc w:val="left"/>
            </w:pPr>
            <w:r>
              <w:rPr>
                <w:color w:val="FFFFFF"/>
              </w:rPr>
              <w:t xml:space="preserve">Group</w:t>
            </w:r>
          </w:p>
        </w:tc>
        <w:tc>
          <w:tcPr>
            <w:tcW w:w="6314" w:type="dxa"/>
            <w:shd w:val="clear" w:color="auto" w:fill="0F4761"/>
            <w:vAlign w:val="center"/>
          </w:tcPr>
          <w:p>
            <w:pPr>
              <w:pStyle w:val="TableHeading"/>
              <w:jc w:val="left"/>
            </w:pPr>
            <w:r>
              <w:rPr>
                <w:color w:val="FFFFFF"/>
              </w:rPr>
              <w:t xml:space="preserve">Endpoints</w:t>
            </w:r>
          </w:p>
        </w:tc>
        <w:tc>
          <w:tcPr>
            <w:tcW w:w="854" w:type="dxa"/>
            <w:shd w:val="clear" w:color="auto" w:fill="0F4761"/>
            <w:vAlign w:val="center"/>
          </w:tcPr>
          <w:p>
            <w:pPr>
              <w:pStyle w:val="TableHeading"/>
              <w:jc w:val="left"/>
            </w:pPr>
            <w:r>
              <w:rPr>
                <w:color w:val="FFFFFF"/>
              </w:rPr>
              <w:t xml:space="preserve">Share</w:t>
            </w:r>
          </w:p>
        </w:tc>
      </w:tr>
      <w:tr>
        <w:trPr>
          <w:cantSplit/>
        </w:trPr>
        <w:tc>
          <w:tcPr>
            <w:tcW w:w="1859" w:type="dxa"/>
            <w:vAlign w:val="top"/>
          </w:tcPr>
          <w:p>
            <w:pPr>
              <w:pStyle w:val="TableText"/>
              <w:jc w:val="left"/>
            </w:pPr>
            <w:r>
              <w:t xml:space="preserve">Customer reads</w:t>
            </w:r>
          </w:p>
        </w:tc>
        <w:tc>
          <w:tcPr>
            <w:tcW w:w="6314" w:type="dxa"/>
            <w:vAlign w:val="top"/>
          </w:tcPr>
          <w:p>
            <w:pPr>
              <w:pStyle w:val="TableText"/>
              <w:jc w:val="left"/>
            </w:pPr>
            <w:r>
              <w:t xml:space="preserve">Customer home, customer quotes</w:t>
            </w:r>
          </w:p>
        </w:tc>
        <w:tc>
          <w:tcPr>
            <w:tcW w:w="854" w:type="dxa"/>
            <w:vAlign w:val="top"/>
          </w:tcPr>
          <w:p>
            <w:pPr>
              <w:pStyle w:val="TableText"/>
              <w:jc w:val="left"/>
            </w:pPr>
            <w:r>
              <w:t xml:space="preserve">25 %</w:t>
            </w:r>
          </w:p>
        </w:tc>
      </w:tr>
      <w:tr>
        <w:trPr>
          <w:cantSplit/>
        </w:trPr>
        <w:tc>
          <w:tcPr>
            <w:tcW w:w="1859" w:type="dxa"/>
            <w:shd w:val="clear" w:color="auto" w:fill="F4F7FB"/>
            <w:vAlign w:val="top"/>
          </w:tcPr>
          <w:p>
            <w:pPr>
              <w:pStyle w:val="TableText"/>
              <w:jc w:val="left"/>
            </w:pPr>
            <w:r>
              <w:t xml:space="preserve">Customer quote</w:t>
            </w:r>
          </w:p>
        </w:tc>
        <w:tc>
          <w:tcPr>
            <w:tcW w:w="6314" w:type="dxa"/>
            <w:shd w:val="clear" w:color="auto" w:fill="F4F7FB"/>
            <w:vAlign w:val="top"/>
          </w:tcPr>
          <w:p>
            <w:pPr>
              <w:pStyle w:val="TableText"/>
              <w:jc w:val="left"/>
            </w:pPr>
            <w:r>
              <w:t xml:space="preserve">Customer quote (TNDS; TNDS with personal accident cover per seat)</w:t>
            </w:r>
          </w:p>
        </w:tc>
        <w:tc>
          <w:tcPr>
            <w:tcW w:w="854" w:type="dxa"/>
            <w:shd w:val="clear" w:color="auto" w:fill="F4F7FB"/>
            <w:vAlign w:val="top"/>
          </w:tcPr>
          <w:p>
            <w:pPr>
              <w:pStyle w:val="TableText"/>
              <w:jc w:val="left"/>
            </w:pPr>
            <w:r>
              <w:t xml:space="preserve">12 %</w:t>
            </w:r>
          </w:p>
        </w:tc>
      </w:tr>
      <w:tr>
        <w:trPr>
          <w:cantSplit/>
        </w:trPr>
        <w:tc>
          <w:tcPr>
            <w:tcW w:w="1859" w:type="dxa"/>
            <w:vAlign w:val="top"/>
          </w:tcPr>
          <w:p>
            <w:pPr>
              <w:pStyle w:val="TableText"/>
              <w:jc w:val="left"/>
            </w:pPr>
            <w:r>
              <w:t xml:space="preserve">Customer order</w:t>
            </w:r>
          </w:p>
        </w:tc>
        <w:tc>
          <w:tcPr>
            <w:tcW w:w="6314" w:type="dxa"/>
            <w:vAlign w:val="top"/>
          </w:tcPr>
          <w:p>
            <w:pPr>
              <w:pStyle w:val="TableText"/>
              <w:jc w:val="left"/>
            </w:pPr>
            <w:r>
              <w:t xml:space="preserve">Customer order with a unique</w:t>
            </w:r>
            <w:r>
              <w:t xml:space="preserve"> </w:t>
            </w:r>
            <w:r>
              <w:rPr>
                <w:rStyle w:val="CodeChar"/>
              </w:rPr>
              <w:t xml:space="preserve">Idempotency-Key</w:t>
            </w:r>
          </w:p>
        </w:tc>
        <w:tc>
          <w:tcPr>
            <w:tcW w:w="854" w:type="dxa"/>
            <w:vAlign w:val="top"/>
          </w:tcPr>
          <w:p>
            <w:pPr>
              <w:pStyle w:val="TableText"/>
              <w:jc w:val="left"/>
            </w:pPr>
            <w:r>
              <w:t xml:space="preserve">4 %</w:t>
            </w:r>
          </w:p>
        </w:tc>
      </w:tr>
      <w:tr>
        <w:trPr>
          <w:cantSplit/>
        </w:trPr>
        <w:tc>
          <w:tcPr>
            <w:tcW w:w="1859" w:type="dxa"/>
            <w:shd w:val="clear" w:color="auto" w:fill="F4F7FB"/>
            <w:vAlign w:val="top"/>
          </w:tcPr>
          <w:p>
            <w:pPr>
              <w:pStyle w:val="TableText"/>
              <w:jc w:val="left"/>
            </w:pPr>
            <w:r>
              <w:t xml:space="preserve">Customer session</w:t>
            </w:r>
          </w:p>
        </w:tc>
        <w:tc>
          <w:tcPr>
            <w:tcW w:w="6314" w:type="dxa"/>
            <w:shd w:val="clear" w:color="auto" w:fill="F4F7FB"/>
            <w:vAlign w:val="top"/>
          </w:tcPr>
          <w:p>
            <w:pPr>
              <w:pStyle w:val="TableText"/>
              <w:jc w:val="left"/>
            </w:pPr>
            <w:r>
              <w:t xml:space="preserve">Session from a signed link</w:t>
            </w:r>
          </w:p>
        </w:tc>
        <w:tc>
          <w:tcPr>
            <w:tcW w:w="854" w:type="dxa"/>
            <w:shd w:val="clear" w:color="auto" w:fill="F4F7FB"/>
            <w:vAlign w:val="top"/>
          </w:tcPr>
          <w:p>
            <w:pPr>
              <w:pStyle w:val="TableText"/>
              <w:jc w:val="left"/>
            </w:pPr>
            <w:r>
              <w:t xml:space="preserve">5 %</w:t>
            </w:r>
          </w:p>
        </w:tc>
      </w:tr>
      <w:tr>
        <w:trPr>
          <w:cantSplit/>
        </w:trPr>
        <w:tc>
          <w:tcPr>
            <w:tcW w:w="1859" w:type="dxa"/>
            <w:vAlign w:val="top"/>
          </w:tcPr>
          <w:p>
            <w:pPr>
              <w:pStyle w:val="TableText"/>
              <w:jc w:val="left"/>
            </w:pPr>
            <w:r>
              <w:t xml:space="preserve">Staff reads</w:t>
            </w:r>
          </w:p>
        </w:tc>
        <w:tc>
          <w:tcPr>
            <w:tcW w:w="6314" w:type="dxa"/>
            <w:vAlign w:val="top"/>
          </w:tcPr>
          <w:p>
            <w:pPr>
              <w:pStyle w:val="TableText"/>
              <w:jc w:val="left"/>
            </w:pPr>
            <w:r>
              <w:t xml:space="preserve">Leads, Customer 360, handoffs, touchpoints</w:t>
            </w:r>
          </w:p>
        </w:tc>
        <w:tc>
          <w:tcPr>
            <w:tcW w:w="854" w:type="dxa"/>
            <w:vAlign w:val="top"/>
          </w:tcPr>
          <w:p>
            <w:pPr>
              <w:pStyle w:val="TableText"/>
              <w:jc w:val="left"/>
            </w:pPr>
            <w:r>
              <w:t xml:space="preserve">20 %</w:t>
            </w:r>
          </w:p>
        </w:tc>
      </w:tr>
      <w:tr>
        <w:trPr>
          <w:cantSplit/>
        </w:trPr>
        <w:tc>
          <w:tcPr>
            <w:tcW w:w="1859" w:type="dxa"/>
            <w:shd w:val="clear" w:color="auto" w:fill="F4F7FB"/>
            <w:vAlign w:val="top"/>
          </w:tcPr>
          <w:p>
            <w:pPr>
              <w:pStyle w:val="TableText"/>
              <w:jc w:val="left"/>
            </w:pPr>
            <w:r>
              <w:t xml:space="preserve">Staff writes</w:t>
            </w:r>
          </w:p>
        </w:tc>
        <w:tc>
          <w:tcPr>
            <w:tcW w:w="6314" w:type="dxa"/>
            <w:shd w:val="clear" w:color="auto" w:fill="F4F7FB"/>
            <w:vAlign w:val="top"/>
          </w:tcPr>
          <w:p>
            <w:pPr>
              <w:pStyle w:val="TableText"/>
              <w:jc w:val="left"/>
            </w:pPr>
            <w:r>
              <w:t xml:space="preserve">Handoff update, quote, send quote to customer</w:t>
            </w:r>
          </w:p>
        </w:tc>
        <w:tc>
          <w:tcPr>
            <w:tcW w:w="854" w:type="dxa"/>
            <w:shd w:val="clear" w:color="auto" w:fill="F4F7FB"/>
            <w:vAlign w:val="top"/>
          </w:tcPr>
          <w:p>
            <w:pPr>
              <w:pStyle w:val="TableText"/>
              <w:jc w:val="left"/>
            </w:pPr>
            <w:r>
              <w:t xml:space="preserve">6 %</w:t>
            </w:r>
          </w:p>
        </w:tc>
      </w:tr>
      <w:tr>
        <w:trPr>
          <w:cantSplit/>
        </w:trPr>
        <w:tc>
          <w:tcPr>
            <w:tcW w:w="1859" w:type="dxa"/>
            <w:vAlign w:val="top"/>
          </w:tcPr>
          <w:p>
            <w:pPr>
              <w:pStyle w:val="TableText"/>
              <w:jc w:val="left"/>
            </w:pPr>
            <w:r>
              <w:t xml:space="preserve">Partner</w:t>
            </w:r>
          </w:p>
        </w:tc>
        <w:tc>
          <w:tcPr>
            <w:tcW w:w="6314" w:type="dxa"/>
            <w:vAlign w:val="top"/>
          </w:tcPr>
          <w:p>
            <w:pPr>
              <w:pStyle w:val="TableText"/>
              <w:jc w:val="left"/>
            </w:pPr>
            <w:r>
              <w:t xml:space="preserve">Partner quote, order, policy list</w:t>
            </w:r>
          </w:p>
        </w:tc>
        <w:tc>
          <w:tcPr>
            <w:tcW w:w="854" w:type="dxa"/>
            <w:vAlign w:val="top"/>
          </w:tcPr>
          <w:p>
            <w:pPr>
              <w:pStyle w:val="TableText"/>
              <w:jc w:val="left"/>
            </w:pPr>
            <w:r>
              <w:t xml:space="preserve">15 %</w:t>
            </w:r>
          </w:p>
        </w:tc>
      </w:tr>
      <w:tr>
        <w:trPr>
          <w:cantSplit/>
        </w:trPr>
        <w:tc>
          <w:tcPr>
            <w:tcW w:w="1859" w:type="dxa"/>
            <w:shd w:val="clear" w:color="auto" w:fill="F4F7FB"/>
            <w:vAlign w:val="top"/>
          </w:tcPr>
          <w:p>
            <w:pPr>
              <w:pStyle w:val="TableText"/>
              <w:jc w:val="left"/>
            </w:pPr>
            <w:r>
              <w:t xml:space="preserve">Public</w:t>
            </w:r>
          </w:p>
        </w:tc>
        <w:tc>
          <w:tcPr>
            <w:tcW w:w="6314" w:type="dxa"/>
            <w:shd w:val="clear" w:color="auto" w:fill="F4F7FB"/>
            <w:vAlign w:val="top"/>
          </w:tcPr>
          <w:p>
            <w:pPr>
              <w:pStyle w:val="TableText"/>
              <w:jc w:val="left"/>
            </w:pPr>
            <w:r>
              <w:t xml:space="preserve">Certificate verification</w:t>
            </w:r>
          </w:p>
        </w:tc>
        <w:tc>
          <w:tcPr>
            <w:tcW w:w="854" w:type="dxa"/>
            <w:shd w:val="clear" w:color="auto" w:fill="F4F7FB"/>
            <w:vAlign w:val="top"/>
          </w:tcPr>
          <w:p>
            <w:pPr>
              <w:pStyle w:val="TableText"/>
              <w:jc w:val="left"/>
            </w:pPr>
            <w:r>
              <w:t xml:space="preserve">5 %</w:t>
            </w:r>
          </w:p>
        </w:tc>
      </w:tr>
      <w:tr>
        <w:trPr>
          <w:cantSplit/>
        </w:trPr>
        <w:tc>
          <w:tcPr>
            <w:tcW w:w="1859" w:type="dxa"/>
            <w:vAlign w:val="top"/>
          </w:tcPr>
          <w:p>
            <w:pPr>
              <w:pStyle w:val="TableText"/>
              <w:jc w:val="left"/>
            </w:pPr>
            <w:r>
              <w:t xml:space="preserve">Events</w:t>
            </w:r>
          </w:p>
        </w:tc>
        <w:tc>
          <w:tcPr>
            <w:tcW w:w="6314" w:type="dxa"/>
            <w:vAlign w:val="top"/>
          </w:tcPr>
          <w:p>
            <w:pPr>
              <w:pStyle w:val="TableText"/>
              <w:jc w:val="left"/>
            </w:pPr>
            <w:r>
              <w:t xml:space="preserve">Ecosystem events</w:t>
            </w:r>
          </w:p>
        </w:tc>
        <w:tc>
          <w:tcPr>
            <w:tcW w:w="854" w:type="dxa"/>
            <w:vAlign w:val="top"/>
          </w:tcPr>
          <w:p>
            <w:pPr>
              <w:pStyle w:val="TableText"/>
              <w:jc w:val="left"/>
            </w:pPr>
            <w:r>
              <w:t xml:space="preserve">5 %</w:t>
            </w:r>
          </w:p>
        </w:tc>
      </w:tr>
      <w:tr>
        <w:trPr>
          <w:cantSplit/>
        </w:trPr>
        <w:tc>
          <w:tcPr>
            <w:tcW w:w="1859" w:type="dxa"/>
            <w:shd w:val="clear" w:color="auto" w:fill="F4F7FB"/>
            <w:vAlign w:val="top"/>
          </w:tcPr>
          <w:p>
            <w:pPr>
              <w:pStyle w:val="TableText"/>
              <w:jc w:val="left"/>
            </w:pPr>
            <w:r>
              <w:t xml:space="preserve">Dashboards</w:t>
            </w:r>
          </w:p>
        </w:tc>
        <w:tc>
          <w:tcPr>
            <w:tcW w:w="6314" w:type="dxa"/>
            <w:shd w:val="clear" w:color="auto" w:fill="F4F7FB"/>
            <w:vAlign w:val="top"/>
          </w:tcPr>
          <w:p>
            <w:pPr>
              <w:pStyle w:val="TableText"/>
              <w:jc w:val="left"/>
            </w:pPr>
            <w:r>
              <w:t xml:space="preserve">Overview dashboard (heavy aggregate, rate-capped)</w:t>
            </w:r>
          </w:p>
        </w:tc>
        <w:tc>
          <w:tcPr>
            <w:tcW w:w="854" w:type="dxa"/>
            <w:shd w:val="clear" w:color="auto" w:fill="F4F7FB"/>
            <w:vAlign w:val="top"/>
          </w:tcPr>
          <w:p>
            <w:pPr>
              <w:pStyle w:val="TableText"/>
              <w:jc w:val="left"/>
            </w:pPr>
            <w:r>
              <w:t xml:space="preserve">1 %</w:t>
            </w:r>
          </w:p>
        </w:tc>
      </w:tr>
      <w:tr>
        <w:trPr>
          <w:cantSplit/>
        </w:trPr>
        <w:tc>
          <w:tcPr>
            <w:tcW w:w="1859" w:type="dxa"/>
            <w:noWrap/>
            <w:vAlign w:val="top"/>
          </w:tcPr>
          <w:p>
            <w:pPr>
              <w:pStyle w:val="TableText"/>
              <w:jc w:val="left"/>
            </w:pPr>
            <w:r>
              <w:t xml:space="preserve">Sign-in</w:t>
            </w:r>
          </w:p>
        </w:tc>
        <w:tc>
          <w:tcPr>
            <w:tcW w:w="6314" w:type="dxa"/>
            <w:vAlign w:val="top"/>
          </w:tcPr>
          <w:p>
            <w:pPr>
              <w:pStyle w:val="TableText"/>
              <w:jc w:val="left"/>
            </w:pPr>
            <w:r>
              <w:t xml:space="preserve">Password and MFA</w:t>
            </w:r>
          </w:p>
        </w:tc>
        <w:tc>
          <w:tcPr>
            <w:tcW w:w="854" w:type="dxa"/>
            <w:vAlign w:val="top"/>
          </w:tcPr>
          <w:p>
            <w:pPr>
              <w:pStyle w:val="TableText"/>
              <w:jc w:val="left"/>
            </w:pPr>
            <w:r>
              <w:t xml:space="preserve">2 %</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Scenarios</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85"/>
        <w:gridCol w:w="2277"/>
        <w:gridCol w:w="3683"/>
        <w:gridCol w:w="1592"/>
        <w:gridCol w:w="4273"/>
        <w:gridCol w:w="949"/>
      </w:tblGrid>
      <w:tr>
        <w:trPr>
          <w:cantSplit/>
          <w:tblHeader/>
        </w:trPr>
        <w:tc>
          <w:tcPr>
            <w:tcW w:w="1185" w:type="dxa"/>
            <w:shd w:val="clear" w:color="auto" w:fill="0F4761"/>
            <w:vAlign w:val="center"/>
          </w:tcPr>
          <w:p>
            <w:pPr>
              <w:pStyle w:val="TableHeading"/>
              <w:jc w:val="left"/>
            </w:pPr>
            <w:r>
              <w:rPr>
                <w:color w:val="FFFFFF"/>
              </w:rPr>
              <w:t xml:space="preserve">ID</w:t>
            </w:r>
          </w:p>
        </w:tc>
        <w:tc>
          <w:tcPr>
            <w:tcW w:w="2277" w:type="dxa"/>
            <w:shd w:val="clear" w:color="auto" w:fill="0F4761"/>
            <w:vAlign w:val="center"/>
          </w:tcPr>
          <w:p>
            <w:pPr>
              <w:pStyle w:val="TableHeading"/>
              <w:jc w:val="left"/>
            </w:pPr>
            <w:r>
              <w:rPr>
                <w:color w:val="FFFFFF"/>
              </w:rPr>
              <w:t xml:space="preserve">Scenario</w:t>
            </w:r>
          </w:p>
        </w:tc>
        <w:tc>
          <w:tcPr>
            <w:tcW w:w="3683" w:type="dxa"/>
            <w:shd w:val="clear" w:color="auto" w:fill="0F4761"/>
            <w:vAlign w:val="center"/>
          </w:tcPr>
          <w:p>
            <w:pPr>
              <w:pStyle w:val="TableHeading"/>
              <w:jc w:val="left"/>
            </w:pPr>
            <w:r>
              <w:rPr>
                <w:color w:val="FFFFFF"/>
              </w:rPr>
              <w:t xml:space="preserve">Load profile</w:t>
            </w:r>
          </w:p>
        </w:tc>
        <w:tc>
          <w:tcPr>
            <w:tcW w:w="1592" w:type="dxa"/>
            <w:shd w:val="clear" w:color="auto" w:fill="0F4761"/>
            <w:vAlign w:val="center"/>
          </w:tcPr>
          <w:p>
            <w:pPr>
              <w:pStyle w:val="TableHeading"/>
              <w:jc w:val="left"/>
            </w:pPr>
            <w:r>
              <w:rPr>
                <w:color w:val="FFFFFF"/>
              </w:rPr>
              <w:t xml:space="preserve">Duration</w:t>
            </w:r>
          </w:p>
        </w:tc>
        <w:tc>
          <w:tcPr>
            <w:tcW w:w="4273" w:type="dxa"/>
            <w:shd w:val="clear" w:color="auto" w:fill="0F4761"/>
            <w:vAlign w:val="center"/>
          </w:tcPr>
          <w:p>
            <w:pPr>
              <w:pStyle w:val="TableHeading"/>
              <w:jc w:val="left"/>
            </w:pPr>
            <w:r>
              <w:rPr>
                <w:color w:val="FFFFFF"/>
              </w:rPr>
              <w:t xml:space="preserve">Purpose</w:t>
            </w:r>
          </w:p>
        </w:tc>
        <w:tc>
          <w:tcPr>
            <w:tcW w:w="949" w:type="dxa"/>
            <w:shd w:val="clear" w:color="auto" w:fill="0F4761"/>
            <w:vAlign w:val="center"/>
          </w:tcPr>
          <w:p>
            <w:pPr>
              <w:pStyle w:val="TableHeading"/>
              <w:jc w:val="left"/>
            </w:pPr>
            <w:r>
              <w:rPr>
                <w:color w:val="FFFFFF"/>
              </w:rPr>
              <w:t xml:space="preserve">Case</w:t>
            </w:r>
          </w:p>
        </w:tc>
      </w:tr>
      <w:tr>
        <w:trPr>
          <w:cantSplit/>
        </w:trPr>
        <w:tc>
          <w:tcPr>
            <w:tcW w:w="1185" w:type="dxa"/>
            <w:noWrap/>
            <w:vAlign w:val="top"/>
          </w:tcPr>
          <w:p>
            <w:pPr>
              <w:pStyle w:val="TableText"/>
              <w:jc w:val="left"/>
            </w:pPr>
            <w:r>
              <w:t xml:space="preserve">PERF-S1</w:t>
            </w:r>
          </w:p>
        </w:tc>
        <w:tc>
          <w:tcPr>
            <w:tcW w:w="2277" w:type="dxa"/>
            <w:vAlign w:val="top"/>
          </w:tcPr>
          <w:p>
            <w:pPr>
              <w:pStyle w:val="TableText"/>
              <w:jc w:val="left"/>
            </w:pPr>
            <w:r>
              <w:t xml:space="preserve">Peak-hour mixed load</w:t>
            </w:r>
          </w:p>
        </w:tc>
        <w:tc>
          <w:tcPr>
            <w:tcW w:w="3683" w:type="dxa"/>
            <w:vAlign w:val="top"/>
          </w:tcPr>
          <w:p>
            <w:pPr>
              <w:pStyle w:val="TableText"/>
              <w:jc w:val="left"/>
            </w:pPr>
            <w:r>
              <w:t xml:space="preserve">Ramp to 300 RPS over 10 minutes, hold 30 minutes</w:t>
            </w:r>
          </w:p>
        </w:tc>
        <w:tc>
          <w:tcPr>
            <w:tcW w:w="1592" w:type="dxa"/>
            <w:vAlign w:val="top"/>
          </w:tcPr>
          <w:p>
            <w:pPr>
              <w:pStyle w:val="TableText"/>
              <w:jc w:val="left"/>
            </w:pPr>
            <w:r>
              <w:t xml:space="preserve">45 min</w:t>
            </w:r>
          </w:p>
        </w:tc>
        <w:tc>
          <w:tcPr>
            <w:tcW w:w="4273" w:type="dxa"/>
            <w:vAlign w:val="top"/>
          </w:tcPr>
          <w:p>
            <w:pPr>
              <w:pStyle w:val="TableText"/>
              <w:jc w:val="left"/>
            </w:pPr>
            <w:r>
              <w:t xml:space="preserve">Targets at the design point</w:t>
            </w:r>
          </w:p>
        </w:tc>
        <w:tc>
          <w:tcPr>
            <w:tcW w:w="949" w:type="dxa"/>
            <w:noWrap/>
            <w:vAlign w:val="top"/>
          </w:tcPr>
          <w:p>
            <w:pPr>
              <w:pStyle w:val="TableText"/>
              <w:jc w:val="left"/>
            </w:pPr>
            <w:r>
              <w:t xml:space="preserve">TC-136</w:t>
            </w:r>
          </w:p>
        </w:tc>
      </w:tr>
      <w:tr>
        <w:trPr>
          <w:cantSplit/>
        </w:trPr>
        <w:tc>
          <w:tcPr>
            <w:tcW w:w="1185" w:type="dxa"/>
            <w:shd w:val="clear" w:color="auto" w:fill="F4F7FB"/>
            <w:noWrap/>
            <w:vAlign w:val="top"/>
          </w:tcPr>
          <w:p>
            <w:pPr>
              <w:pStyle w:val="TableText"/>
              <w:jc w:val="left"/>
            </w:pPr>
            <w:r>
              <w:t xml:space="preserve">PERF-S2</w:t>
            </w:r>
          </w:p>
        </w:tc>
        <w:tc>
          <w:tcPr>
            <w:tcW w:w="2277" w:type="dxa"/>
            <w:shd w:val="clear" w:color="auto" w:fill="F4F7FB"/>
            <w:vAlign w:val="top"/>
          </w:tcPr>
          <w:p>
            <w:pPr>
              <w:pStyle w:val="TableText"/>
              <w:jc w:val="left"/>
            </w:pPr>
            <w:r>
              <w:t xml:space="preserve">Push-blast spike</w:t>
            </w:r>
          </w:p>
        </w:tc>
        <w:tc>
          <w:tcPr>
            <w:tcW w:w="3683" w:type="dxa"/>
            <w:shd w:val="clear" w:color="auto" w:fill="F4F7FB"/>
            <w:vAlign w:val="top"/>
          </w:tcPr>
          <w:p>
            <w:pPr>
              <w:pStyle w:val="TableText"/>
              <w:jc w:val="left"/>
            </w:pPr>
            <w:r>
              <w:t xml:space="preserve">Customer traffic 20 to 150 RPS in 30 s, hold 10 minutes</w:t>
            </w:r>
          </w:p>
        </w:tc>
        <w:tc>
          <w:tcPr>
            <w:tcW w:w="1592" w:type="dxa"/>
            <w:shd w:val="clear" w:color="auto" w:fill="F4F7FB"/>
            <w:vAlign w:val="top"/>
          </w:tcPr>
          <w:p>
            <w:pPr>
              <w:pStyle w:val="TableText"/>
              <w:jc w:val="left"/>
            </w:pPr>
            <w:r>
              <w:t xml:space="preserve">15 min</w:t>
            </w:r>
          </w:p>
        </w:tc>
        <w:tc>
          <w:tcPr>
            <w:tcW w:w="4273" w:type="dxa"/>
            <w:shd w:val="clear" w:color="auto" w:fill="F4F7FB"/>
            <w:vAlign w:val="top"/>
          </w:tcPr>
          <w:p>
            <w:pPr>
              <w:pStyle w:val="TableText"/>
              <w:jc w:val="left"/>
            </w:pPr>
            <w:r>
              <w:t xml:space="preserve">Burst after a journey run</w:t>
            </w:r>
          </w:p>
        </w:tc>
        <w:tc>
          <w:tcPr>
            <w:tcW w:w="949" w:type="dxa"/>
            <w:shd w:val="clear" w:color="auto" w:fill="F4F7FB"/>
            <w:vAlign w:val="top"/>
          </w:tcPr>
          <w:p>
            <w:pPr>
              <w:pStyle w:val="TableText"/>
              <w:jc w:val="left"/>
            </w:pPr>
            <w:r>
              <w:t xml:space="preserve">—</w:t>
            </w:r>
          </w:p>
        </w:tc>
      </w:tr>
      <w:tr>
        <w:trPr>
          <w:cantSplit/>
        </w:trPr>
        <w:tc>
          <w:tcPr>
            <w:tcW w:w="1185" w:type="dxa"/>
            <w:noWrap/>
            <w:vAlign w:val="top"/>
          </w:tcPr>
          <w:p>
            <w:pPr>
              <w:pStyle w:val="TableText"/>
              <w:jc w:val="left"/>
            </w:pPr>
            <w:r>
              <w:t xml:space="preserve">PERF-S3</w:t>
            </w:r>
          </w:p>
        </w:tc>
        <w:tc>
          <w:tcPr>
            <w:tcW w:w="2277" w:type="dxa"/>
            <w:vAlign w:val="top"/>
          </w:tcPr>
          <w:p>
            <w:pPr>
              <w:pStyle w:val="TableText"/>
              <w:jc w:val="left"/>
            </w:pPr>
            <w:r>
              <w:t xml:space="preserve">Renewal-day purchase path</w:t>
            </w:r>
          </w:p>
        </w:tc>
        <w:tc>
          <w:tcPr>
            <w:tcW w:w="3683" w:type="dxa"/>
            <w:vAlign w:val="top"/>
          </w:tcPr>
          <w:p>
            <w:pPr>
              <w:pStyle w:val="TableText"/>
              <w:jc w:val="left"/>
            </w:pPr>
            <w:r>
              <w:t xml:space="preserve">30 orders per second with wallet and core latency injected (p50 300 ms, p95 900 ms)</w:t>
            </w:r>
          </w:p>
        </w:tc>
        <w:tc>
          <w:tcPr>
            <w:tcW w:w="1592" w:type="dxa"/>
            <w:vAlign w:val="top"/>
          </w:tcPr>
          <w:p>
            <w:pPr>
              <w:pStyle w:val="TableText"/>
              <w:jc w:val="left"/>
            </w:pPr>
            <w:r>
              <w:t xml:space="preserve">30 min</w:t>
            </w:r>
          </w:p>
        </w:tc>
        <w:tc>
          <w:tcPr>
            <w:tcW w:w="4273" w:type="dxa"/>
            <w:vAlign w:val="top"/>
          </w:tcPr>
          <w:p>
            <w:pPr>
              <w:pStyle w:val="TableText"/>
              <w:jc w:val="left"/>
            </w:pPr>
            <w:r>
              <w:t xml:space="preserve">Idempotency and breaker headroom under load</w:t>
            </w:r>
          </w:p>
        </w:tc>
        <w:tc>
          <w:tcPr>
            <w:tcW w:w="949" w:type="dxa"/>
            <w:noWrap/>
            <w:vAlign w:val="top"/>
          </w:tcPr>
          <w:p>
            <w:pPr>
              <w:pStyle w:val="TableText"/>
              <w:jc w:val="left"/>
            </w:pPr>
            <w:r>
              <w:t xml:space="preserve">TC-073</w:t>
            </w:r>
          </w:p>
        </w:tc>
      </w:tr>
      <w:tr>
        <w:trPr>
          <w:cantSplit/>
        </w:trPr>
        <w:tc>
          <w:tcPr>
            <w:tcW w:w="1185" w:type="dxa"/>
            <w:shd w:val="clear" w:color="auto" w:fill="F4F7FB"/>
            <w:noWrap/>
            <w:vAlign w:val="top"/>
          </w:tcPr>
          <w:p>
            <w:pPr>
              <w:pStyle w:val="TableText"/>
              <w:jc w:val="left"/>
            </w:pPr>
            <w:r>
              <w:t xml:space="preserve">PERF-S4</w:t>
            </w:r>
          </w:p>
        </w:tc>
        <w:tc>
          <w:tcPr>
            <w:tcW w:w="2277" w:type="dxa"/>
            <w:shd w:val="clear" w:color="auto" w:fill="F4F7FB"/>
            <w:vAlign w:val="top"/>
          </w:tcPr>
          <w:p>
            <w:pPr>
              <w:pStyle w:val="TableText"/>
              <w:jc w:val="left"/>
            </w:pPr>
            <w:r>
              <w:t xml:space="preserve">Partner API burst</w:t>
            </w:r>
          </w:p>
        </w:tc>
        <w:tc>
          <w:tcPr>
            <w:tcW w:w="3683" w:type="dxa"/>
            <w:shd w:val="clear" w:color="auto" w:fill="F4F7FB"/>
            <w:vAlign w:val="top"/>
          </w:tcPr>
          <w:p>
            <w:pPr>
              <w:pStyle w:val="TableText"/>
              <w:jc w:val="left"/>
            </w:pPr>
            <w:r>
              <w:t xml:space="preserve">50 TPS from 30 keys</w:t>
            </w:r>
          </w:p>
        </w:tc>
        <w:tc>
          <w:tcPr>
            <w:tcW w:w="1592" w:type="dxa"/>
            <w:shd w:val="clear" w:color="auto" w:fill="F4F7FB"/>
            <w:vAlign w:val="top"/>
          </w:tcPr>
          <w:p>
            <w:pPr>
              <w:pStyle w:val="TableText"/>
              <w:jc w:val="left"/>
            </w:pPr>
            <w:r>
              <w:t xml:space="preserve">20 min</w:t>
            </w:r>
          </w:p>
        </w:tc>
        <w:tc>
          <w:tcPr>
            <w:tcW w:w="4273" w:type="dxa"/>
            <w:shd w:val="clear" w:color="auto" w:fill="F4F7FB"/>
            <w:vAlign w:val="top"/>
          </w:tcPr>
          <w:p>
            <w:pPr>
              <w:pStyle w:val="TableText"/>
              <w:jc w:val="left"/>
            </w:pPr>
            <w:r>
              <w:t xml:space="preserve">Key lookup cost; per-IP limits behind a gateway</w:t>
            </w:r>
          </w:p>
        </w:tc>
        <w:tc>
          <w:tcPr>
            <w:tcW w:w="949" w:type="dxa"/>
            <w:shd w:val="clear" w:color="auto" w:fill="F4F7FB"/>
            <w:vAlign w:val="top"/>
          </w:tcPr>
          <w:p>
            <w:pPr>
              <w:pStyle w:val="TableText"/>
              <w:jc w:val="left"/>
            </w:pPr>
            <w:r>
              <w:t xml:space="preserve">—</w:t>
            </w:r>
          </w:p>
        </w:tc>
      </w:tr>
      <w:tr>
        <w:trPr>
          <w:cantSplit/>
        </w:trPr>
        <w:tc>
          <w:tcPr>
            <w:tcW w:w="1185" w:type="dxa"/>
            <w:noWrap/>
            <w:vAlign w:val="top"/>
          </w:tcPr>
          <w:p>
            <w:pPr>
              <w:pStyle w:val="TableText"/>
              <w:jc w:val="left"/>
            </w:pPr>
            <w:r>
              <w:t xml:space="preserve">PERF-S5</w:t>
            </w:r>
          </w:p>
        </w:tc>
        <w:tc>
          <w:tcPr>
            <w:tcW w:w="2277" w:type="dxa"/>
            <w:vAlign w:val="top"/>
          </w:tcPr>
          <w:p>
            <w:pPr>
              <w:pStyle w:val="TableText"/>
              <w:jc w:val="left"/>
            </w:pPr>
            <w:r>
              <w:t xml:space="preserve">Inline drain interference</w:t>
            </w:r>
          </w:p>
        </w:tc>
        <w:tc>
          <w:tcPr>
            <w:tcW w:w="3683" w:type="dxa"/>
            <w:vAlign w:val="top"/>
          </w:tcPr>
          <w:p>
            <w:pPr>
              <w:pStyle w:val="TableText"/>
              <w:jc w:val="left"/>
            </w:pPr>
            <w:r>
              <w:t xml:space="preserve">PERF-S1 plus a backlog of 50,000 pending events</w:t>
            </w:r>
          </w:p>
        </w:tc>
        <w:tc>
          <w:tcPr>
            <w:tcW w:w="1592" w:type="dxa"/>
            <w:vAlign w:val="top"/>
          </w:tcPr>
          <w:p>
            <w:pPr>
              <w:pStyle w:val="TableText"/>
              <w:jc w:val="left"/>
            </w:pPr>
            <w:r>
              <w:t xml:space="preserve">30 min</w:t>
            </w:r>
          </w:p>
        </w:tc>
        <w:tc>
          <w:tcPr>
            <w:tcW w:w="4273" w:type="dxa"/>
            <w:vAlign w:val="top"/>
          </w:tcPr>
          <w:p>
            <w:pPr>
              <w:pStyle w:val="TableText"/>
              <w:jc w:val="left"/>
            </w:pPr>
            <w:r>
              <w:t xml:space="preserve">Effect of KI-04 on order and quote latency</w:t>
            </w:r>
          </w:p>
        </w:tc>
        <w:tc>
          <w:tcPr>
            <w:tcW w:w="949" w:type="dxa"/>
            <w:vAlign w:val="top"/>
          </w:tcPr>
          <w:p>
            <w:pPr>
              <w:pStyle w:val="TableText"/>
              <w:jc w:val="left"/>
            </w:pPr>
            <w:r>
              <w:t xml:space="preserve">—</w:t>
            </w:r>
          </w:p>
        </w:tc>
      </w:tr>
      <w:tr>
        <w:trPr>
          <w:cantSplit/>
        </w:trPr>
        <w:tc>
          <w:tcPr>
            <w:tcW w:w="1185" w:type="dxa"/>
            <w:shd w:val="clear" w:color="auto" w:fill="F4F7FB"/>
            <w:noWrap/>
            <w:vAlign w:val="top"/>
          </w:tcPr>
          <w:p>
            <w:pPr>
              <w:pStyle w:val="TableText"/>
              <w:jc w:val="left"/>
            </w:pPr>
            <w:r>
              <w:t xml:space="preserve">PERF-S6</w:t>
            </w:r>
          </w:p>
        </w:tc>
        <w:tc>
          <w:tcPr>
            <w:tcW w:w="2277" w:type="dxa"/>
            <w:shd w:val="clear" w:color="auto" w:fill="F4F7FB"/>
            <w:vAlign w:val="top"/>
          </w:tcPr>
          <w:p>
            <w:pPr>
              <w:pStyle w:val="TableText"/>
              <w:jc w:val="left"/>
            </w:pPr>
            <w:r>
              <w:t xml:space="preserve">Staff shift start</w:t>
            </w:r>
          </w:p>
        </w:tc>
        <w:tc>
          <w:tcPr>
            <w:tcW w:w="3683" w:type="dxa"/>
            <w:shd w:val="clear" w:color="auto" w:fill="F4F7FB"/>
            <w:vAlign w:val="top"/>
          </w:tcPr>
          <w:p>
            <w:pPr>
              <w:pStyle w:val="TableText"/>
              <w:jc w:val="left"/>
            </w:pPr>
            <w:r>
              <w:t xml:space="preserve">200 sign-ins in 5 minutes plus console reads</w:t>
            </w:r>
          </w:p>
        </w:tc>
        <w:tc>
          <w:tcPr>
            <w:tcW w:w="1592" w:type="dxa"/>
            <w:shd w:val="clear" w:color="auto" w:fill="F4F7FB"/>
            <w:vAlign w:val="top"/>
          </w:tcPr>
          <w:p>
            <w:pPr>
              <w:pStyle w:val="TableText"/>
              <w:jc w:val="left"/>
            </w:pPr>
            <w:r>
              <w:t xml:space="preserve">10 min</w:t>
            </w:r>
          </w:p>
        </w:tc>
        <w:tc>
          <w:tcPr>
            <w:tcW w:w="4273" w:type="dxa"/>
            <w:shd w:val="clear" w:color="auto" w:fill="F4F7FB"/>
            <w:vAlign w:val="top"/>
          </w:tcPr>
          <w:p>
            <w:pPr>
              <w:pStyle w:val="TableText"/>
              <w:jc w:val="left"/>
            </w:pPr>
            <w:r>
              <w:t xml:space="preserve">Password hashing cost; sign-in limit behind a shared office IP</w:t>
            </w:r>
          </w:p>
        </w:tc>
        <w:tc>
          <w:tcPr>
            <w:tcW w:w="949" w:type="dxa"/>
            <w:shd w:val="clear" w:color="auto" w:fill="F4F7FB"/>
            <w:noWrap/>
            <w:vAlign w:val="top"/>
          </w:tcPr>
          <w:p>
            <w:pPr>
              <w:pStyle w:val="TableText"/>
              <w:jc w:val="left"/>
            </w:pPr>
            <w:r>
              <w:t xml:space="preserve">TC-121</w:t>
            </w:r>
          </w:p>
        </w:tc>
      </w:tr>
      <w:tr>
        <w:trPr>
          <w:cantSplit/>
        </w:trPr>
        <w:tc>
          <w:tcPr>
            <w:tcW w:w="1185" w:type="dxa"/>
            <w:noWrap/>
            <w:vAlign w:val="top"/>
          </w:tcPr>
          <w:p>
            <w:pPr>
              <w:pStyle w:val="TableText"/>
              <w:jc w:val="left"/>
            </w:pPr>
            <w:r>
              <w:t xml:space="preserve">PERF-S7</w:t>
            </w:r>
          </w:p>
        </w:tc>
        <w:tc>
          <w:tcPr>
            <w:tcW w:w="2277" w:type="dxa"/>
            <w:vAlign w:val="top"/>
          </w:tcPr>
          <w:p>
            <w:pPr>
              <w:pStyle w:val="TableText"/>
              <w:jc w:val="left"/>
            </w:pPr>
            <w:r>
              <w:t xml:space="preserve">Volume: initial load</w:t>
            </w:r>
          </w:p>
        </w:tc>
        <w:tc>
          <w:tcPr>
            <w:tcW w:w="3683" w:type="dxa"/>
            <w:vAlign w:val="top"/>
          </w:tcPr>
          <w:p>
            <w:pPr>
              <w:pStyle w:val="TableText"/>
              <w:jc w:val="left"/>
            </w:pPr>
            <w:r>
              <w:t xml:space="preserve">Pilot cohort, then 9 million synthetic records in batches of 2,000 (KI-16)</w:t>
            </w:r>
          </w:p>
        </w:tc>
        <w:tc>
          <w:tcPr>
            <w:tcW w:w="1592" w:type="dxa"/>
            <w:vAlign w:val="top"/>
          </w:tcPr>
          <w:p>
            <w:pPr>
              <w:pStyle w:val="TableText"/>
              <w:jc w:val="left"/>
            </w:pPr>
            <w:r>
              <w:t xml:space="preserve">Until done</w:t>
            </w:r>
          </w:p>
        </w:tc>
        <w:tc>
          <w:tcPr>
            <w:tcW w:w="4273" w:type="dxa"/>
            <w:vAlign w:val="top"/>
          </w:tcPr>
          <w:p>
            <w:pPr>
              <w:pStyle w:val="TableText"/>
              <w:jc w:val="left"/>
            </w:pPr>
            <w:r>
              <w:t xml:space="preserve">Load window, database growth, counts reconcile</w:t>
            </w:r>
          </w:p>
        </w:tc>
        <w:tc>
          <w:tcPr>
            <w:tcW w:w="949" w:type="dxa"/>
            <w:noWrap/>
            <w:vAlign w:val="top"/>
          </w:tcPr>
          <w:p>
            <w:pPr>
              <w:pStyle w:val="TableText"/>
              <w:jc w:val="left"/>
            </w:pPr>
            <w:r>
              <w:t xml:space="preserve">TC-137</w:t>
            </w:r>
          </w:p>
        </w:tc>
      </w:tr>
      <w:tr>
        <w:trPr>
          <w:cantSplit/>
        </w:trPr>
        <w:tc>
          <w:tcPr>
            <w:tcW w:w="1185" w:type="dxa"/>
            <w:shd w:val="clear" w:color="auto" w:fill="F4F7FB"/>
            <w:noWrap/>
            <w:vAlign w:val="top"/>
          </w:tcPr>
          <w:p>
            <w:pPr>
              <w:pStyle w:val="TableText"/>
              <w:jc w:val="left"/>
            </w:pPr>
            <w:r>
              <w:t xml:space="preserve">PERF-S8</w:t>
            </w:r>
          </w:p>
        </w:tc>
        <w:tc>
          <w:tcPr>
            <w:tcW w:w="2277" w:type="dxa"/>
            <w:shd w:val="clear" w:color="auto" w:fill="F4F7FB"/>
            <w:vAlign w:val="top"/>
          </w:tcPr>
          <w:p>
            <w:pPr>
              <w:pStyle w:val="TableText"/>
              <w:jc w:val="left"/>
            </w:pPr>
            <w:r>
              <w:t xml:space="preserve">Incremental daily rebuild</w:t>
            </w:r>
          </w:p>
        </w:tc>
        <w:tc>
          <w:tcPr>
            <w:tcW w:w="3683" w:type="dxa"/>
            <w:shd w:val="clear" w:color="auto" w:fill="F4F7FB"/>
            <w:vAlign w:val="top"/>
          </w:tcPr>
          <w:p>
            <w:pPr>
              <w:pStyle w:val="TableText"/>
              <w:jc w:val="left"/>
            </w:pPr>
            <w:r>
              <w:t xml:space="preserve">180,000 changed records on top of 6 million</w:t>
            </w:r>
          </w:p>
        </w:tc>
        <w:tc>
          <w:tcPr>
            <w:tcW w:w="1592" w:type="dxa"/>
            <w:shd w:val="clear" w:color="auto" w:fill="F4F7FB"/>
            <w:vAlign w:val="top"/>
          </w:tcPr>
          <w:p>
            <w:pPr>
              <w:pStyle w:val="TableText"/>
              <w:jc w:val="left"/>
            </w:pPr>
            <w:r>
              <w:t xml:space="preserve">Until done</w:t>
            </w:r>
          </w:p>
        </w:tc>
        <w:tc>
          <w:tcPr>
            <w:tcW w:w="4273" w:type="dxa"/>
            <w:shd w:val="clear" w:color="auto" w:fill="F4F7FB"/>
            <w:vAlign w:val="top"/>
          </w:tcPr>
          <w:p>
            <w:pPr>
              <w:pStyle w:val="TableText"/>
              <w:jc w:val="left"/>
            </w:pPr>
            <w:r>
              <w:t xml:space="preserve">Finishes within 60 minutes</w:t>
            </w:r>
          </w:p>
        </w:tc>
        <w:tc>
          <w:tcPr>
            <w:tcW w:w="949" w:type="dxa"/>
            <w:shd w:val="clear" w:color="auto" w:fill="F4F7FB"/>
            <w:vAlign w:val="top"/>
          </w:tcPr>
          <w:p>
            <w:pPr>
              <w:pStyle w:val="TableText"/>
              <w:jc w:val="left"/>
            </w:pPr>
            <w:r>
              <w:t xml:space="preserve">—</w:t>
            </w:r>
          </w:p>
        </w:tc>
      </w:tr>
      <w:tr>
        <w:trPr>
          <w:cantSplit/>
        </w:trPr>
        <w:tc>
          <w:tcPr>
            <w:tcW w:w="1185" w:type="dxa"/>
            <w:noWrap/>
            <w:vAlign w:val="top"/>
          </w:tcPr>
          <w:p>
            <w:pPr>
              <w:pStyle w:val="TableText"/>
              <w:jc w:val="left"/>
            </w:pPr>
            <w:r>
              <w:t xml:space="preserve">PERF-S9</w:t>
            </w:r>
          </w:p>
        </w:tc>
        <w:tc>
          <w:tcPr>
            <w:tcW w:w="2277" w:type="dxa"/>
            <w:vAlign w:val="top"/>
          </w:tcPr>
          <w:p>
            <w:pPr>
              <w:pStyle w:val="TableText"/>
              <w:jc w:val="left"/>
            </w:pPr>
            <w:r>
              <w:t xml:space="preserve">Full recompute and daily journey run</w:t>
            </w:r>
          </w:p>
        </w:tc>
        <w:tc>
          <w:tcPr>
            <w:tcW w:w="3683" w:type="dxa"/>
            <w:vAlign w:val="top"/>
          </w:tcPr>
          <w:p>
            <w:pPr>
              <w:pStyle w:val="TableText"/>
              <w:jc w:val="left"/>
            </w:pPr>
            <w:r>
              <w:t xml:space="preserve">Recompute, then journeys with 115,000 due touchpoints</w:t>
            </w:r>
          </w:p>
        </w:tc>
        <w:tc>
          <w:tcPr>
            <w:tcW w:w="1592" w:type="dxa"/>
            <w:vAlign w:val="top"/>
          </w:tcPr>
          <w:p>
            <w:pPr>
              <w:pStyle w:val="TableText"/>
              <w:jc w:val="left"/>
            </w:pPr>
            <w:r>
              <w:t xml:space="preserve">Until done</w:t>
            </w:r>
          </w:p>
        </w:tc>
        <w:tc>
          <w:tcPr>
            <w:tcW w:w="4273" w:type="dxa"/>
            <w:vAlign w:val="top"/>
          </w:tcPr>
          <w:p>
            <w:pPr>
              <w:pStyle w:val="TableText"/>
              <w:jc w:val="left"/>
            </w:pPr>
            <w:r>
              <w:t xml:space="preserve">Recompute within 4 hours; journeys within the contact window (KI-12)</w:t>
            </w:r>
          </w:p>
        </w:tc>
        <w:tc>
          <w:tcPr>
            <w:tcW w:w="949" w:type="dxa"/>
            <w:vAlign w:val="top"/>
          </w:tcPr>
          <w:p>
            <w:pPr>
              <w:pStyle w:val="TableText"/>
              <w:jc w:val="left"/>
            </w:pPr>
            <w:r>
              <w:t xml:space="preserve">—</w:t>
            </w:r>
          </w:p>
        </w:tc>
      </w:tr>
      <w:tr>
        <w:trPr>
          <w:cantSplit/>
        </w:trPr>
        <w:tc>
          <w:tcPr>
            <w:tcW w:w="1185" w:type="dxa"/>
            <w:shd w:val="clear" w:color="auto" w:fill="F4F7FB"/>
            <w:noWrap/>
            <w:vAlign w:val="top"/>
          </w:tcPr>
          <w:p>
            <w:pPr>
              <w:pStyle w:val="TableText"/>
              <w:jc w:val="left"/>
            </w:pPr>
            <w:r>
              <w:t xml:space="preserve">PERF-S10</w:t>
            </w:r>
          </w:p>
        </w:tc>
        <w:tc>
          <w:tcPr>
            <w:tcW w:w="2277" w:type="dxa"/>
            <w:shd w:val="clear" w:color="auto" w:fill="F4F7FB"/>
            <w:vAlign w:val="top"/>
          </w:tcPr>
          <w:p>
            <w:pPr>
              <w:pStyle w:val="TableText"/>
              <w:jc w:val="left"/>
            </w:pPr>
            <w:r>
              <w:t xml:space="preserve">Stress to failure</w:t>
            </w:r>
          </w:p>
        </w:tc>
        <w:tc>
          <w:tcPr>
            <w:tcW w:w="3683" w:type="dxa"/>
            <w:shd w:val="clear" w:color="auto" w:fill="F4F7FB"/>
            <w:vAlign w:val="top"/>
          </w:tcPr>
          <w:p>
            <w:pPr>
              <w:pStyle w:val="TableText"/>
              <w:jc w:val="left"/>
            </w:pPr>
            <w:r>
              <w:t xml:space="preserve">Add 100 RPS every 5 minutes from 300 until targets break or errors exceed 5 %</w:t>
            </w:r>
          </w:p>
        </w:tc>
        <w:tc>
          <w:tcPr>
            <w:tcW w:w="1592" w:type="dxa"/>
            <w:shd w:val="clear" w:color="auto" w:fill="F4F7FB"/>
            <w:vAlign w:val="top"/>
          </w:tcPr>
          <w:p>
            <w:pPr>
              <w:pStyle w:val="TableText"/>
              <w:jc w:val="left"/>
            </w:pPr>
            <w:r>
              <w:t xml:space="preserve">About 60 min</w:t>
            </w:r>
          </w:p>
        </w:tc>
        <w:tc>
          <w:tcPr>
            <w:tcW w:w="4273" w:type="dxa"/>
            <w:shd w:val="clear" w:color="auto" w:fill="F4F7FB"/>
            <w:vAlign w:val="top"/>
          </w:tcPr>
          <w:p>
            <w:pPr>
              <w:pStyle w:val="TableText"/>
              <w:jc w:val="left"/>
            </w:pPr>
            <w:r>
              <w:t xml:space="preserve">Breaking point, degradation, recovery</w:t>
            </w:r>
          </w:p>
        </w:tc>
        <w:tc>
          <w:tcPr>
            <w:tcW w:w="949" w:type="dxa"/>
            <w:shd w:val="clear" w:color="auto" w:fill="F4F7FB"/>
            <w:noWrap/>
            <w:vAlign w:val="top"/>
          </w:tcPr>
          <w:p>
            <w:pPr>
              <w:pStyle w:val="TableText"/>
              <w:jc w:val="left"/>
            </w:pPr>
            <w:r>
              <w:t xml:space="preserve">TC-139</w:t>
            </w:r>
          </w:p>
        </w:tc>
      </w:tr>
      <w:tr>
        <w:trPr>
          <w:cantSplit/>
        </w:trPr>
        <w:tc>
          <w:tcPr>
            <w:tcW w:w="1185" w:type="dxa"/>
            <w:noWrap/>
            <w:vAlign w:val="top"/>
          </w:tcPr>
          <w:p>
            <w:pPr>
              <w:pStyle w:val="TableText"/>
              <w:jc w:val="left"/>
            </w:pPr>
            <w:r>
              <w:t xml:space="preserve">PERF-S11</w:t>
            </w:r>
          </w:p>
        </w:tc>
        <w:tc>
          <w:tcPr>
            <w:tcW w:w="2277" w:type="dxa"/>
            <w:vAlign w:val="top"/>
          </w:tcPr>
          <w:p>
            <w:pPr>
              <w:pStyle w:val="TableText"/>
              <w:jc w:val="left"/>
            </w:pPr>
            <w:r>
              <w:t xml:space="preserve">Soak</w:t>
            </w:r>
          </w:p>
        </w:tc>
        <w:tc>
          <w:tcPr>
            <w:tcW w:w="3683" w:type="dxa"/>
            <w:vAlign w:val="top"/>
          </w:tcPr>
          <w:p>
            <w:pPr>
              <w:pStyle w:val="TableText"/>
              <w:jc w:val="left"/>
            </w:pPr>
            <w:r>
              <w:t xml:space="preserve">60 % of the design point, with relay and hourly journey runs</w:t>
            </w:r>
          </w:p>
        </w:tc>
        <w:tc>
          <w:tcPr>
            <w:tcW w:w="1592" w:type="dxa"/>
            <w:vAlign w:val="top"/>
          </w:tcPr>
          <w:p>
            <w:pPr>
              <w:pStyle w:val="TableText"/>
              <w:jc w:val="left"/>
            </w:pPr>
            <w:r>
              <w:t xml:space="preserve">12 h (24 h before scale-up)</w:t>
            </w:r>
          </w:p>
        </w:tc>
        <w:tc>
          <w:tcPr>
            <w:tcW w:w="4273" w:type="dxa"/>
            <w:vAlign w:val="top"/>
          </w:tcPr>
          <w:p>
            <w:pPr>
              <w:pStyle w:val="TableText"/>
              <w:jc w:val="left"/>
            </w:pPr>
            <w:r>
              <w:t xml:space="preserve">Memory and connection leaks</w:t>
            </w:r>
          </w:p>
        </w:tc>
        <w:tc>
          <w:tcPr>
            <w:tcW w:w="949" w:type="dxa"/>
            <w:noWrap/>
            <w:vAlign w:val="top"/>
          </w:tcPr>
          <w:p>
            <w:pPr>
              <w:pStyle w:val="TableText"/>
              <w:jc w:val="left"/>
            </w:pPr>
            <w:r>
              <w:t xml:space="preserve">TC-138</w:t>
            </w:r>
          </w:p>
        </w:tc>
      </w:tr>
      <w:tr>
        <w:trPr>
          <w:cantSplit/>
        </w:trPr>
        <w:tc>
          <w:tcPr>
            <w:tcW w:w="1185" w:type="dxa"/>
            <w:shd w:val="clear" w:color="auto" w:fill="F4F7FB"/>
            <w:noWrap/>
            <w:vAlign w:val="top"/>
          </w:tcPr>
          <w:p>
            <w:pPr>
              <w:pStyle w:val="TableText"/>
              <w:jc w:val="left"/>
            </w:pPr>
            <w:r>
              <w:t xml:space="preserve">PERF-S12</w:t>
            </w:r>
          </w:p>
        </w:tc>
        <w:tc>
          <w:tcPr>
            <w:tcW w:w="2277" w:type="dxa"/>
            <w:shd w:val="clear" w:color="auto" w:fill="F4F7FB"/>
            <w:vAlign w:val="top"/>
          </w:tcPr>
          <w:p>
            <w:pPr>
              <w:pStyle w:val="TableText"/>
              <w:jc w:val="left"/>
            </w:pPr>
            <w:r>
              <w:t xml:space="preserve">Wallet degradation</w:t>
            </w:r>
          </w:p>
        </w:tc>
        <w:tc>
          <w:tcPr>
            <w:tcW w:w="3683" w:type="dxa"/>
            <w:shd w:val="clear" w:color="auto" w:fill="F4F7FB"/>
            <w:vAlign w:val="top"/>
          </w:tcPr>
          <w:p>
            <w:pPr>
              <w:pStyle w:val="TableText"/>
              <w:jc w:val="left"/>
            </w:pPr>
            <w:r>
              <w:t xml:space="preserve">PERF-S1 with the wallet at 50 % errors, then down</w:t>
            </w:r>
          </w:p>
        </w:tc>
        <w:tc>
          <w:tcPr>
            <w:tcW w:w="1592" w:type="dxa"/>
            <w:shd w:val="clear" w:color="auto" w:fill="F4F7FB"/>
            <w:vAlign w:val="top"/>
          </w:tcPr>
          <w:p>
            <w:pPr>
              <w:pStyle w:val="TableText"/>
              <w:jc w:val="left"/>
            </w:pPr>
            <w:r>
              <w:t xml:space="preserve">30 min</w:t>
            </w:r>
          </w:p>
        </w:tc>
        <w:tc>
          <w:tcPr>
            <w:tcW w:w="4273" w:type="dxa"/>
            <w:shd w:val="clear" w:color="auto" w:fill="F4F7FB"/>
            <w:vAlign w:val="top"/>
          </w:tcPr>
          <w:p>
            <w:pPr>
              <w:pStyle w:val="TableText"/>
              <w:jc w:val="left"/>
            </w:pPr>
            <w:r>
              <w:t xml:space="preserve">Circuit opens; the rest stays within targets</w:t>
            </w:r>
          </w:p>
        </w:tc>
        <w:tc>
          <w:tcPr>
            <w:tcW w:w="949" w:type="dxa"/>
            <w:shd w:val="clear" w:color="auto" w:fill="F4F7FB"/>
            <w:noWrap/>
            <w:vAlign w:val="top"/>
          </w:tcPr>
          <w:p>
            <w:pPr>
              <w:pStyle w:val="TableText"/>
              <w:jc w:val="left"/>
            </w:pPr>
            <w:r>
              <w:t xml:space="preserve">TC-079</w:t>
            </w:r>
          </w:p>
        </w:tc>
      </w:tr>
      <w:tr>
        <w:trPr>
          <w:cantSplit/>
        </w:trPr>
        <w:tc>
          <w:tcPr>
            <w:tcW w:w="1185" w:type="dxa"/>
            <w:noWrap/>
            <w:vAlign w:val="top"/>
          </w:tcPr>
          <w:p>
            <w:pPr>
              <w:pStyle w:val="TableText"/>
              <w:jc w:val="left"/>
            </w:pPr>
            <w:r>
              <w:t xml:space="preserve">PERF-S13</w:t>
            </w:r>
          </w:p>
        </w:tc>
        <w:tc>
          <w:tcPr>
            <w:tcW w:w="2277" w:type="dxa"/>
            <w:vAlign w:val="top"/>
          </w:tcPr>
          <w:p>
            <w:pPr>
              <w:pStyle w:val="TableText"/>
              <w:jc w:val="left"/>
            </w:pPr>
            <w:r>
              <w:t xml:space="preserve">Database failover under load</w:t>
            </w:r>
          </w:p>
        </w:tc>
        <w:tc>
          <w:tcPr>
            <w:tcW w:w="3683" w:type="dxa"/>
            <w:vAlign w:val="top"/>
          </w:tcPr>
          <w:p>
            <w:pPr>
              <w:pStyle w:val="TableText"/>
              <w:jc w:val="left"/>
            </w:pPr>
            <w:r>
              <w:t xml:space="preserve">PERF-S1 plus a managed failover</w:t>
            </w:r>
          </w:p>
        </w:tc>
        <w:tc>
          <w:tcPr>
            <w:tcW w:w="1592" w:type="dxa"/>
            <w:vAlign w:val="top"/>
          </w:tcPr>
          <w:p>
            <w:pPr>
              <w:pStyle w:val="TableText"/>
              <w:jc w:val="left"/>
            </w:pPr>
            <w:r>
              <w:t xml:space="preserve">30 min</w:t>
            </w:r>
          </w:p>
        </w:tc>
        <w:tc>
          <w:tcPr>
            <w:tcW w:w="4273" w:type="dxa"/>
            <w:vAlign w:val="top"/>
          </w:tcPr>
          <w:p>
            <w:pPr>
              <w:pStyle w:val="TableText"/>
              <w:jc w:val="left"/>
            </w:pPr>
            <w:r>
              <w:t xml:space="preserve">Readiness flips; recovery within 2 minutes; no 500 storm</w:t>
            </w:r>
          </w:p>
        </w:tc>
        <w:tc>
          <w:tcPr>
            <w:tcW w:w="949" w:type="dxa"/>
            <w:noWrap/>
            <w:vAlign w:val="top"/>
          </w:tcPr>
          <w:p>
            <w:pPr>
              <w:pStyle w:val="TableText"/>
              <w:jc w:val="left"/>
            </w:pPr>
            <w:r>
              <w:t xml:space="preserve">TC-141</w:t>
            </w:r>
          </w:p>
        </w:tc>
      </w:tr>
      <w:tr>
        <w:trPr>
          <w:cantSplit/>
        </w:trPr>
        <w:tc>
          <w:tcPr>
            <w:tcW w:w="1185" w:type="dxa"/>
            <w:shd w:val="clear" w:color="auto" w:fill="F4F7FB"/>
            <w:noWrap/>
            <w:vAlign w:val="top"/>
          </w:tcPr>
          <w:p>
            <w:pPr>
              <w:pStyle w:val="TableText"/>
              <w:jc w:val="left"/>
            </w:pPr>
            <w:r>
              <w:t xml:space="preserve">PERF-S14</w:t>
            </w:r>
          </w:p>
        </w:tc>
        <w:tc>
          <w:tcPr>
            <w:tcW w:w="2277" w:type="dxa"/>
            <w:shd w:val="clear" w:color="auto" w:fill="F4F7FB"/>
            <w:vAlign w:val="top"/>
          </w:tcPr>
          <w:p>
            <w:pPr>
              <w:pStyle w:val="TableText"/>
              <w:jc w:val="left"/>
            </w:pPr>
            <w:r>
              <w:t xml:space="preserve">TASCO core rating degradation</w:t>
            </w:r>
          </w:p>
        </w:tc>
        <w:tc>
          <w:tcPr>
            <w:tcW w:w="3683" w:type="dxa"/>
            <w:shd w:val="clear" w:color="auto" w:fill="F4F7FB"/>
            <w:vAlign w:val="top"/>
          </w:tcPr>
          <w:p>
            <w:pPr>
              <w:pStyle w:val="TableText"/>
              <w:jc w:val="left"/>
            </w:pPr>
            <w:r>
              <w:t xml:space="preserve">PERF-S1 with core rating p95 raised to 3 s, then core down</w:t>
            </w:r>
          </w:p>
        </w:tc>
        <w:tc>
          <w:tcPr>
            <w:tcW w:w="1592" w:type="dxa"/>
            <w:shd w:val="clear" w:color="auto" w:fill="F4F7FB"/>
            <w:vAlign w:val="top"/>
          </w:tcPr>
          <w:p>
            <w:pPr>
              <w:pStyle w:val="TableText"/>
              <w:jc w:val="left"/>
            </w:pPr>
            <w:r>
              <w:t xml:space="preserve">30 min</w:t>
            </w:r>
          </w:p>
        </w:tc>
        <w:tc>
          <w:tcPr>
            <w:tcW w:w="4273" w:type="dxa"/>
            <w:shd w:val="clear" w:color="auto" w:fill="F4F7FB"/>
            <w:vAlign w:val="top"/>
          </w:tcPr>
          <w:p>
            <w:pPr>
              <w:pStyle w:val="TableText"/>
              <w:jc w:val="left"/>
            </w:pPr>
            <w:r>
              <w:t xml:space="preserve">Quotes fail closed within the timeout budget (or turn indicative under fallback); circuit opens; other routes within targets</w:t>
            </w:r>
          </w:p>
        </w:tc>
        <w:tc>
          <w:tcPr>
            <w:tcW w:w="949" w:type="dxa"/>
            <w:shd w:val="clear" w:color="auto" w:fill="F4F7FB"/>
            <w:noWrap/>
            <w:vAlign w:val="top"/>
          </w:tcPr>
          <w:p>
            <w:pPr>
              <w:pStyle w:val="TableText"/>
              <w:jc w:val="left"/>
            </w:pPr>
            <w:r>
              <w:t xml:space="preserve">TC-169</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Targets</w:t>
      </w:r>
      <w:bookmarkEnd w:id="15"/>
    </w:p>
    <w:p>
      <w:pPr>
        <w:pStyle w:val="FirstParagraph"/>
      </w:pPr>
      <w:r>
        <w:t xml:space="preserve">Latency is measured on the server by</w:t>
      </w:r>
      <w:r>
        <w:t xml:space="preserve"> </w:t>
      </w:r>
      <w:r>
        <w:rPr>
          <w:rStyle w:val="CodeChar"/>
        </w:rPr>
        <w:t xml:space="preserve">http_request_duration_seconds</w:t>
      </w:r>
      <w:r>
        <w:t xml:space="preserve"> </w:t>
      </w:r>
      <w:r>
        <w:t xml:space="preserve">per route template and confirmed by the load generator. Time spent in external integrations is included where a route calls one. The sandbox adds none, so tests inject realistic latency.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75"/>
        <w:gridCol w:w="2911"/>
        <w:gridCol w:w="1884"/>
        <w:gridCol w:w="650"/>
        <w:gridCol w:w="1707"/>
      </w:tblGrid>
      <w:tr>
        <w:trPr>
          <w:cantSplit/>
          <w:tblHeader/>
        </w:trPr>
        <w:tc>
          <w:tcPr>
            <w:tcW w:w="1875" w:type="dxa"/>
            <w:shd w:val="clear" w:color="auto" w:fill="0F4761"/>
            <w:vAlign w:val="center"/>
          </w:tcPr>
          <w:p>
            <w:pPr>
              <w:pStyle w:val="TableHeading"/>
              <w:jc w:val="left"/>
            </w:pPr>
            <w:r>
              <w:rPr>
                <w:color w:val="FFFFFF"/>
              </w:rPr>
              <w:t xml:space="preserve">Route group</w:t>
            </w:r>
          </w:p>
        </w:tc>
        <w:tc>
          <w:tcPr>
            <w:tcW w:w="2911" w:type="dxa"/>
            <w:shd w:val="clear" w:color="auto" w:fill="0F4761"/>
            <w:vAlign w:val="center"/>
          </w:tcPr>
          <w:p>
            <w:pPr>
              <w:pStyle w:val="TableHeading"/>
              <w:jc w:val="left"/>
            </w:pPr>
            <w:r>
              <w:rPr>
                <w:color w:val="FFFFFF"/>
              </w:rPr>
              <w:t xml:space="preserve">Routes</w:t>
            </w:r>
          </w:p>
        </w:tc>
        <w:tc>
          <w:tcPr>
            <w:tcW w:w="1884" w:type="dxa"/>
            <w:shd w:val="clear" w:color="auto" w:fill="0F4761"/>
            <w:vAlign w:val="center"/>
          </w:tcPr>
          <w:p>
            <w:pPr>
              <w:pStyle w:val="TableHeading"/>
              <w:jc w:val="left"/>
            </w:pPr>
            <w:r>
              <w:rPr>
                <w:color w:val="FFFFFF"/>
              </w:rPr>
              <w:t xml:space="preserve">p95</w:t>
            </w:r>
          </w:p>
        </w:tc>
        <w:tc>
          <w:tcPr>
            <w:tcW w:w="650" w:type="dxa"/>
            <w:shd w:val="clear" w:color="auto" w:fill="0F4761"/>
            <w:vAlign w:val="center"/>
          </w:tcPr>
          <w:p>
            <w:pPr>
              <w:pStyle w:val="TableHeading"/>
              <w:jc w:val="left"/>
            </w:pPr>
            <w:r>
              <w:rPr>
                <w:color w:val="FFFFFF"/>
              </w:rPr>
              <w:t xml:space="preserve">p99</w:t>
            </w:r>
          </w:p>
        </w:tc>
        <w:tc>
          <w:tcPr>
            <w:tcW w:w="1707" w:type="dxa"/>
            <w:shd w:val="clear" w:color="auto" w:fill="0F4761"/>
            <w:vAlign w:val="center"/>
          </w:tcPr>
          <w:p>
            <w:pPr>
              <w:pStyle w:val="TableHeading"/>
              <w:jc w:val="left"/>
            </w:pPr>
            <w:r>
              <w:rPr>
                <w:color w:val="FFFFFF"/>
              </w:rPr>
              <w:t xml:space="preserve">5xx budget</w:t>
            </w:r>
          </w:p>
        </w:tc>
      </w:tr>
      <w:tr>
        <w:trPr>
          <w:cantSplit/>
        </w:trPr>
        <w:tc>
          <w:tcPr>
            <w:tcW w:w="1875" w:type="dxa"/>
            <w:vAlign w:val="top"/>
          </w:tcPr>
          <w:p>
            <w:pPr>
              <w:pStyle w:val="TableText"/>
              <w:jc w:val="left"/>
            </w:pPr>
            <w:r>
              <w:t xml:space="preserve">Health and public</w:t>
            </w:r>
          </w:p>
        </w:tc>
        <w:tc>
          <w:tcPr>
            <w:tcW w:w="2911" w:type="dxa"/>
            <w:vAlign w:val="top"/>
          </w:tcPr>
          <w:p>
            <w:pPr>
              <w:pStyle w:val="TableText"/>
              <w:jc w:val="left"/>
            </w:pPr>
            <w:r>
              <w:t xml:space="preserve">Health probes, metadata, certificate verification</w:t>
            </w:r>
          </w:p>
        </w:tc>
        <w:tc>
          <w:tcPr>
            <w:tcW w:w="1884" w:type="dxa"/>
            <w:vAlign w:val="top"/>
          </w:tcPr>
          <w:p>
            <w:pPr>
              <w:pStyle w:val="TableText"/>
              <w:jc w:val="left"/>
            </w:pPr>
            <w:r>
              <w:t xml:space="preserve">150 ms</w:t>
            </w:r>
          </w:p>
        </w:tc>
        <w:tc>
          <w:tcPr>
            <w:tcW w:w="650" w:type="dxa"/>
            <w:vAlign w:val="top"/>
          </w:tcPr>
          <w:p>
            <w:pPr>
              <w:pStyle w:val="TableText"/>
              <w:jc w:val="left"/>
            </w:pPr>
            <w:r>
              <w:t xml:space="preserve">300 ms</w:t>
            </w:r>
          </w:p>
        </w:tc>
        <w:tc>
          <w:tcPr>
            <w:tcW w:w="1707" w:type="dxa"/>
            <w:vAlign w:val="top"/>
          </w:tcPr>
          <w:p>
            <w:pPr>
              <w:pStyle w:val="TableText"/>
              <w:jc w:val="left"/>
            </w:pPr>
            <w:r>
              <w:t xml:space="preserve">&lt; 0.1 %</w:t>
            </w:r>
          </w:p>
        </w:tc>
      </w:tr>
      <w:tr>
        <w:trPr>
          <w:cantSplit/>
        </w:trPr>
        <w:tc>
          <w:tcPr>
            <w:tcW w:w="1875" w:type="dxa"/>
            <w:shd w:val="clear" w:color="auto" w:fill="F4F7FB"/>
            <w:vAlign w:val="top"/>
          </w:tcPr>
          <w:p>
            <w:pPr>
              <w:pStyle w:val="TableText"/>
              <w:jc w:val="left"/>
            </w:pPr>
            <w:r>
              <w:t xml:space="preserve">Customer reads</w:t>
            </w:r>
          </w:p>
        </w:tc>
        <w:tc>
          <w:tcPr>
            <w:tcW w:w="2911" w:type="dxa"/>
            <w:shd w:val="clear" w:color="auto" w:fill="F4F7FB"/>
            <w:vAlign w:val="top"/>
          </w:tcPr>
          <w:p>
            <w:pPr>
              <w:pStyle w:val="TableText"/>
              <w:jc w:val="left"/>
            </w:pPr>
            <w:r>
              <w:t xml:space="preserve">Customer home, customer claims</w:t>
            </w:r>
          </w:p>
        </w:tc>
        <w:tc>
          <w:tcPr>
            <w:tcW w:w="1884" w:type="dxa"/>
            <w:shd w:val="clear" w:color="auto" w:fill="F4F7FB"/>
            <w:vAlign w:val="top"/>
          </w:tcPr>
          <w:p>
            <w:pPr>
              <w:pStyle w:val="TableText"/>
              <w:jc w:val="left"/>
            </w:pPr>
            <w:r>
              <w:t xml:space="preserve">300 ms</w:t>
            </w:r>
          </w:p>
        </w:tc>
        <w:tc>
          <w:tcPr>
            <w:tcW w:w="650" w:type="dxa"/>
            <w:shd w:val="clear" w:color="auto" w:fill="F4F7FB"/>
            <w:vAlign w:val="top"/>
          </w:tcPr>
          <w:p>
            <w:pPr>
              <w:pStyle w:val="TableText"/>
              <w:jc w:val="left"/>
            </w:pPr>
            <w:r>
              <w:t xml:space="preserve">600 ms</w:t>
            </w:r>
          </w:p>
        </w:tc>
        <w:tc>
          <w:tcPr>
            <w:tcW w:w="1707" w:type="dxa"/>
            <w:shd w:val="clear" w:color="auto" w:fill="F4F7FB"/>
            <w:vAlign w:val="top"/>
          </w:tcPr>
          <w:p>
            <w:pPr>
              <w:pStyle w:val="TableText"/>
              <w:jc w:val="left"/>
            </w:pPr>
            <w:r>
              <w:t xml:space="preserve">&lt; 0.1 %</w:t>
            </w:r>
          </w:p>
        </w:tc>
      </w:tr>
      <w:tr>
        <w:trPr>
          <w:cantSplit/>
        </w:trPr>
        <w:tc>
          <w:tcPr>
            <w:tcW w:w="1875" w:type="dxa"/>
            <w:vAlign w:val="top"/>
          </w:tcPr>
          <w:p>
            <w:pPr>
              <w:pStyle w:val="TableText"/>
              <w:jc w:val="left"/>
            </w:pPr>
            <w:r>
              <w:t xml:space="preserve">Quotes (TASCO core rating included)</w:t>
            </w:r>
          </w:p>
        </w:tc>
        <w:tc>
          <w:tcPr>
            <w:tcW w:w="2911" w:type="dxa"/>
            <w:vAlign w:val="top"/>
          </w:tcPr>
          <w:p>
            <w:pPr>
              <w:pStyle w:val="TableText"/>
              <w:jc w:val="left"/>
            </w:pPr>
            <w:r>
              <w:t xml:space="preserve">Customer, staff and partner quotes for a known plate</w:t>
            </w:r>
          </w:p>
        </w:tc>
        <w:tc>
          <w:tcPr>
            <w:tcW w:w="1884" w:type="dxa"/>
            <w:vAlign w:val="top"/>
          </w:tcPr>
          <w:p>
            <w:pPr>
              <w:pStyle w:val="TableText"/>
              <w:jc w:val="left"/>
            </w:pPr>
            <w:r>
              <w:t xml:space="preserve">500 ms</w:t>
            </w:r>
          </w:p>
        </w:tc>
        <w:tc>
          <w:tcPr>
            <w:tcW w:w="650" w:type="dxa"/>
            <w:vAlign w:val="top"/>
          </w:tcPr>
          <w:p>
            <w:pPr>
              <w:pStyle w:val="TableText"/>
              <w:jc w:val="left"/>
            </w:pPr>
            <w:r>
              <w:t xml:space="preserve">1 s</w:t>
            </w:r>
          </w:p>
        </w:tc>
        <w:tc>
          <w:tcPr>
            <w:tcW w:w="1707" w:type="dxa"/>
            <w:vAlign w:val="top"/>
          </w:tcPr>
          <w:p>
            <w:pPr>
              <w:pStyle w:val="TableText"/>
              <w:jc w:val="left"/>
            </w:pPr>
            <w:r>
              <w:t xml:space="preserve">&lt; 0.1 %, excluding core outages</w:t>
            </w:r>
          </w:p>
        </w:tc>
      </w:tr>
      <w:tr>
        <w:trPr>
          <w:cantSplit/>
        </w:trPr>
        <w:tc>
          <w:tcPr>
            <w:tcW w:w="1875" w:type="dxa"/>
            <w:shd w:val="clear" w:color="auto" w:fill="F4F7FB"/>
            <w:vAlign w:val="top"/>
          </w:tcPr>
          <w:p>
            <w:pPr>
              <w:pStyle w:val="TableText"/>
              <w:jc w:val="left"/>
            </w:pPr>
            <w:r>
              <w:t xml:space="preserve">Partner quote for a new plate</w:t>
            </w:r>
          </w:p>
        </w:tc>
        <w:tc>
          <w:tcPr>
            <w:tcW w:w="2911" w:type="dxa"/>
            <w:shd w:val="clear" w:color="auto" w:fill="F4F7FB"/>
            <w:vAlign w:val="top"/>
          </w:tcPr>
          <w:p>
            <w:pPr>
              <w:pStyle w:val="TableText"/>
              <w:jc w:val="left"/>
            </w:pPr>
            <w:r>
              <w:t xml:space="preserve">Partner quote with onboarding and rebuild</w:t>
            </w:r>
          </w:p>
        </w:tc>
        <w:tc>
          <w:tcPr>
            <w:tcW w:w="1884" w:type="dxa"/>
            <w:shd w:val="clear" w:color="auto" w:fill="F4F7FB"/>
            <w:vAlign w:val="top"/>
          </w:tcPr>
          <w:p>
            <w:pPr>
              <w:pStyle w:val="TableText"/>
              <w:jc w:val="left"/>
            </w:pPr>
            <w:r>
              <w:t xml:space="preserve">1.2 s</w:t>
            </w:r>
          </w:p>
        </w:tc>
        <w:tc>
          <w:tcPr>
            <w:tcW w:w="650" w:type="dxa"/>
            <w:shd w:val="clear" w:color="auto" w:fill="F4F7FB"/>
            <w:vAlign w:val="top"/>
          </w:tcPr>
          <w:p>
            <w:pPr>
              <w:pStyle w:val="TableText"/>
              <w:jc w:val="left"/>
            </w:pPr>
            <w:r>
              <w:t xml:space="preserve">2.5 s</w:t>
            </w:r>
          </w:p>
        </w:tc>
        <w:tc>
          <w:tcPr>
            <w:tcW w:w="1707" w:type="dxa"/>
            <w:shd w:val="clear" w:color="auto" w:fill="F4F7FB"/>
            <w:vAlign w:val="top"/>
          </w:tcPr>
          <w:p>
            <w:pPr>
              <w:pStyle w:val="TableText"/>
              <w:jc w:val="left"/>
            </w:pPr>
            <w:r>
              <w:t xml:space="preserve">&lt; 0.5 %</w:t>
            </w:r>
          </w:p>
        </w:tc>
      </w:tr>
      <w:tr>
        <w:trPr>
          <w:cantSplit/>
        </w:trPr>
        <w:tc>
          <w:tcPr>
            <w:tcW w:w="1875" w:type="dxa"/>
            <w:vAlign w:val="top"/>
          </w:tcPr>
          <w:p>
            <w:pPr>
              <w:pStyle w:val="TableText"/>
              <w:jc w:val="left"/>
            </w:pPr>
            <w:r>
              <w:t xml:space="preserve">Orders (pay and issue)</w:t>
            </w:r>
          </w:p>
        </w:tc>
        <w:tc>
          <w:tcPr>
            <w:tcW w:w="2911" w:type="dxa"/>
            <w:vAlign w:val="top"/>
          </w:tcPr>
          <w:p>
            <w:pPr>
              <w:pStyle w:val="TableText"/>
              <w:jc w:val="left"/>
            </w:pPr>
            <w:r>
              <w:t xml:space="preserve">Customer order (wallet and core); partner order (core only)</w:t>
            </w:r>
          </w:p>
        </w:tc>
        <w:tc>
          <w:tcPr>
            <w:tcW w:w="1884" w:type="dxa"/>
            <w:vAlign w:val="top"/>
          </w:tcPr>
          <w:p>
            <w:pPr>
              <w:pStyle w:val="TableText"/>
              <w:jc w:val="left"/>
            </w:pPr>
            <w:r>
              <w:t xml:space="preserve">2.5 s, of which 800 ms platform time</w:t>
            </w:r>
          </w:p>
        </w:tc>
        <w:tc>
          <w:tcPr>
            <w:tcW w:w="650" w:type="dxa"/>
            <w:vAlign w:val="top"/>
          </w:tcPr>
          <w:p>
            <w:pPr>
              <w:pStyle w:val="TableText"/>
              <w:jc w:val="left"/>
            </w:pPr>
            <w:r>
              <w:t xml:space="preserve">5 s</w:t>
            </w:r>
          </w:p>
        </w:tc>
        <w:tc>
          <w:tcPr>
            <w:tcW w:w="1707" w:type="dxa"/>
            <w:vAlign w:val="top"/>
          </w:tcPr>
          <w:p>
            <w:pPr>
              <w:pStyle w:val="TableText"/>
              <w:jc w:val="left"/>
            </w:pPr>
            <w:r>
              <w:t xml:space="preserve">&lt; 0.5 %, excluding upstream 503</w:t>
            </w:r>
          </w:p>
        </w:tc>
      </w:tr>
      <w:tr>
        <w:trPr>
          <w:cantSplit/>
        </w:trPr>
        <w:tc>
          <w:tcPr>
            <w:tcW w:w="1875" w:type="dxa"/>
            <w:shd w:val="clear" w:color="auto" w:fill="F4F7FB"/>
            <w:vAlign w:val="top"/>
          </w:tcPr>
          <w:p>
            <w:pPr>
              <w:pStyle w:val="TableText"/>
              <w:jc w:val="left"/>
            </w:pPr>
            <w:r>
              <w:t xml:space="preserve">Staff reads</w:t>
            </w:r>
          </w:p>
        </w:tc>
        <w:tc>
          <w:tcPr>
            <w:tcW w:w="2911" w:type="dxa"/>
            <w:shd w:val="clear" w:color="auto" w:fill="F4F7FB"/>
            <w:vAlign w:val="top"/>
          </w:tcPr>
          <w:p>
            <w:pPr>
              <w:pStyle w:val="TableText"/>
              <w:jc w:val="left"/>
            </w:pPr>
            <w:r>
              <w:t xml:space="preserve">Leads, Customer 360, handoffs, touchpoints, policies</w:t>
            </w:r>
          </w:p>
        </w:tc>
        <w:tc>
          <w:tcPr>
            <w:tcW w:w="1884" w:type="dxa"/>
            <w:shd w:val="clear" w:color="auto" w:fill="F4F7FB"/>
            <w:vAlign w:val="top"/>
          </w:tcPr>
          <w:p>
            <w:pPr>
              <w:pStyle w:val="TableText"/>
              <w:jc w:val="left"/>
            </w:pPr>
            <w:r>
              <w:t xml:space="preserve">500 ms</w:t>
            </w:r>
          </w:p>
        </w:tc>
        <w:tc>
          <w:tcPr>
            <w:tcW w:w="650" w:type="dxa"/>
            <w:shd w:val="clear" w:color="auto" w:fill="F4F7FB"/>
            <w:vAlign w:val="top"/>
          </w:tcPr>
          <w:p>
            <w:pPr>
              <w:pStyle w:val="TableText"/>
              <w:jc w:val="left"/>
            </w:pPr>
            <w:r>
              <w:t xml:space="preserve">1 s</w:t>
            </w:r>
          </w:p>
        </w:tc>
        <w:tc>
          <w:tcPr>
            <w:tcW w:w="1707" w:type="dxa"/>
            <w:shd w:val="clear" w:color="auto" w:fill="F4F7FB"/>
            <w:vAlign w:val="top"/>
          </w:tcPr>
          <w:p>
            <w:pPr>
              <w:pStyle w:val="TableText"/>
              <w:jc w:val="left"/>
            </w:pPr>
            <w:r>
              <w:t xml:space="preserve">&lt; 0.5 %</w:t>
            </w:r>
          </w:p>
        </w:tc>
      </w:tr>
      <w:tr>
        <w:trPr>
          <w:cantSplit/>
        </w:trPr>
        <w:tc>
          <w:tcPr>
            <w:tcW w:w="1875" w:type="dxa"/>
            <w:vAlign w:val="top"/>
          </w:tcPr>
          <w:p>
            <w:pPr>
              <w:pStyle w:val="TableText"/>
              <w:jc w:val="left"/>
            </w:pPr>
            <w:r>
              <w:t xml:space="preserve">Staff writes</w:t>
            </w:r>
          </w:p>
        </w:tc>
        <w:tc>
          <w:tcPr>
            <w:tcW w:w="2911" w:type="dxa"/>
            <w:vAlign w:val="top"/>
          </w:tcPr>
          <w:p>
            <w:pPr>
              <w:pStyle w:val="TableText"/>
              <w:jc w:val="left"/>
            </w:pPr>
            <w:r>
              <w:t xml:space="preserve">Handoff update, voice turn, consent change</w:t>
            </w:r>
          </w:p>
        </w:tc>
        <w:tc>
          <w:tcPr>
            <w:tcW w:w="1884" w:type="dxa"/>
            <w:vAlign w:val="top"/>
          </w:tcPr>
          <w:p>
            <w:pPr>
              <w:pStyle w:val="TableText"/>
              <w:jc w:val="left"/>
            </w:pPr>
            <w:r>
              <w:t xml:space="preserve">500 ms</w:t>
            </w:r>
          </w:p>
        </w:tc>
        <w:tc>
          <w:tcPr>
            <w:tcW w:w="650" w:type="dxa"/>
            <w:vAlign w:val="top"/>
          </w:tcPr>
          <w:p>
            <w:pPr>
              <w:pStyle w:val="TableText"/>
              <w:jc w:val="left"/>
            </w:pPr>
            <w:r>
              <w:t xml:space="preserve">1 s</w:t>
            </w:r>
          </w:p>
        </w:tc>
        <w:tc>
          <w:tcPr>
            <w:tcW w:w="1707" w:type="dxa"/>
            <w:vAlign w:val="top"/>
          </w:tcPr>
          <w:p>
            <w:pPr>
              <w:pStyle w:val="TableText"/>
              <w:jc w:val="left"/>
            </w:pPr>
            <w:r>
              <w:t xml:space="preserve">&lt; 0.5 %</w:t>
            </w:r>
          </w:p>
        </w:tc>
      </w:tr>
      <w:tr>
        <w:trPr>
          <w:cantSplit/>
        </w:trPr>
        <w:tc>
          <w:tcPr>
            <w:tcW w:w="1875" w:type="dxa"/>
            <w:shd w:val="clear" w:color="auto" w:fill="F4F7FB"/>
            <w:noWrap/>
            <w:vAlign w:val="top"/>
          </w:tcPr>
          <w:p>
            <w:pPr>
              <w:pStyle w:val="TableText"/>
              <w:jc w:val="left"/>
            </w:pPr>
            <w:r>
              <w:t xml:space="preserve">Sign-in</w:t>
            </w:r>
          </w:p>
        </w:tc>
        <w:tc>
          <w:tcPr>
            <w:tcW w:w="2911" w:type="dxa"/>
            <w:shd w:val="clear" w:color="auto" w:fill="F4F7FB"/>
            <w:vAlign w:val="top"/>
          </w:tcPr>
          <w:p>
            <w:pPr>
              <w:pStyle w:val="TableText"/>
              <w:jc w:val="left"/>
            </w:pPr>
            <w:r>
              <w:t xml:space="preserve">Password and MFA</w:t>
            </w:r>
          </w:p>
        </w:tc>
        <w:tc>
          <w:tcPr>
            <w:tcW w:w="1884" w:type="dxa"/>
            <w:shd w:val="clear" w:color="auto" w:fill="F4F7FB"/>
            <w:vAlign w:val="top"/>
          </w:tcPr>
          <w:p>
            <w:pPr>
              <w:pStyle w:val="TableText"/>
              <w:jc w:val="left"/>
            </w:pPr>
            <w:r>
              <w:t xml:space="preserve">600 ms</w:t>
            </w:r>
          </w:p>
        </w:tc>
        <w:tc>
          <w:tcPr>
            <w:tcW w:w="650" w:type="dxa"/>
            <w:shd w:val="clear" w:color="auto" w:fill="F4F7FB"/>
            <w:vAlign w:val="top"/>
          </w:tcPr>
          <w:p>
            <w:pPr>
              <w:pStyle w:val="TableText"/>
              <w:jc w:val="left"/>
            </w:pPr>
            <w:r>
              <w:t xml:space="preserve">1.2 s</w:t>
            </w:r>
          </w:p>
        </w:tc>
        <w:tc>
          <w:tcPr>
            <w:tcW w:w="1707" w:type="dxa"/>
            <w:shd w:val="clear" w:color="auto" w:fill="F4F7FB"/>
            <w:vAlign w:val="top"/>
          </w:tcPr>
          <w:p>
            <w:pPr>
              <w:pStyle w:val="TableText"/>
              <w:jc w:val="left"/>
            </w:pPr>
            <w:r>
              <w:t xml:space="preserve">&lt; 0.1 %</w:t>
            </w:r>
          </w:p>
        </w:tc>
      </w:tr>
      <w:tr>
        <w:trPr>
          <w:cantSplit/>
        </w:trPr>
        <w:tc>
          <w:tcPr>
            <w:tcW w:w="1875" w:type="dxa"/>
            <w:vAlign w:val="top"/>
          </w:tcPr>
          <w:p>
            <w:pPr>
              <w:pStyle w:val="TableText"/>
              <w:jc w:val="left"/>
            </w:pPr>
            <w:r>
              <w:t xml:space="preserve">Dashboards</w:t>
            </w:r>
          </w:p>
        </w:tc>
        <w:tc>
          <w:tcPr>
            <w:tcW w:w="2911" w:type="dxa"/>
            <w:vAlign w:val="top"/>
          </w:tcPr>
          <w:p>
            <w:pPr>
              <w:pStyle w:val="TableText"/>
              <w:jc w:val="left"/>
            </w:pPr>
            <w:r>
              <w:t xml:space="preserve">Dashboard routes at 6 million profiles (KI-12)</w:t>
            </w:r>
          </w:p>
        </w:tc>
        <w:tc>
          <w:tcPr>
            <w:tcW w:w="1884" w:type="dxa"/>
            <w:vAlign w:val="top"/>
          </w:tcPr>
          <w:p>
            <w:pPr>
              <w:pStyle w:val="TableText"/>
              <w:jc w:val="left"/>
            </w:pPr>
            <w:r>
              <w:t xml:space="preserve">3 s</w:t>
            </w:r>
          </w:p>
        </w:tc>
        <w:tc>
          <w:tcPr>
            <w:tcW w:w="650" w:type="dxa"/>
            <w:vAlign w:val="top"/>
          </w:tcPr>
          <w:p>
            <w:pPr>
              <w:pStyle w:val="TableText"/>
              <w:jc w:val="left"/>
            </w:pPr>
            <w:r>
              <w:t xml:space="preserve">6 s</w:t>
            </w:r>
          </w:p>
        </w:tc>
        <w:tc>
          <w:tcPr>
            <w:tcW w:w="1707" w:type="dxa"/>
            <w:vAlign w:val="top"/>
          </w:tcPr>
          <w:p>
            <w:pPr>
              <w:pStyle w:val="TableText"/>
              <w:jc w:val="left"/>
            </w:pPr>
            <w:r>
              <w:t xml:space="preserve">&lt; 1 %</w:t>
            </w:r>
          </w:p>
        </w:tc>
      </w:tr>
      <w:tr>
        <w:trPr>
          <w:cantSplit/>
        </w:trPr>
        <w:tc>
          <w:tcPr>
            <w:tcW w:w="1875" w:type="dxa"/>
            <w:shd w:val="clear" w:color="auto" w:fill="F4F7FB"/>
            <w:vAlign w:val="top"/>
          </w:tcPr>
          <w:p>
            <w:pPr>
              <w:pStyle w:val="TableText"/>
              <w:jc w:val="left"/>
            </w:pPr>
            <w:r>
              <w:t xml:space="preserve">Batch</w:t>
            </w:r>
          </w:p>
        </w:tc>
        <w:tc>
          <w:tcPr>
            <w:tcW w:w="2911" w:type="dxa"/>
            <w:shd w:val="clear" w:color="auto" w:fill="F4F7FB"/>
            <w:vAlign w:val="top"/>
          </w:tcPr>
          <w:p>
            <w:pPr>
              <w:pStyle w:val="TableText"/>
              <w:jc w:val="left"/>
            </w:pPr>
            <w:r>
              <w:t xml:space="preserve">Incremental rebuild of 180,000 records</w:t>
            </w:r>
          </w:p>
        </w:tc>
        <w:tc>
          <w:tcPr>
            <w:tcW w:w="1884" w:type="dxa"/>
            <w:shd w:val="clear" w:color="auto" w:fill="F4F7FB"/>
            <w:vAlign w:val="top"/>
          </w:tcPr>
          <w:p>
            <w:pPr>
              <w:pStyle w:val="TableText"/>
              <w:jc w:val="left"/>
            </w:pPr>
            <w:r>
              <w:t xml:space="preserve">60 min</w:t>
            </w:r>
          </w:p>
        </w:tc>
        <w:tc>
          <w:tcPr>
            <w:tcW w:w="650" w:type="dxa"/>
            <w:shd w:val="clear" w:color="auto" w:fill="F4F7FB"/>
            <w:vAlign w:val="top"/>
          </w:tcPr>
          <w:p>
            <w:pPr>
              <w:pStyle w:val="TableText"/>
              <w:jc w:val="left"/>
            </w:pPr>
            <w:r>
              <w:t xml:space="preserve">—</w:t>
            </w:r>
          </w:p>
        </w:tc>
        <w:tc>
          <w:tcPr>
            <w:tcW w:w="1707" w:type="dxa"/>
            <w:shd w:val="clear" w:color="auto" w:fill="F4F7FB"/>
            <w:vAlign w:val="top"/>
          </w:tcPr>
          <w:p>
            <w:pPr>
              <w:pStyle w:val="TableText"/>
              <w:jc w:val="left"/>
            </w:pPr>
            <w:r>
              <w:t xml:space="preserve">No failed batches</w:t>
            </w:r>
          </w:p>
        </w:tc>
      </w:tr>
      <w:tr>
        <w:trPr>
          <w:cantSplit/>
        </w:trPr>
        <w:tc>
          <w:tcPr>
            <w:tcW w:w="1875" w:type="dxa"/>
            <w:vAlign w:val="top"/>
          </w:tcPr>
          <w:p>
            <w:pPr>
              <w:pStyle w:val="TableText"/>
              <w:jc w:val="left"/>
            </w:pPr>
            <w:r>
              <w:t xml:space="preserve">Batch</w:t>
            </w:r>
          </w:p>
        </w:tc>
        <w:tc>
          <w:tcPr>
            <w:tcW w:w="2911" w:type="dxa"/>
            <w:vAlign w:val="top"/>
          </w:tcPr>
          <w:p>
            <w:pPr>
              <w:pStyle w:val="TableText"/>
              <w:jc w:val="left"/>
            </w:pPr>
            <w:r>
              <w:t xml:space="preserve">Full recompute of 6 million</w:t>
            </w:r>
          </w:p>
        </w:tc>
        <w:tc>
          <w:tcPr>
            <w:tcW w:w="1884" w:type="dxa"/>
            <w:vAlign w:val="top"/>
          </w:tcPr>
          <w:p>
            <w:pPr>
              <w:pStyle w:val="TableText"/>
              <w:jc w:val="left"/>
            </w:pPr>
            <w:r>
              <w:t xml:space="preserve">4 h</w:t>
            </w:r>
          </w:p>
        </w:tc>
        <w:tc>
          <w:tcPr>
            <w:tcW w:w="650" w:type="dxa"/>
            <w:vAlign w:val="top"/>
          </w:tcPr>
          <w:p>
            <w:pPr>
              <w:pStyle w:val="TableText"/>
              <w:jc w:val="left"/>
            </w:pPr>
            <w:r>
              <w:t xml:space="preserve">—</w:t>
            </w:r>
          </w:p>
        </w:tc>
        <w:tc>
          <w:tcPr>
            <w:tcW w:w="1707" w:type="dxa"/>
            <w:vAlign w:val="top"/>
          </w:tcPr>
          <w:p>
            <w:pPr>
              <w:pStyle w:val="TableText"/>
              <w:jc w:val="left"/>
            </w:pPr>
            <w:r>
              <w:t xml:space="preserve">—</w:t>
            </w:r>
          </w:p>
        </w:tc>
      </w:tr>
      <w:tr>
        <w:trPr>
          <w:cantSplit/>
        </w:trPr>
        <w:tc>
          <w:tcPr>
            <w:tcW w:w="1875" w:type="dxa"/>
            <w:shd w:val="clear" w:color="auto" w:fill="F4F7FB"/>
            <w:vAlign w:val="top"/>
          </w:tcPr>
          <w:p>
            <w:pPr>
              <w:pStyle w:val="TableText"/>
              <w:jc w:val="left"/>
            </w:pPr>
            <w:r>
              <w:t xml:space="preserve">Batch</w:t>
            </w:r>
          </w:p>
        </w:tc>
        <w:tc>
          <w:tcPr>
            <w:tcW w:w="2911" w:type="dxa"/>
            <w:shd w:val="clear" w:color="auto" w:fill="F4F7FB"/>
            <w:vAlign w:val="top"/>
          </w:tcPr>
          <w:p>
            <w:pPr>
              <w:pStyle w:val="TableText"/>
              <w:jc w:val="left"/>
            </w:pPr>
            <w:r>
              <w:t xml:space="preserve">Daily journey run</w:t>
            </w:r>
          </w:p>
        </w:tc>
        <w:tc>
          <w:tcPr>
            <w:tcW w:w="1884" w:type="dxa"/>
            <w:shd w:val="clear" w:color="auto" w:fill="F4F7FB"/>
            <w:vAlign w:val="top"/>
          </w:tcPr>
          <w:p>
            <w:pPr>
              <w:pStyle w:val="TableText"/>
              <w:jc w:val="left"/>
            </w:pPr>
            <w:r>
              <w:t xml:space="preserve">All due touchpoints done by 12:00</w:t>
            </w:r>
          </w:p>
        </w:tc>
        <w:tc>
          <w:tcPr>
            <w:tcW w:w="650" w:type="dxa"/>
            <w:shd w:val="clear" w:color="auto" w:fill="F4F7FB"/>
            <w:vAlign w:val="top"/>
          </w:tcPr>
          <w:p>
            <w:pPr>
              <w:pStyle w:val="TableText"/>
              <w:jc w:val="left"/>
            </w:pPr>
            <w:r>
              <w:t xml:space="preserve">—</w:t>
            </w:r>
          </w:p>
        </w:tc>
        <w:tc>
          <w:tcPr>
            <w:tcW w:w="1707" w:type="dxa"/>
            <w:shd w:val="clear" w:color="auto" w:fill="F4F7FB"/>
            <w:vAlign w:val="top"/>
          </w:tcPr>
          <w:p>
            <w:pPr>
              <w:pStyle w:val="TableText"/>
              <w:jc w:val="left"/>
            </w:pPr>
            <w:r>
              <w:t xml:space="preserve">Skips only for policy reasons</w:t>
            </w:r>
          </w:p>
        </w:tc>
      </w:tr>
    </w:tbl>
    <w:p>
      <w:pPr>
        <w:pStyle w:val="BodyText"/>
        <w:spacing w:before="160"/>
      </w:pPr>
      <w:r>
        <w:t xml:space="preserve">The quote target assumes TASCO core rates within 300 ms at p95; the agreed core figure is a discovery item. Throughput targets are 300 RPS mixed within the targets with CPU at or below 70 % on the planned replicas, and 600 RPS without data corruption.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Tooling</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27"/>
        <w:gridCol w:w="6400"/>
      </w:tblGrid>
      <w:tr>
        <w:trPr>
          <w:cantSplit/>
          <w:tblHeader/>
        </w:trPr>
        <w:tc>
          <w:tcPr>
            <w:tcW w:w="2627" w:type="dxa"/>
            <w:shd w:val="clear" w:color="auto" w:fill="0F4761"/>
            <w:vAlign w:val="center"/>
          </w:tcPr>
          <w:p>
            <w:pPr>
              <w:pStyle w:val="TableHeading"/>
              <w:jc w:val="left"/>
            </w:pPr>
            <w:r>
              <w:rPr>
                <w:color w:val="FFFFFF"/>
              </w:rPr>
              <w:t xml:space="preserve">Tool</w:t>
            </w:r>
          </w:p>
        </w:tc>
        <w:tc>
          <w:tcPr>
            <w:tcW w:w="6400" w:type="dxa"/>
            <w:shd w:val="clear" w:color="auto" w:fill="0F4761"/>
            <w:vAlign w:val="center"/>
          </w:tcPr>
          <w:p>
            <w:pPr>
              <w:pStyle w:val="TableHeading"/>
              <w:jc w:val="left"/>
            </w:pPr>
            <w:r>
              <w:rPr>
                <w:color w:val="FFFFFF"/>
              </w:rPr>
              <w:t xml:space="preserve">Use</w:t>
            </w:r>
          </w:p>
        </w:tc>
      </w:tr>
      <w:tr>
        <w:trPr>
          <w:cantSplit/>
        </w:trPr>
        <w:tc>
          <w:tcPr>
            <w:tcW w:w="2627" w:type="dxa"/>
            <w:vAlign w:val="top"/>
          </w:tcPr>
          <w:p>
            <w:pPr>
              <w:pStyle w:val="TableText"/>
              <w:jc w:val="left"/>
            </w:pPr>
            <w:r>
              <w:rPr>
                <w:rStyle w:val="CodeChar"/>
              </w:rPr>
              <w:t xml:space="preserve">npm run test:perf</w:t>
            </w:r>
            <w:r>
              <w:t xml:space="preserve"> </w:t>
            </w:r>
            <w:r>
              <w:t xml:space="preserve">(</w:t>
            </w:r>
            <w:r>
              <w:rPr>
                <w:rStyle w:val="CodeChar"/>
              </w:rPr>
              <w:t xml:space="preserve">test/perf/load.js</w:t>
            </w:r>
            <w:r>
              <w:t xml:space="preserve">)</w:t>
            </w:r>
          </w:p>
        </w:tc>
        <w:tc>
          <w:tcPr>
            <w:tcW w:w="6400" w:type="dxa"/>
            <w:vAlign w:val="top"/>
          </w:tcPr>
          <w:p>
            <w:pPr>
              <w:pStyle w:val="TableText"/>
              <w:jc w:val="left"/>
            </w:pPr>
            <w:r>
              <w:t xml:space="preserve">Dependency-free load generator. It starts an in-process server or targets</w:t>
            </w:r>
            <w:r>
              <w:t xml:space="preserve"> </w:t>
            </w:r>
            <w:r>
              <w:rPr>
                <w:rStyle w:val="CodeChar"/>
              </w:rPr>
              <w:t xml:space="preserve">BASE_URL</w:t>
            </w:r>
            <w:r>
              <w:t xml:space="preserve">, signs in, drives a weighted mix of read and write paths, and reports requests per second, p50, p95, p99 and errors per endpoint. Settings:</w:t>
            </w:r>
            <w:r>
              <w:t xml:space="preserve"> </w:t>
            </w:r>
            <w:r>
              <w:rPr>
                <w:rStyle w:val="CodeChar"/>
              </w:rPr>
              <w:t xml:space="preserve">DURATION_MS</w:t>
            </w:r>
            <w:r>
              <w:t xml:space="preserve"> </w:t>
            </w:r>
            <w:r>
              <w:t xml:space="preserve">(15,000),</w:t>
            </w:r>
            <w:r>
              <w:t xml:space="preserve"> </w:t>
            </w:r>
            <w:r>
              <w:rPr>
                <w:rStyle w:val="CodeChar"/>
              </w:rPr>
              <w:t xml:space="preserve">CONCURRENCY</w:t>
            </w:r>
            <w:r>
              <w:t xml:space="preserve"> </w:t>
            </w:r>
            <w:r>
              <w:t xml:space="preserve">(25),</w:t>
            </w:r>
            <w:r>
              <w:t xml:space="preserve"> </w:t>
            </w:r>
            <w:r>
              <w:rPr>
                <w:rStyle w:val="CodeChar"/>
              </w:rPr>
              <w:t xml:space="preserve">P95_BUDGET_MS</w:t>
            </w:r>
            <w:r>
              <w:t xml:space="preserve"> </w:t>
            </w:r>
            <w:r>
              <w:t xml:space="preserve">(300),</w:t>
            </w:r>
            <w:r>
              <w:t xml:space="preserve"> </w:t>
            </w:r>
            <w:r>
              <w:rPr>
                <w:rStyle w:val="CodeChar"/>
              </w:rPr>
              <w:t xml:space="preserve">SEED_RECORDS</w:t>
            </w:r>
            <w:r>
              <w:t xml:space="preserve">. Exits 1 above the p95 budget or 1 % errors</w:t>
            </w:r>
          </w:p>
        </w:tc>
      </w:tr>
      <w:tr>
        <w:trPr>
          <w:cantSplit/>
        </w:trPr>
        <w:tc>
          <w:tcPr>
            <w:tcW w:w="2627" w:type="dxa"/>
            <w:shd w:val="clear" w:color="auto" w:fill="F4F7FB"/>
            <w:vAlign w:val="top"/>
          </w:tcPr>
          <w:p>
            <w:pPr>
              <w:pStyle w:val="TableText"/>
              <w:jc w:val="left"/>
            </w:pPr>
            <w:r>
              <w:t xml:space="preserve">k6 (optional)</w:t>
            </w:r>
          </w:p>
        </w:tc>
        <w:tc>
          <w:tcPr>
            <w:tcW w:w="6400" w:type="dxa"/>
            <w:shd w:val="clear" w:color="auto" w:fill="F4F7FB"/>
            <w:vAlign w:val="top"/>
          </w:tcPr>
          <w:p>
            <w:pPr>
              <w:pStyle w:val="TableText"/>
              <w:jc w:val="left"/>
            </w:pPr>
            <w:r>
              <w:t xml:space="preserve">Distributed load when one process cannot reach the target, or to model think time</w:t>
            </w:r>
          </w:p>
        </w:tc>
      </w:tr>
      <w:tr>
        <w:trPr>
          <w:cantSplit/>
        </w:trPr>
        <w:tc>
          <w:tcPr>
            <w:tcW w:w="2627" w:type="dxa"/>
            <w:vAlign w:val="top"/>
          </w:tcPr>
          <w:p>
            <w:pPr>
              <w:pStyle w:val="TableText"/>
              <w:jc w:val="left"/>
            </w:pPr>
            <w:r>
              <w:t xml:space="preserve">Synthetic generator</w:t>
            </w:r>
          </w:p>
        </w:tc>
        <w:tc>
          <w:tcPr>
            <w:tcW w:w="6400" w:type="dxa"/>
            <w:vAlign w:val="top"/>
          </w:tcPr>
          <w:p>
            <w:pPr>
              <w:pStyle w:val="TableText"/>
              <w:jc w:val="left"/>
            </w:pPr>
            <w:r>
              <w:t xml:space="preserve">Up to 6 million records, generated in province-sized chunks</w:t>
            </w:r>
          </w:p>
        </w:tc>
      </w:tr>
      <w:tr>
        <w:trPr>
          <w:cantSplit/>
        </w:trPr>
        <w:tc>
          <w:tcPr>
            <w:tcW w:w="2627" w:type="dxa"/>
            <w:shd w:val="clear" w:color="auto" w:fill="F4F7FB"/>
            <w:vAlign w:val="top"/>
          </w:tcPr>
          <w:p>
            <w:pPr>
              <w:pStyle w:val="TableText"/>
              <w:jc w:val="left"/>
            </w:pPr>
            <w:r>
              <w:t xml:space="preserve">Batch jobs</w:t>
            </w:r>
          </w:p>
        </w:tc>
        <w:tc>
          <w:tcPr>
            <w:tcW w:w="6400" w:type="dxa"/>
            <w:shd w:val="clear" w:color="auto" w:fill="F4F7FB"/>
            <w:vAlign w:val="top"/>
          </w:tcPr>
          <w:p>
            <w:pPr>
              <w:pStyle w:val="TableText"/>
              <w:jc w:val="left"/>
            </w:pPr>
            <w:r>
              <w:t xml:space="preserve">Migrate, recompute, journeys, reconcile, relay and sync-catalogue, timed; history from</w:t>
            </w:r>
            <w:r>
              <w:t xml:space="preserve"> </w:t>
            </w:r>
            <w:r>
              <w:rPr>
                <w:rStyle w:val="CodeChar"/>
              </w:rPr>
              <w:t xml:space="preserve">GET /api/ops/jobs</w:t>
            </w:r>
          </w:p>
        </w:tc>
      </w:tr>
      <w:tr>
        <w:trPr>
          <w:cantSplit/>
        </w:trPr>
        <w:tc>
          <w:tcPr>
            <w:tcW w:w="2627" w:type="dxa"/>
            <w:vAlign w:val="top"/>
          </w:tcPr>
          <w:p>
            <w:pPr>
              <w:pStyle w:val="TableText"/>
              <w:jc w:val="left"/>
            </w:pPr>
            <w:r>
              <w:t xml:space="preserve">Fault injection</w:t>
            </w:r>
          </w:p>
        </w:tc>
        <w:tc>
          <w:tcPr>
            <w:tcW w:w="6400" w:type="dxa"/>
            <w:vAlign w:val="top"/>
          </w:tcPr>
          <w:p>
            <w:pPr>
              <w:pStyle w:val="TableText"/>
              <w:jc w:val="left"/>
            </w:pPr>
            <w:r>
              <w:t xml:space="preserve">Sandbox ports with latency and error rate (wallet, notifications, simulated TASCO core); network tools for database latency</w:t>
            </w:r>
          </w:p>
        </w:tc>
      </w:tr>
      <w:tr>
        <w:trPr>
          <w:cantSplit/>
        </w:trPr>
        <w:tc>
          <w:tcPr>
            <w:tcW w:w="2627" w:type="dxa"/>
            <w:shd w:val="clear" w:color="auto" w:fill="F4F7FB"/>
            <w:vAlign w:val="top"/>
          </w:tcPr>
          <w:p>
            <w:pPr>
              <w:pStyle w:val="TableText"/>
              <w:jc w:val="left"/>
            </w:pPr>
            <w:r>
              <w:t xml:space="preserve">Database</w:t>
            </w:r>
          </w:p>
        </w:tc>
        <w:tc>
          <w:tcPr>
            <w:tcW w:w="6400" w:type="dxa"/>
            <w:shd w:val="clear" w:color="auto" w:fill="F4F7FB"/>
            <w:vAlign w:val="top"/>
          </w:tcPr>
          <w:p>
            <w:pPr>
              <w:pStyle w:val="TableText"/>
              <w:jc w:val="left"/>
            </w:pPr>
            <w:r>
              <w:rPr>
                <w:rStyle w:val="CodeChar"/>
              </w:rPr>
              <w:t xml:space="preserve">pg_stat_statements</w:t>
            </w:r>
            <w:r>
              <w:t xml:space="preserve">,</w:t>
            </w:r>
            <w:r>
              <w:t xml:space="preserve"> </w:t>
            </w:r>
            <w:r>
              <w:rPr>
                <w:rStyle w:val="CodeChar"/>
              </w:rPr>
              <w:t xml:space="preserve">EXPLAIN (ANALYZE, BUFFERS)</w:t>
            </w:r>
            <w:r>
              <w:t xml:space="preserve">,</w:t>
            </w:r>
            <w:r>
              <w:t xml:space="preserve"> </w:t>
            </w:r>
            <w:r>
              <w:rPr>
                <w:rStyle w:val="CodeChar"/>
              </w:rPr>
              <w:t xml:space="preserve">pg_stat_activity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Test environment</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12"/>
        <w:gridCol w:w="4833"/>
        <w:gridCol w:w="2382"/>
      </w:tblGrid>
      <w:tr>
        <w:trPr>
          <w:cantSplit/>
          <w:tblHeader/>
        </w:trPr>
        <w:tc>
          <w:tcPr>
            <w:tcW w:w="1812" w:type="dxa"/>
            <w:shd w:val="clear" w:color="auto" w:fill="0F4761"/>
            <w:vAlign w:val="center"/>
          </w:tcPr>
          <w:p>
            <w:pPr>
              <w:pStyle w:val="TableHeading"/>
              <w:jc w:val="left"/>
            </w:pPr>
            <w:r>
              <w:rPr>
                <w:color w:val="FFFFFF"/>
              </w:rPr>
              <w:t xml:space="preserve">Component</w:t>
            </w:r>
          </w:p>
        </w:tc>
        <w:tc>
          <w:tcPr>
            <w:tcW w:w="4833" w:type="dxa"/>
            <w:shd w:val="clear" w:color="auto" w:fill="0F4761"/>
            <w:vAlign w:val="center"/>
          </w:tcPr>
          <w:p>
            <w:pPr>
              <w:pStyle w:val="TableHeading"/>
              <w:jc w:val="left"/>
            </w:pPr>
            <w:r>
              <w:rPr>
                <w:color w:val="FFFFFF"/>
              </w:rPr>
              <w:t xml:space="preserve">PERF sizing</w:t>
            </w:r>
          </w:p>
        </w:tc>
        <w:tc>
          <w:tcPr>
            <w:tcW w:w="2382" w:type="dxa"/>
            <w:shd w:val="clear" w:color="auto" w:fill="0F4761"/>
            <w:vAlign w:val="center"/>
          </w:tcPr>
          <w:p>
            <w:pPr>
              <w:pStyle w:val="TableHeading"/>
              <w:jc w:val="left"/>
            </w:pPr>
            <w:r>
              <w:rPr>
                <w:color w:val="FFFFFF"/>
              </w:rPr>
              <w:t xml:space="preserve">Rationale</w:t>
            </w:r>
          </w:p>
        </w:tc>
      </w:tr>
      <w:tr>
        <w:trPr>
          <w:cantSplit/>
        </w:trPr>
        <w:tc>
          <w:tcPr>
            <w:tcW w:w="1812" w:type="dxa"/>
            <w:vAlign w:val="top"/>
          </w:tcPr>
          <w:p>
            <w:pPr>
              <w:pStyle w:val="TableText"/>
              <w:jc w:val="left"/>
            </w:pPr>
            <w:r>
              <w:t xml:space="preserve">Application pods</w:t>
            </w:r>
          </w:p>
        </w:tc>
        <w:tc>
          <w:tcPr>
            <w:tcW w:w="4833" w:type="dxa"/>
            <w:vAlign w:val="top"/>
          </w:tcPr>
          <w:p>
            <w:pPr>
              <w:pStyle w:val="TableText"/>
              <w:jc w:val="left"/>
            </w:pPr>
            <w:r>
              <w:t xml:space="preserve">3 to 10 (autoscaling at 60 % CPU), each 1 vCPU and 1 GiB requested, 2 vCPU and 1.5 GiB limit;</w:t>
            </w:r>
            <w:r>
              <w:t xml:space="preserve"> </w:t>
            </w:r>
            <w:r>
              <w:rPr>
                <w:rStyle w:val="CodeChar"/>
              </w:rPr>
              <w:t xml:space="preserve">DB_POOL_MAX</w:t>
            </w:r>
            <w:r>
              <w:t xml:space="preserve"> </w:t>
            </w:r>
            <w:r>
              <w:t xml:space="preserve">10</w:t>
            </w:r>
          </w:p>
        </w:tc>
        <w:tc>
          <w:tcPr>
            <w:tcW w:w="2382" w:type="dxa"/>
            <w:vAlign w:val="top"/>
          </w:tcPr>
          <w:p>
            <w:pPr>
              <w:pStyle w:val="TableText"/>
              <w:jc w:val="left"/>
            </w:pPr>
            <w:r>
              <w:t xml:space="preserve">Mirrors production</w:t>
            </w:r>
          </w:p>
        </w:tc>
      </w:tr>
      <w:tr>
        <w:trPr>
          <w:cantSplit/>
        </w:trPr>
        <w:tc>
          <w:tcPr>
            <w:tcW w:w="1812" w:type="dxa"/>
            <w:shd w:val="clear" w:color="auto" w:fill="F4F7FB"/>
            <w:vAlign w:val="top"/>
          </w:tcPr>
          <w:p>
            <w:pPr>
              <w:pStyle w:val="TableText"/>
              <w:jc w:val="left"/>
            </w:pPr>
            <w:r>
              <w:t xml:space="preserve">Relay</w:t>
            </w:r>
          </w:p>
        </w:tc>
        <w:tc>
          <w:tcPr>
            <w:tcW w:w="4833" w:type="dxa"/>
            <w:shd w:val="clear" w:color="auto" w:fill="F4F7FB"/>
            <w:vAlign w:val="top"/>
          </w:tcPr>
          <w:p>
            <w:pPr>
              <w:pStyle w:val="TableText"/>
              <w:jc w:val="left"/>
            </w:pPr>
            <w:r>
              <w:t xml:space="preserve">Built-in 1 s relay in every pod plus the relay job</w:t>
            </w:r>
          </w:p>
        </w:tc>
        <w:tc>
          <w:tcPr>
            <w:tcW w:w="2382" w:type="dxa"/>
            <w:shd w:val="clear" w:color="auto" w:fill="F4F7FB"/>
            <w:vAlign w:val="top"/>
          </w:tcPr>
          <w:p>
            <w:pPr>
              <w:pStyle w:val="TableText"/>
              <w:jc w:val="left"/>
            </w:pPr>
            <w:r>
              <w:t xml:space="preserve">As production</w:t>
            </w:r>
          </w:p>
        </w:tc>
      </w:tr>
      <w:tr>
        <w:trPr>
          <w:cantSplit/>
        </w:trPr>
        <w:tc>
          <w:tcPr>
            <w:tcW w:w="1812" w:type="dxa"/>
            <w:vAlign w:val="top"/>
          </w:tcPr>
          <w:p>
            <w:pPr>
              <w:pStyle w:val="TableText"/>
              <w:jc w:val="left"/>
            </w:pPr>
            <w:r>
              <w:t xml:space="preserve">PostgreSQL 16</w:t>
            </w:r>
          </w:p>
        </w:tc>
        <w:tc>
          <w:tcPr>
            <w:tcW w:w="4833" w:type="dxa"/>
            <w:vAlign w:val="top"/>
          </w:tcPr>
          <w:p>
            <w:pPr>
              <w:pStyle w:val="TableText"/>
              <w:jc w:val="left"/>
            </w:pPr>
            <w:r>
              <w:t xml:space="preserve">8 vCPU, 32 GiB, 500 GB SSD with 3,000+ IOPS; connection pooler in transaction mode</w:t>
            </w:r>
          </w:p>
        </w:tc>
        <w:tc>
          <w:tcPr>
            <w:tcW w:w="2382" w:type="dxa"/>
            <w:vAlign w:val="top"/>
          </w:tcPr>
          <w:p>
            <w:pPr>
              <w:pStyle w:val="TableText"/>
              <w:jc w:val="left"/>
            </w:pPr>
            <w:r>
              <w:t xml:space="preserve">Holds 6 million profiles with headroom</w:t>
            </w:r>
          </w:p>
        </w:tc>
      </w:tr>
      <w:tr>
        <w:trPr>
          <w:cantSplit/>
        </w:trPr>
        <w:tc>
          <w:tcPr>
            <w:tcW w:w="1812" w:type="dxa"/>
            <w:shd w:val="clear" w:color="auto" w:fill="F4F7FB"/>
            <w:vAlign w:val="top"/>
          </w:tcPr>
          <w:p>
            <w:pPr>
              <w:pStyle w:val="TableText"/>
              <w:jc w:val="left"/>
            </w:pPr>
            <w:r>
              <w:t xml:space="preserve">Load injectors</w:t>
            </w:r>
          </w:p>
        </w:tc>
        <w:tc>
          <w:tcPr>
            <w:tcW w:w="4833" w:type="dxa"/>
            <w:shd w:val="clear" w:color="auto" w:fill="F4F7FB"/>
            <w:vAlign w:val="top"/>
          </w:tcPr>
          <w:p>
            <w:pPr>
              <w:pStyle w:val="TableText"/>
              <w:jc w:val="left"/>
            </w:pPr>
            <w:r>
              <w:t xml:space="preserve">2 × 4 vCPU in the same region, outside the cluster</w:t>
            </w:r>
          </w:p>
        </w:tc>
        <w:tc>
          <w:tcPr>
            <w:tcW w:w="2382" w:type="dxa"/>
            <w:shd w:val="clear" w:color="auto" w:fill="F4F7FB"/>
            <w:vAlign w:val="top"/>
          </w:tcPr>
          <w:p>
            <w:pPr>
              <w:pStyle w:val="TableText"/>
              <w:jc w:val="left"/>
            </w:pPr>
            <w:r>
              <w:t xml:space="preserve">Avoids measuring the injector</w:t>
            </w:r>
          </w:p>
        </w:tc>
      </w:tr>
      <w:tr>
        <w:trPr>
          <w:cantSplit/>
        </w:trPr>
        <w:tc>
          <w:tcPr>
            <w:tcW w:w="1812" w:type="dxa"/>
            <w:vAlign w:val="top"/>
          </w:tcPr>
          <w:p>
            <w:pPr>
              <w:pStyle w:val="TableText"/>
              <w:jc w:val="left"/>
            </w:pPr>
            <w:r>
              <w:t xml:space="preserve">Integrations</w:t>
            </w:r>
          </w:p>
        </w:tc>
        <w:tc>
          <w:tcPr>
            <w:tcW w:w="4833" w:type="dxa"/>
            <w:vAlign w:val="top"/>
          </w:tcPr>
          <w:p>
            <w:pPr>
              <w:pStyle w:val="TableText"/>
              <w:jc w:val="left"/>
            </w:pPr>
            <w:r>
              <w:t xml:space="preserve">Sandbox with injected latency: wallet p50 300 ms, p95 900 ms; core rating p50 150 ms, p95 300 ms; core issuance p50 500 ms, p95 1.5 s; ZNS 200 ms</w:t>
            </w:r>
          </w:p>
        </w:tc>
        <w:tc>
          <w:tcPr>
            <w:tcW w:w="2382" w:type="dxa"/>
            <w:vAlign w:val="top"/>
          </w:tcPr>
          <w:p>
            <w:pPr>
              <w:pStyle w:val="TableText"/>
              <w:jc w:val="left"/>
            </w:pPr>
            <w:r>
              <w:t xml:space="preserve">Real partners are not load-tested without written agreement</w:t>
            </w:r>
          </w:p>
        </w:tc>
      </w:tr>
      <w:tr>
        <w:trPr>
          <w:cantSplit/>
        </w:trPr>
        <w:tc>
          <w:tcPr>
            <w:tcW w:w="1812" w:type="dxa"/>
            <w:shd w:val="clear" w:color="auto" w:fill="F4F7FB"/>
            <w:vAlign w:val="top"/>
          </w:tcPr>
          <w:p>
            <w:pPr>
              <w:pStyle w:val="TableText"/>
              <w:jc w:val="left"/>
            </w:pPr>
            <w:r>
              <w:t xml:space="preserve">Configuration</w:t>
            </w:r>
          </w:p>
        </w:tc>
        <w:tc>
          <w:tcPr>
            <w:tcW w:w="4833" w:type="dxa"/>
            <w:shd w:val="clear" w:color="auto" w:fill="F4F7FB"/>
            <w:vAlign w:val="top"/>
          </w:tcPr>
          <w:p>
            <w:pPr>
              <w:pStyle w:val="TableText"/>
              <w:jc w:val="left"/>
            </w:pPr>
            <w:r>
              <w:t xml:space="preserve">Production mode, demo mode off,</w:t>
            </w:r>
            <w:r>
              <w:t xml:space="preserve"> </w:t>
            </w:r>
            <w:r>
              <w:rPr>
                <w:rStyle w:val="CodeChar"/>
              </w:rPr>
              <w:t xml:space="preserve">RATING_SOURCE=core</w:t>
            </w:r>
            <w:r>
              <w:t xml:space="preserve">, trusted proxy on, raised per-IP limit for injector addresses</w:t>
            </w:r>
          </w:p>
        </w:tc>
        <w:tc>
          <w:tcPr>
            <w:tcW w:w="2382" w:type="dxa"/>
            <w:shd w:val="clear" w:color="auto" w:fill="F4F7FB"/>
            <w:vAlign w:val="top"/>
          </w:tcPr>
          <w:p>
            <w:pPr>
              <w:pStyle w:val="TableText"/>
              <w:jc w:val="left"/>
            </w:pPr>
            <w:r>
              <w:t xml:space="preserve">Otherwise the per-IP limiter throttles the injectors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Monitoring during tests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81"/>
        <w:gridCol w:w="4801"/>
        <w:gridCol w:w="2445"/>
      </w:tblGrid>
      <w:tr>
        <w:trPr>
          <w:cantSplit/>
          <w:tblHeader/>
        </w:trPr>
        <w:tc>
          <w:tcPr>
            <w:tcW w:w="1781" w:type="dxa"/>
            <w:shd w:val="clear" w:color="auto" w:fill="0F4761"/>
            <w:vAlign w:val="center"/>
          </w:tcPr>
          <w:p>
            <w:pPr>
              <w:pStyle w:val="TableHeading"/>
              <w:jc w:val="left"/>
            </w:pPr>
            <w:r>
              <w:rPr>
                <w:color w:val="FFFFFF"/>
              </w:rPr>
              <w:t xml:space="preserve">Signal</w:t>
            </w:r>
          </w:p>
        </w:tc>
        <w:tc>
          <w:tcPr>
            <w:tcW w:w="4801" w:type="dxa"/>
            <w:shd w:val="clear" w:color="auto" w:fill="0F4761"/>
            <w:vAlign w:val="center"/>
          </w:tcPr>
          <w:p>
            <w:pPr>
              <w:pStyle w:val="TableHeading"/>
              <w:jc w:val="left"/>
            </w:pPr>
            <w:r>
              <w:rPr>
                <w:color w:val="FFFFFF"/>
              </w:rPr>
              <w:t xml:space="preserve">Source</w:t>
            </w:r>
          </w:p>
        </w:tc>
        <w:tc>
          <w:tcPr>
            <w:tcW w:w="2445" w:type="dxa"/>
            <w:shd w:val="clear" w:color="auto" w:fill="0F4761"/>
            <w:vAlign w:val="center"/>
          </w:tcPr>
          <w:p>
            <w:pPr>
              <w:pStyle w:val="TableHeading"/>
              <w:jc w:val="left"/>
            </w:pPr>
            <w:r>
              <w:rPr>
                <w:color w:val="FFFFFF"/>
              </w:rPr>
              <w:t xml:space="preserve">Watch for</w:t>
            </w:r>
          </w:p>
        </w:tc>
      </w:tr>
      <w:tr>
        <w:trPr>
          <w:cantSplit/>
        </w:trPr>
        <w:tc>
          <w:tcPr>
            <w:tcW w:w="1781" w:type="dxa"/>
            <w:vAlign w:val="top"/>
          </w:tcPr>
          <w:p>
            <w:pPr>
              <w:pStyle w:val="TableText"/>
              <w:jc w:val="left"/>
            </w:pPr>
            <w:r>
              <w:t xml:space="preserve">Rate, errors and latency per route</w:t>
            </w:r>
          </w:p>
        </w:tc>
        <w:tc>
          <w:tcPr>
            <w:tcW w:w="4801" w:type="dxa"/>
            <w:vAlign w:val="top"/>
          </w:tcPr>
          <w:p>
            <w:pPr>
              <w:pStyle w:val="TableText"/>
              <w:jc w:val="left"/>
            </w:pPr>
            <w:r>
              <w:rPr>
                <w:rStyle w:val="CodeChar"/>
              </w:rPr>
              <w:t xml:space="preserve">http_requests_total</w:t>
            </w:r>
            <w:r>
              <w:t xml:space="preserve">,</w:t>
            </w:r>
            <w:r>
              <w:t xml:space="preserve"> </w:t>
            </w:r>
            <w:r>
              <w:rPr>
                <w:rStyle w:val="CodeChar"/>
              </w:rPr>
              <w:t xml:space="preserve">http_request_duration_seconds_bucket</w:t>
            </w:r>
          </w:p>
        </w:tc>
        <w:tc>
          <w:tcPr>
            <w:tcW w:w="2445" w:type="dxa"/>
            <w:vAlign w:val="top"/>
          </w:tcPr>
          <w:p>
            <w:pPr>
              <w:pStyle w:val="TableText"/>
              <w:jc w:val="left"/>
            </w:pPr>
            <w:r>
              <w:t xml:space="preserve">p95 against the targets; 5xx and 429</w:t>
            </w:r>
          </w:p>
        </w:tc>
      </w:tr>
      <w:tr>
        <w:trPr>
          <w:cantSplit/>
        </w:trPr>
        <w:tc>
          <w:tcPr>
            <w:tcW w:w="1781" w:type="dxa"/>
            <w:shd w:val="clear" w:color="auto" w:fill="F4F7FB"/>
            <w:vAlign w:val="top"/>
          </w:tcPr>
          <w:p>
            <w:pPr>
              <w:pStyle w:val="TableText"/>
              <w:jc w:val="left"/>
            </w:pPr>
            <w:r>
              <w:t xml:space="preserve">Integration health</w:t>
            </w:r>
          </w:p>
        </w:tc>
        <w:tc>
          <w:tcPr>
            <w:tcW w:w="4801" w:type="dxa"/>
            <w:shd w:val="clear" w:color="auto" w:fill="F4F7FB"/>
            <w:vAlign w:val="top"/>
          </w:tcPr>
          <w:p>
            <w:pPr>
              <w:pStyle w:val="TableText"/>
              <w:jc w:val="left"/>
            </w:pPr>
            <w:r>
              <w:rPr>
                <w:rStyle w:val="CodeChar"/>
              </w:rPr>
              <w:t xml:space="preserve">integration_calls_total</w:t>
            </w:r>
            <w:r>
              <w:t xml:space="preserve">,</w:t>
            </w:r>
            <w:r>
              <w:t xml:space="preserve"> </w:t>
            </w:r>
            <w:r>
              <w:rPr>
                <w:rStyle w:val="CodeChar"/>
              </w:rPr>
              <w:t xml:space="preserve">integration_short_circuit_total</w:t>
            </w:r>
            <w:r>
              <w:t xml:space="preserve">,</w:t>
            </w:r>
            <w:r>
              <w:t xml:space="preserve"> </w:t>
            </w:r>
            <w:r>
              <w:rPr>
                <w:rStyle w:val="CodeChar"/>
              </w:rPr>
              <w:t xml:space="preserve">integration_latency_seconds</w:t>
            </w:r>
            <w:r>
              <w:t xml:space="preserve"> </w:t>
            </w:r>
            <w:r>
              <w:t xml:space="preserve">(TASCO core)</w:t>
            </w:r>
          </w:p>
        </w:tc>
        <w:tc>
          <w:tcPr>
            <w:tcW w:w="2445" w:type="dxa"/>
            <w:shd w:val="clear" w:color="auto" w:fill="F4F7FB"/>
            <w:vAlign w:val="top"/>
          </w:tcPr>
          <w:p>
            <w:pPr>
              <w:pStyle w:val="TableText"/>
              <w:jc w:val="left"/>
            </w:pPr>
            <w:r>
              <w:t xml:space="preserve">Retries inflating calls; circuits opening; core latency</w:t>
            </w:r>
          </w:p>
        </w:tc>
      </w:tr>
      <w:tr>
        <w:trPr>
          <w:cantSplit/>
        </w:trPr>
        <w:tc>
          <w:tcPr>
            <w:tcW w:w="1781" w:type="dxa"/>
            <w:vAlign w:val="top"/>
          </w:tcPr>
          <w:p>
            <w:pPr>
              <w:pStyle w:val="TableText"/>
              <w:jc w:val="left"/>
            </w:pPr>
            <w:r>
              <w:t xml:space="preserve">Rating</w:t>
            </w:r>
          </w:p>
        </w:tc>
        <w:tc>
          <w:tcPr>
            <w:tcW w:w="4801" w:type="dxa"/>
            <w:vAlign w:val="top"/>
          </w:tcPr>
          <w:p>
            <w:pPr>
              <w:pStyle w:val="TableText"/>
              <w:jc w:val="left"/>
            </w:pPr>
            <w:r>
              <w:rPr>
                <w:rStyle w:val="CodeChar"/>
              </w:rPr>
              <w:t xml:space="preserve">rating_requests_total</w:t>
            </w:r>
            <w:r>
              <w:t xml:space="preserve">,</w:t>
            </w:r>
            <w:r>
              <w:t xml:space="preserve"> </w:t>
            </w:r>
            <w:r>
              <w:rPr>
                <w:rStyle w:val="CodeChar"/>
              </w:rPr>
              <w:t xml:space="preserve">quotes_indicative_total</w:t>
            </w:r>
          </w:p>
        </w:tc>
        <w:tc>
          <w:tcPr>
            <w:tcW w:w="2445" w:type="dxa"/>
            <w:vAlign w:val="top"/>
          </w:tcPr>
          <w:p>
            <w:pPr>
              <w:pStyle w:val="TableText"/>
              <w:jc w:val="left"/>
            </w:pPr>
            <w:r>
              <w:t xml:space="preserve">Unavailable results; indicative quotes</w:t>
            </w:r>
          </w:p>
        </w:tc>
      </w:tr>
      <w:tr>
        <w:trPr>
          <w:cantSplit/>
        </w:trPr>
        <w:tc>
          <w:tcPr>
            <w:tcW w:w="1781" w:type="dxa"/>
            <w:shd w:val="clear" w:color="auto" w:fill="F4F7FB"/>
            <w:vAlign w:val="top"/>
          </w:tcPr>
          <w:p>
            <w:pPr>
              <w:pStyle w:val="TableText"/>
              <w:jc w:val="left"/>
            </w:pPr>
            <w:r>
              <w:t xml:space="preserve">Event flow</w:t>
            </w:r>
          </w:p>
        </w:tc>
        <w:tc>
          <w:tcPr>
            <w:tcW w:w="4801" w:type="dxa"/>
            <w:shd w:val="clear" w:color="auto" w:fill="F4F7FB"/>
            <w:vAlign w:val="top"/>
          </w:tcPr>
          <w:p>
            <w:pPr>
              <w:pStyle w:val="TableText"/>
              <w:jc w:val="left"/>
            </w:pPr>
            <w:r>
              <w:rPr>
                <w:rStyle w:val="CodeChar"/>
              </w:rPr>
              <w:t xml:space="preserve">events_published_total</w:t>
            </w:r>
            <w:r>
              <w:t xml:space="preserve">,</w:t>
            </w:r>
            <w:r>
              <w:t xml:space="preserve"> </w:t>
            </w:r>
            <w:r>
              <w:rPr>
                <w:rStyle w:val="CodeChar"/>
              </w:rPr>
              <w:t xml:space="preserve">events_processed_total</w:t>
            </w:r>
            <w:r>
              <w:t xml:space="preserve">, event backlog in</w:t>
            </w:r>
            <w:r>
              <w:t xml:space="preserve"> </w:t>
            </w:r>
            <w:r>
              <w:rPr>
                <w:rStyle w:val="CodeChar"/>
              </w:rPr>
              <w:t xml:space="preserve">GET /api/ops/status</w:t>
            </w:r>
          </w:p>
        </w:tc>
        <w:tc>
          <w:tcPr>
            <w:tcW w:w="2445" w:type="dxa"/>
            <w:shd w:val="clear" w:color="auto" w:fill="F4F7FB"/>
            <w:vAlign w:val="top"/>
          </w:tcPr>
          <w:p>
            <w:pPr>
              <w:pStyle w:val="TableText"/>
              <w:jc w:val="left"/>
            </w:pPr>
            <w:r>
              <w:t xml:space="preserve">Backlog growth; dead letters</w:t>
            </w:r>
          </w:p>
        </w:tc>
      </w:tr>
      <w:tr>
        <w:trPr>
          <w:cantSplit/>
        </w:trPr>
        <w:tc>
          <w:tcPr>
            <w:tcW w:w="1781" w:type="dxa"/>
            <w:vAlign w:val="top"/>
          </w:tcPr>
          <w:p>
            <w:pPr>
              <w:pStyle w:val="TableText"/>
              <w:jc w:val="left"/>
            </w:pPr>
            <w:r>
              <w:t xml:space="preserve">Business throughput</w:t>
            </w:r>
          </w:p>
        </w:tc>
        <w:tc>
          <w:tcPr>
            <w:tcW w:w="4801" w:type="dxa"/>
            <w:vAlign w:val="top"/>
          </w:tcPr>
          <w:p>
            <w:pPr>
              <w:pStyle w:val="TableText"/>
              <w:jc w:val="left"/>
            </w:pPr>
            <w:r>
              <w:rPr>
                <w:rStyle w:val="CodeChar"/>
              </w:rPr>
              <w:t xml:space="preserve">quotes_total</w:t>
            </w:r>
            <w:r>
              <w:t xml:space="preserve">,</w:t>
            </w:r>
            <w:r>
              <w:t xml:space="preserve"> </w:t>
            </w:r>
            <w:r>
              <w:rPr>
                <w:rStyle w:val="CodeChar"/>
              </w:rPr>
              <w:t xml:space="preserve">orders_completed_total</w:t>
            </w:r>
            <w:r>
              <w:t xml:space="preserve">,</w:t>
            </w:r>
            <w:r>
              <w:t xml:space="preserve"> </w:t>
            </w:r>
            <w:r>
              <w:rPr>
                <w:rStyle w:val="CodeChar"/>
              </w:rPr>
              <w:t xml:space="preserve">messages_total</w:t>
            </w:r>
            <w:r>
              <w:t xml:space="preserve">,</w:t>
            </w:r>
            <w:r>
              <w:t xml:space="preserve"> </w:t>
            </w:r>
            <w:r>
              <w:rPr>
                <w:rStyle w:val="CodeChar"/>
              </w:rPr>
              <w:t xml:space="preserve">voice_calls_total</w:t>
            </w:r>
          </w:p>
        </w:tc>
        <w:tc>
          <w:tcPr>
            <w:tcW w:w="2445" w:type="dxa"/>
            <w:vAlign w:val="top"/>
          </w:tcPr>
          <w:p>
            <w:pPr>
              <w:pStyle w:val="TableText"/>
              <w:jc w:val="left"/>
            </w:pPr>
            <w:r>
              <w:t xml:space="preserve">Matches the injected mix</w:t>
            </w:r>
          </w:p>
        </w:tc>
      </w:tr>
      <w:tr>
        <w:trPr>
          <w:cantSplit/>
        </w:trPr>
        <w:tc>
          <w:tcPr>
            <w:tcW w:w="1781" w:type="dxa"/>
            <w:shd w:val="clear" w:color="auto" w:fill="F4F7FB"/>
            <w:vAlign w:val="top"/>
          </w:tcPr>
          <w:p>
            <w:pPr>
              <w:pStyle w:val="TableText"/>
              <w:jc w:val="left"/>
            </w:pPr>
            <w:r>
              <w:t xml:space="preserve">Process</w:t>
            </w:r>
          </w:p>
        </w:tc>
        <w:tc>
          <w:tcPr>
            <w:tcW w:w="4801" w:type="dxa"/>
            <w:shd w:val="clear" w:color="auto" w:fill="F4F7FB"/>
            <w:vAlign w:val="top"/>
          </w:tcPr>
          <w:p>
            <w:pPr>
              <w:pStyle w:val="TableText"/>
              <w:jc w:val="left"/>
            </w:pPr>
            <w:r>
              <w:t xml:space="preserve">Memory, uptime (restarts), CPU throttling</w:t>
            </w:r>
          </w:p>
        </w:tc>
        <w:tc>
          <w:tcPr>
            <w:tcW w:w="2445" w:type="dxa"/>
            <w:shd w:val="clear" w:color="auto" w:fill="F4F7FB"/>
            <w:vAlign w:val="top"/>
          </w:tcPr>
          <w:p>
            <w:pPr>
              <w:pStyle w:val="TableText"/>
              <w:jc w:val="left"/>
            </w:pPr>
            <w:r>
              <w:t xml:space="preserve">Leak slope; out-of-memory kills</w:t>
            </w:r>
          </w:p>
        </w:tc>
      </w:tr>
      <w:tr>
        <w:trPr>
          <w:cantSplit/>
        </w:trPr>
        <w:tc>
          <w:tcPr>
            <w:tcW w:w="1781" w:type="dxa"/>
            <w:vAlign w:val="top"/>
          </w:tcPr>
          <w:p>
            <w:pPr>
              <w:pStyle w:val="TableText"/>
              <w:jc w:val="left"/>
            </w:pPr>
            <w:r>
              <w:t xml:space="preserve">Database</w:t>
            </w:r>
          </w:p>
        </w:tc>
        <w:tc>
          <w:tcPr>
            <w:tcW w:w="4801" w:type="dxa"/>
            <w:vAlign w:val="top"/>
          </w:tcPr>
          <w:p>
            <w:pPr>
              <w:pStyle w:val="TableText"/>
              <w:jc w:val="left"/>
            </w:pPr>
            <w:r>
              <w:t xml:space="preserve">CPU, IOPS, active and idle-in-transaction sessions, lock waits (audit append lock), slowest statements</w:t>
            </w:r>
          </w:p>
        </w:tc>
        <w:tc>
          <w:tcPr>
            <w:tcW w:w="2445" w:type="dxa"/>
            <w:vAlign w:val="top"/>
          </w:tcPr>
          <w:p>
            <w:pPr>
              <w:pStyle w:val="TableText"/>
              <w:jc w:val="left"/>
            </w:pPr>
            <w:r>
              <w:t xml:space="preserve">Pool saturation; audit append serialisation</w:t>
            </w:r>
          </w:p>
        </w:tc>
      </w:tr>
      <w:tr>
        <w:trPr>
          <w:cantSplit/>
        </w:trPr>
        <w:tc>
          <w:tcPr>
            <w:tcW w:w="1781" w:type="dxa"/>
            <w:shd w:val="clear" w:color="auto" w:fill="F4F7FB"/>
            <w:vAlign w:val="top"/>
          </w:tcPr>
          <w:p>
            <w:pPr>
              <w:pStyle w:val="TableText"/>
              <w:jc w:val="left"/>
            </w:pPr>
            <w:r>
              <w:t xml:space="preserve">Logs</w:t>
            </w:r>
          </w:p>
        </w:tc>
        <w:tc>
          <w:tcPr>
            <w:tcW w:w="4801" w:type="dxa"/>
            <w:shd w:val="clear" w:color="auto" w:fill="F4F7FB"/>
            <w:vAlign w:val="top"/>
          </w:tcPr>
          <w:p>
            <w:pPr>
              <w:pStyle w:val="TableText"/>
              <w:jc w:val="left"/>
            </w:pPr>
            <w:r>
              <w:t xml:space="preserve">JSON request lines with route, status, duration and request ID</w:t>
            </w:r>
          </w:p>
        </w:tc>
        <w:tc>
          <w:tcPr>
            <w:tcW w:w="2445" w:type="dxa"/>
            <w:shd w:val="clear" w:color="auto" w:fill="F4F7FB"/>
            <w:vAlign w:val="top"/>
          </w:tcPr>
          <w:p>
            <w:pPr>
              <w:pStyle w:val="TableText"/>
              <w:jc w:val="left"/>
            </w:pPr>
            <w:r>
              <w:t xml:space="preserve">Tail latency outliers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Pass and fail criteria</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51"/>
        <w:gridCol w:w="6976"/>
      </w:tblGrid>
      <w:tr>
        <w:trPr>
          <w:cantSplit/>
          <w:tblHeader/>
        </w:trPr>
        <w:tc>
          <w:tcPr>
            <w:tcW w:w="2051" w:type="dxa"/>
            <w:shd w:val="clear" w:color="auto" w:fill="0F4761"/>
            <w:vAlign w:val="center"/>
          </w:tcPr>
          <w:p>
            <w:pPr>
              <w:pStyle w:val="TableHeading"/>
              <w:jc w:val="left"/>
            </w:pPr>
            <w:r>
              <w:rPr>
                <w:color w:val="FFFFFF"/>
              </w:rPr>
              <w:t xml:space="preserve">Criterion</w:t>
            </w:r>
          </w:p>
        </w:tc>
        <w:tc>
          <w:tcPr>
            <w:tcW w:w="6976" w:type="dxa"/>
            <w:shd w:val="clear" w:color="auto" w:fill="0F4761"/>
            <w:vAlign w:val="center"/>
          </w:tcPr>
          <w:p>
            <w:pPr>
              <w:pStyle w:val="TableHeading"/>
              <w:jc w:val="left"/>
            </w:pPr>
            <w:r>
              <w:rPr>
                <w:color w:val="FFFFFF"/>
              </w:rPr>
              <w:t xml:space="preserve">Pass</w:t>
            </w:r>
          </w:p>
        </w:tc>
      </w:tr>
      <w:tr>
        <w:trPr>
          <w:cantSplit/>
        </w:trPr>
        <w:tc>
          <w:tcPr>
            <w:tcW w:w="2051" w:type="dxa"/>
            <w:vAlign w:val="top"/>
          </w:tcPr>
          <w:p>
            <w:pPr>
              <w:pStyle w:val="TableText"/>
              <w:jc w:val="left"/>
            </w:pPr>
            <w:r>
              <w:t xml:space="preserve">Latency</w:t>
            </w:r>
          </w:p>
        </w:tc>
        <w:tc>
          <w:tcPr>
            <w:tcW w:w="6976" w:type="dxa"/>
            <w:vAlign w:val="top"/>
          </w:tcPr>
          <w:p>
            <w:pPr>
              <w:pStyle w:val="TableText"/>
              <w:jc w:val="left"/>
            </w:pPr>
            <w:r>
              <w:t xml:space="preserve">All route groups meet p95 and p99 at 300 RPS (PERF-S1, S3, S4)</w:t>
            </w:r>
          </w:p>
        </w:tc>
      </w:tr>
      <w:tr>
        <w:trPr>
          <w:cantSplit/>
        </w:trPr>
        <w:tc>
          <w:tcPr>
            <w:tcW w:w="2051" w:type="dxa"/>
            <w:shd w:val="clear" w:color="auto" w:fill="F4F7FB"/>
            <w:vAlign w:val="top"/>
          </w:tcPr>
          <w:p>
            <w:pPr>
              <w:pStyle w:val="TableText"/>
              <w:jc w:val="left"/>
            </w:pPr>
            <w:r>
              <w:t xml:space="preserve">Errors</w:t>
            </w:r>
          </w:p>
        </w:tc>
        <w:tc>
          <w:tcPr>
            <w:tcW w:w="6976" w:type="dxa"/>
            <w:shd w:val="clear" w:color="auto" w:fill="F4F7FB"/>
            <w:vAlign w:val="top"/>
          </w:tcPr>
          <w:p>
            <w:pPr>
              <w:pStyle w:val="TableText"/>
              <w:jc w:val="left"/>
            </w:pPr>
            <w:r>
              <w:t xml:space="preserve">5xx under 0.1 %, excluding injected upstream faults; no internal errors in logs</w:t>
            </w:r>
          </w:p>
        </w:tc>
      </w:tr>
      <w:tr>
        <w:trPr>
          <w:cantSplit/>
        </w:trPr>
        <w:tc>
          <w:tcPr>
            <w:tcW w:w="2051" w:type="dxa"/>
            <w:vAlign w:val="top"/>
          </w:tcPr>
          <w:p>
            <w:pPr>
              <w:pStyle w:val="TableText"/>
              <w:jc w:val="left"/>
            </w:pPr>
            <w:r>
              <w:t xml:space="preserve">Resources at the design point</w:t>
            </w:r>
          </w:p>
        </w:tc>
        <w:tc>
          <w:tcPr>
            <w:tcW w:w="6976" w:type="dxa"/>
            <w:vAlign w:val="top"/>
          </w:tcPr>
          <w:p>
            <w:pPr>
              <w:pStyle w:val="TableText"/>
              <w:jc w:val="left"/>
            </w:pPr>
            <w:r>
              <w:t xml:space="preserve">Application CPU ≤ 70 %; database CPU ≤ 60 %; pool waits under 100 ms at p95</w:t>
            </w:r>
          </w:p>
        </w:tc>
      </w:tr>
      <w:tr>
        <w:trPr>
          <w:cantSplit/>
        </w:trPr>
        <w:tc>
          <w:tcPr>
            <w:tcW w:w="2051" w:type="dxa"/>
            <w:shd w:val="clear" w:color="auto" w:fill="F4F7FB"/>
            <w:vAlign w:val="top"/>
          </w:tcPr>
          <w:p>
            <w:pPr>
              <w:pStyle w:val="TableText"/>
              <w:jc w:val="left"/>
            </w:pPr>
            <w:r>
              <w:t xml:space="preserve">Spike (S2)</w:t>
            </w:r>
          </w:p>
        </w:tc>
        <w:tc>
          <w:tcPr>
            <w:tcW w:w="6976" w:type="dxa"/>
            <w:shd w:val="clear" w:color="auto" w:fill="F4F7FB"/>
            <w:vAlign w:val="top"/>
          </w:tcPr>
          <w:p>
            <w:pPr>
              <w:pStyle w:val="TableText"/>
              <w:jc w:val="left"/>
            </w:pPr>
            <w:r>
              <w:t xml:space="preserve">p95 back within target 2 minutes after the spike starts; autoscaling adds pods</w:t>
            </w:r>
          </w:p>
        </w:tc>
      </w:tr>
      <w:tr>
        <w:trPr>
          <w:cantSplit/>
        </w:trPr>
        <w:tc>
          <w:tcPr>
            <w:tcW w:w="2051" w:type="dxa"/>
            <w:vAlign w:val="top"/>
          </w:tcPr>
          <w:p>
            <w:pPr>
              <w:pStyle w:val="TableText"/>
              <w:jc w:val="left"/>
            </w:pPr>
            <w:r>
              <w:t xml:space="preserve">Volume (S7 to S9)</w:t>
            </w:r>
          </w:p>
        </w:tc>
        <w:tc>
          <w:tcPr>
            <w:tcW w:w="6976" w:type="dxa"/>
            <w:vAlign w:val="top"/>
          </w:tcPr>
          <w:p>
            <w:pPr>
              <w:pStyle w:val="TableText"/>
              <w:jc w:val="left"/>
            </w:pPr>
            <w:r>
              <w:t xml:space="preserve">Cohort loaded and reconciled; rebuild within 60 minutes; journey run within the window</w:t>
            </w:r>
          </w:p>
        </w:tc>
      </w:tr>
      <w:tr>
        <w:trPr>
          <w:cantSplit/>
        </w:trPr>
        <w:tc>
          <w:tcPr>
            <w:tcW w:w="2051" w:type="dxa"/>
            <w:shd w:val="clear" w:color="auto" w:fill="F4F7FB"/>
            <w:vAlign w:val="top"/>
          </w:tcPr>
          <w:p>
            <w:pPr>
              <w:pStyle w:val="TableText"/>
              <w:jc w:val="left"/>
            </w:pPr>
            <w:r>
              <w:t xml:space="preserve">Stress (S10)</w:t>
            </w:r>
          </w:p>
        </w:tc>
        <w:tc>
          <w:tcPr>
            <w:tcW w:w="6976" w:type="dxa"/>
            <w:shd w:val="clear" w:color="auto" w:fill="F4F7FB"/>
            <w:vAlign w:val="top"/>
          </w:tcPr>
          <w:p>
            <w:pPr>
              <w:pStyle w:val="TableText"/>
              <w:jc w:val="left"/>
            </w:pPr>
            <w:r>
              <w:t xml:space="preserve">Degrades with 429 and 503 only; zero corrupted orders; recovery within 5 minutes</w:t>
            </w:r>
          </w:p>
        </w:tc>
      </w:tr>
      <w:tr>
        <w:trPr>
          <w:cantSplit/>
        </w:trPr>
        <w:tc>
          <w:tcPr>
            <w:tcW w:w="2051" w:type="dxa"/>
            <w:vAlign w:val="top"/>
          </w:tcPr>
          <w:p>
            <w:pPr>
              <w:pStyle w:val="TableText"/>
              <w:jc w:val="left"/>
            </w:pPr>
            <w:r>
              <w:t xml:space="preserve">Soak (S11)</w:t>
            </w:r>
          </w:p>
        </w:tc>
        <w:tc>
          <w:tcPr>
            <w:tcW w:w="6976" w:type="dxa"/>
            <w:vAlign w:val="top"/>
          </w:tcPr>
          <w:p>
            <w:pPr>
              <w:pStyle w:val="TableText"/>
              <w:jc w:val="left"/>
            </w:pPr>
            <w:r>
              <w:t xml:space="preserve">Memory growth under 5 % per hour after 1 hour; no restarts; flat error rate</w:t>
            </w:r>
          </w:p>
        </w:tc>
      </w:tr>
      <w:tr>
        <w:trPr>
          <w:cantSplit/>
        </w:trPr>
        <w:tc>
          <w:tcPr>
            <w:tcW w:w="2051" w:type="dxa"/>
            <w:shd w:val="clear" w:color="auto" w:fill="F4F7FB"/>
            <w:vAlign w:val="top"/>
          </w:tcPr>
          <w:p>
            <w:pPr>
              <w:pStyle w:val="TableText"/>
              <w:jc w:val="left"/>
            </w:pPr>
            <w:r>
              <w:t xml:space="preserve">Resilience (S12 to S14)</w:t>
            </w:r>
          </w:p>
        </w:tc>
        <w:tc>
          <w:tcPr>
            <w:tcW w:w="6976" w:type="dxa"/>
            <w:shd w:val="clear" w:color="auto" w:fill="F4F7FB"/>
            <w:vAlign w:val="top"/>
          </w:tcPr>
          <w:p>
            <w:pPr>
              <w:pStyle w:val="TableText"/>
              <w:jc w:val="left"/>
            </w:pPr>
            <w:r>
              <w:t xml:space="preserve">Wallet outage affects sales only; failover recovery within 2 minutes; core outage affects quoting only and fails closed</w:t>
            </w:r>
          </w:p>
        </w:tc>
      </w:tr>
      <w:tr>
        <w:trPr>
          <w:cantSplit/>
        </w:trPr>
        <w:tc>
          <w:tcPr>
            <w:tcW w:w="2051" w:type="dxa"/>
            <w:vAlign w:val="top"/>
          </w:tcPr>
          <w:p>
            <w:pPr>
              <w:pStyle w:val="TableText"/>
              <w:jc w:val="left"/>
            </w:pPr>
            <w:r>
              <w:t xml:space="preserve">Regression</w:t>
            </w:r>
          </w:p>
        </w:tc>
        <w:tc>
          <w:tcPr>
            <w:tcW w:w="6976" w:type="dxa"/>
            <w:vAlign w:val="top"/>
          </w:tcPr>
          <w:p>
            <w:pPr>
              <w:pStyle w:val="TableText"/>
              <w:jc w:val="left"/>
            </w:pPr>
            <w:r>
              <w:t xml:space="preserve">CI smoke on every push: p95 ≤ 300 ms, errors ≤ 1 %. Release candidates: p95 within 120 % of the previous PERF baseline</w:t>
            </w:r>
          </w:p>
        </w:tc>
      </w:tr>
    </w:tbl>
    <w:p>
      <w:pPr>
        <w:pStyle w:val="BodyText"/>
        <w:spacing w:before="160"/>
      </w:pPr>
      <w:r>
        <w:t xml:space="preserve">Each run produces a report with the build, environment, data volume, mix, per-route results, dashboard snapshots, top database statements, findings and tuning actions.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Capacity model</w:t>
      </w:r>
      <w:bookmarkEnd w:id="20"/>
    </w:p>
    <w:p>
      <w:pPr>
        <w:pStyle w:val="Heading2"/>
      </w:pPr>
      <w:bookmarkStart w:id="21" w:name="_Toc300000017"/>
      <w:r>
        <w:t xml:space="preserve">Online tier</w:t>
      </w:r>
      <w:bookmarkEnd w:id="21"/>
    </w:p>
    <w:p>
      <w:pPr>
        <w:pStyle w:val="FirstParagraph"/>
      </w:pPr>
      <w:r>
        <w:rPr>
          <w:rStyle w:val="CodeChar"/>
        </w:rPr>
        <w:t xml:space="preserve">pods = ceil(peak_RPS × CPU_ms_per_request / (1000 × 0.6))</w:t>
      </w:r>
    </w:p>
    <w:p>
      <w:pPr>
        <w:pStyle w:val="BodyText"/>
      </w:pPr>
      <w:r>
        <w:t xml:space="preserve">The CPU time per request is calibrated from PERF-S1; the planning value is about 4 ms of event-loop time (A). Sign-ins (one password hash costs 50 to 80 ms of CPU) and orders (bound by wallet and core input/output) are sized separately.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00"/>
        <w:gridCol w:w="1031"/>
        <w:gridCol w:w="2414"/>
        <w:gridCol w:w="1400"/>
        <w:gridCol w:w="1982"/>
      </w:tblGrid>
      <w:tr>
        <w:trPr>
          <w:cantSplit/>
          <w:tblHeader/>
        </w:trPr>
        <w:tc>
          <w:tcPr>
            <w:tcW w:w="2200" w:type="dxa"/>
            <w:shd w:val="clear" w:color="auto" w:fill="0F4761"/>
            <w:vAlign w:val="center"/>
          </w:tcPr>
          <w:p>
            <w:pPr>
              <w:pStyle w:val="TableHeading"/>
              <w:jc w:val="left"/>
            </w:pPr>
            <w:r>
              <w:rPr>
                <w:color w:val="FFFFFF"/>
              </w:rPr>
              <w:t xml:space="preserve">Stage</w:t>
            </w:r>
          </w:p>
        </w:tc>
        <w:tc>
          <w:tcPr>
            <w:tcW w:w="1031" w:type="dxa"/>
            <w:shd w:val="clear" w:color="auto" w:fill="0F4761"/>
            <w:vAlign w:val="center"/>
          </w:tcPr>
          <w:p>
            <w:pPr>
              <w:pStyle w:val="TableHeading"/>
              <w:jc w:val="left"/>
            </w:pPr>
            <w:r>
              <w:rPr>
                <w:color w:val="FFFFFF"/>
              </w:rPr>
              <w:t xml:space="preserve">Design peak RPS</w:t>
            </w:r>
          </w:p>
        </w:tc>
        <w:tc>
          <w:tcPr>
            <w:tcW w:w="2414" w:type="dxa"/>
            <w:shd w:val="clear" w:color="auto" w:fill="0F4761"/>
            <w:vAlign w:val="center"/>
          </w:tcPr>
          <w:p>
            <w:pPr>
              <w:pStyle w:val="TableHeading"/>
              <w:jc w:val="left"/>
            </w:pPr>
            <w:r>
              <w:rPr>
                <w:color w:val="FFFFFF"/>
              </w:rPr>
              <w:t xml:space="preserve">Planning pods (1 vCPU)</w:t>
            </w:r>
          </w:p>
        </w:tc>
        <w:tc>
          <w:tcPr>
            <w:tcW w:w="1400" w:type="dxa"/>
            <w:shd w:val="clear" w:color="auto" w:fill="0F4761"/>
            <w:vAlign w:val="center"/>
          </w:tcPr>
          <w:p>
            <w:pPr>
              <w:pStyle w:val="TableHeading"/>
              <w:jc w:val="left"/>
            </w:pPr>
            <w:r>
              <w:rPr>
                <w:color w:val="FFFFFF"/>
              </w:rPr>
              <w:t xml:space="preserve">Min and max replicas</w:t>
            </w:r>
          </w:p>
        </w:tc>
        <w:tc>
          <w:tcPr>
            <w:tcW w:w="1982" w:type="dxa"/>
            <w:shd w:val="clear" w:color="auto" w:fill="0F4761"/>
            <w:vAlign w:val="center"/>
          </w:tcPr>
          <w:p>
            <w:pPr>
              <w:pStyle w:val="TableHeading"/>
              <w:jc w:val="left"/>
            </w:pPr>
            <w:r>
              <w:rPr>
                <w:color w:val="FFFFFF"/>
              </w:rPr>
              <w:t xml:space="preserve">Database connections</w:t>
            </w:r>
          </w:p>
        </w:tc>
      </w:tr>
      <w:tr>
        <w:trPr>
          <w:cantSplit/>
        </w:trPr>
        <w:tc>
          <w:tcPr>
            <w:tcW w:w="2200" w:type="dxa"/>
            <w:vAlign w:val="top"/>
          </w:tcPr>
          <w:p>
            <w:pPr>
              <w:pStyle w:val="TableText"/>
              <w:jc w:val="left"/>
            </w:pPr>
            <w:r>
              <w:t xml:space="preserve">Pilot (50,000 to 100,000 vehicles)</w:t>
            </w:r>
          </w:p>
        </w:tc>
        <w:tc>
          <w:tcPr>
            <w:tcW w:w="1031" w:type="dxa"/>
            <w:vAlign w:val="top"/>
          </w:tcPr>
          <w:p>
            <w:pPr>
              <w:pStyle w:val="TableText"/>
              <w:jc w:val="left"/>
            </w:pPr>
            <w:r>
              <w:t xml:space="preserve">30</w:t>
            </w:r>
          </w:p>
        </w:tc>
        <w:tc>
          <w:tcPr>
            <w:tcW w:w="2414" w:type="dxa"/>
            <w:vAlign w:val="top"/>
          </w:tcPr>
          <w:p>
            <w:pPr>
              <w:pStyle w:val="TableText"/>
              <w:jc w:val="left"/>
            </w:pPr>
            <w:r>
              <w:t xml:space="preserve">2, raised to 3 for availability</w:t>
            </w:r>
          </w:p>
        </w:tc>
        <w:tc>
          <w:tcPr>
            <w:tcW w:w="1400" w:type="dxa"/>
            <w:vAlign w:val="top"/>
          </w:tcPr>
          <w:p>
            <w:pPr>
              <w:pStyle w:val="TableText"/>
              <w:jc w:val="left"/>
            </w:pPr>
            <w:r>
              <w:t xml:space="preserve">3 and 4</w:t>
            </w:r>
          </w:p>
        </w:tc>
        <w:tc>
          <w:tcPr>
            <w:tcW w:w="1982" w:type="dxa"/>
            <w:vAlign w:val="top"/>
          </w:tcPr>
          <w:p>
            <w:pPr>
              <w:pStyle w:val="TableText"/>
              <w:jc w:val="left"/>
            </w:pPr>
            <w:r>
              <w:t xml:space="preserve">30 to 40</w:t>
            </w:r>
          </w:p>
        </w:tc>
      </w:tr>
      <w:tr>
        <w:trPr>
          <w:cantSplit/>
        </w:trPr>
        <w:tc>
          <w:tcPr>
            <w:tcW w:w="2200" w:type="dxa"/>
            <w:shd w:val="clear" w:color="auto" w:fill="F4F7FB"/>
            <w:vAlign w:val="top"/>
          </w:tcPr>
          <w:p>
            <w:pPr>
              <w:pStyle w:val="TableText"/>
              <w:jc w:val="left"/>
            </w:pPr>
            <w:r>
              <w:t xml:space="preserve">Scale phase (6 million base)</w:t>
            </w:r>
          </w:p>
        </w:tc>
        <w:tc>
          <w:tcPr>
            <w:tcW w:w="1031" w:type="dxa"/>
            <w:shd w:val="clear" w:color="auto" w:fill="F4F7FB"/>
            <w:vAlign w:val="top"/>
          </w:tcPr>
          <w:p>
            <w:pPr>
              <w:pStyle w:val="TableText"/>
              <w:jc w:val="left"/>
            </w:pPr>
            <w:r>
              <w:t xml:space="preserve">300</w:t>
            </w:r>
          </w:p>
        </w:tc>
        <w:tc>
          <w:tcPr>
            <w:tcW w:w="2414" w:type="dxa"/>
            <w:shd w:val="clear" w:color="auto" w:fill="F4F7FB"/>
            <w:vAlign w:val="top"/>
          </w:tcPr>
          <w:p>
            <w:pPr>
              <w:pStyle w:val="TableText"/>
              <w:jc w:val="left"/>
            </w:pPr>
            <w:r>
              <w:t xml:space="preserve">2 by CPU, 4 for headroom and zone spread</w:t>
            </w:r>
          </w:p>
        </w:tc>
        <w:tc>
          <w:tcPr>
            <w:tcW w:w="1400" w:type="dxa"/>
            <w:shd w:val="clear" w:color="auto" w:fill="F4F7FB"/>
            <w:vAlign w:val="top"/>
          </w:tcPr>
          <w:p>
            <w:pPr>
              <w:pStyle w:val="TableText"/>
              <w:jc w:val="left"/>
            </w:pPr>
            <w:r>
              <w:t xml:space="preserve">4 and 10</w:t>
            </w:r>
          </w:p>
        </w:tc>
        <w:tc>
          <w:tcPr>
            <w:tcW w:w="1982" w:type="dxa"/>
            <w:shd w:val="clear" w:color="auto" w:fill="F4F7FB"/>
            <w:vAlign w:val="top"/>
          </w:tcPr>
          <w:p>
            <w:pPr>
              <w:pStyle w:val="TableText"/>
              <w:jc w:val="left"/>
            </w:pPr>
            <w:r>
              <w:t xml:space="preserve">40 to 100, through a pooler</w:t>
            </w:r>
          </w:p>
        </w:tc>
      </w:tr>
      <w:tr>
        <w:trPr>
          <w:cantSplit/>
        </w:trPr>
        <w:tc>
          <w:tcPr>
            <w:tcW w:w="2200" w:type="dxa"/>
            <w:vAlign w:val="top"/>
          </w:tcPr>
          <w:p>
            <w:pPr>
              <w:pStyle w:val="TableText"/>
              <w:jc w:val="left"/>
            </w:pPr>
            <w:r>
              <w:t xml:space="preserve">Scale phase with partners</w:t>
            </w:r>
          </w:p>
        </w:tc>
        <w:tc>
          <w:tcPr>
            <w:tcW w:w="1031" w:type="dxa"/>
            <w:vAlign w:val="top"/>
          </w:tcPr>
          <w:p>
            <w:pPr>
              <w:pStyle w:val="TableText"/>
              <w:jc w:val="left"/>
            </w:pPr>
            <w:r>
              <w:t xml:space="preserve">350</w:t>
            </w:r>
          </w:p>
        </w:tc>
        <w:tc>
          <w:tcPr>
            <w:tcW w:w="2414" w:type="dxa"/>
            <w:vAlign w:val="top"/>
          </w:tcPr>
          <w:p>
            <w:pPr>
              <w:pStyle w:val="TableText"/>
              <w:jc w:val="left"/>
            </w:pPr>
            <w:r>
              <w:t xml:space="preserve">5</w:t>
            </w:r>
          </w:p>
        </w:tc>
        <w:tc>
          <w:tcPr>
            <w:tcW w:w="1400" w:type="dxa"/>
            <w:vAlign w:val="top"/>
          </w:tcPr>
          <w:p>
            <w:pPr>
              <w:pStyle w:val="TableText"/>
              <w:jc w:val="left"/>
            </w:pPr>
            <w:r>
              <w:t xml:space="preserve">5 and 12</w:t>
            </w:r>
          </w:p>
        </w:tc>
        <w:tc>
          <w:tcPr>
            <w:tcW w:w="1982" w:type="dxa"/>
            <w:vAlign w:val="top"/>
          </w:tcPr>
          <w:p>
            <w:pPr>
              <w:pStyle w:val="TableText"/>
              <w:jc w:val="left"/>
            </w:pPr>
            <w:r>
              <w:t xml:space="preserve">Pooler required</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pPr>
        <w:pStyle w:val="Heading2"/>
      </w:pPr>
      <w:bookmarkStart w:id="22" w:name="_Toc300000018"/>
      <w:r>
        <w:t xml:space="preserve">Batch tier</w:t>
      </w:r>
      <w:bookmarkEnd w:id="22"/>
    </w:p>
    <w:p>
      <w:pPr>
        <w:pStyle w:val="FirstParagraph"/>
      </w:pPr>
      <w:r>
        <w:t xml:space="preserve">Batch work runs sequentially in one process today. At 6 million vehicles this, not the online tier, is the main capacity constraint.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97"/>
        <w:gridCol w:w="3231"/>
        <w:gridCol w:w="1992"/>
        <w:gridCol w:w="2319"/>
        <w:gridCol w:w="1594"/>
        <w:gridCol w:w="2826"/>
      </w:tblGrid>
      <w:tr>
        <w:trPr>
          <w:cantSplit/>
          <w:tblHeader/>
        </w:trPr>
        <w:tc>
          <w:tcPr>
            <w:tcW w:w="1997" w:type="dxa"/>
            <w:shd w:val="clear" w:color="auto" w:fill="0F4761"/>
            <w:vAlign w:val="center"/>
          </w:tcPr>
          <w:p>
            <w:pPr>
              <w:pStyle w:val="TableHeading"/>
              <w:jc w:val="left"/>
            </w:pPr>
            <w:r>
              <w:rPr>
                <w:color w:val="FFFFFF"/>
              </w:rPr>
              <w:t xml:space="preserve">Job</w:t>
            </w:r>
          </w:p>
        </w:tc>
        <w:tc>
          <w:tcPr>
            <w:tcW w:w="3231" w:type="dxa"/>
            <w:shd w:val="clear" w:color="auto" w:fill="0F4761"/>
            <w:vAlign w:val="center"/>
          </w:tcPr>
          <w:p>
            <w:pPr>
              <w:pStyle w:val="TableHeading"/>
              <w:jc w:val="left"/>
            </w:pPr>
            <w:r>
              <w:rPr>
                <w:color w:val="FFFFFF"/>
              </w:rPr>
              <w:t xml:space="preserve">Work per item</w:t>
            </w:r>
          </w:p>
        </w:tc>
        <w:tc>
          <w:tcPr>
            <w:tcW w:w="1992" w:type="dxa"/>
            <w:shd w:val="clear" w:color="auto" w:fill="0F4761"/>
            <w:vAlign w:val="center"/>
          </w:tcPr>
          <w:p>
            <w:pPr>
              <w:pStyle w:val="TableHeading"/>
              <w:jc w:val="left"/>
            </w:pPr>
            <w:r>
              <w:rPr>
                <w:color w:val="FFFFFF"/>
              </w:rPr>
              <w:t xml:space="preserve">Items</w:t>
            </w:r>
          </w:p>
        </w:tc>
        <w:tc>
          <w:tcPr>
            <w:tcW w:w="2319" w:type="dxa"/>
            <w:shd w:val="clear" w:color="auto" w:fill="0F4761"/>
            <w:vAlign w:val="center"/>
          </w:tcPr>
          <w:p>
            <w:pPr>
              <w:pStyle w:val="TableHeading"/>
              <w:jc w:val="left"/>
            </w:pPr>
            <w:r>
              <w:rPr>
                <w:color w:val="FFFFFF"/>
              </w:rPr>
              <w:t xml:space="preserve">Estimate</w:t>
            </w:r>
          </w:p>
        </w:tc>
        <w:tc>
          <w:tcPr>
            <w:tcW w:w="1594" w:type="dxa"/>
            <w:shd w:val="clear" w:color="auto" w:fill="0F4761"/>
            <w:vAlign w:val="center"/>
          </w:tcPr>
          <w:p>
            <w:pPr>
              <w:pStyle w:val="TableHeading"/>
              <w:jc w:val="left"/>
            </w:pPr>
            <w:r>
              <w:rPr>
                <w:color w:val="FFFFFF"/>
              </w:rPr>
              <w:t xml:space="preserve">Window</w:t>
            </w:r>
          </w:p>
        </w:tc>
        <w:tc>
          <w:tcPr>
            <w:tcW w:w="2826" w:type="dxa"/>
            <w:shd w:val="clear" w:color="auto" w:fill="0F4761"/>
            <w:vAlign w:val="center"/>
          </w:tcPr>
          <w:p>
            <w:pPr>
              <w:pStyle w:val="TableHeading"/>
              <w:jc w:val="left"/>
            </w:pPr>
            <w:r>
              <w:rPr>
                <w:color w:val="FFFFFF"/>
              </w:rPr>
              <w:t xml:space="preserve">Assessment</w:t>
            </w:r>
          </w:p>
        </w:tc>
      </w:tr>
      <w:tr>
        <w:trPr>
          <w:cantSplit/>
        </w:trPr>
        <w:tc>
          <w:tcPr>
            <w:tcW w:w="1997" w:type="dxa"/>
            <w:vAlign w:val="top"/>
          </w:tcPr>
          <w:p>
            <w:pPr>
              <w:pStyle w:val="TableText"/>
              <w:jc w:val="left"/>
            </w:pPr>
            <w:r>
              <w:t xml:space="preserve">Journey run</w:t>
            </w:r>
          </w:p>
        </w:tc>
        <w:tc>
          <w:tcPr>
            <w:tcW w:w="3231" w:type="dxa"/>
            <w:vAlign w:val="top"/>
          </w:tcPr>
          <w:p>
            <w:pPr>
              <w:pStyle w:val="TableText"/>
              <w:jc w:val="left"/>
            </w:pPr>
            <w:r>
              <w:t xml:space="preserve">About 7 queries and one sequential send (200 to 500 ms) per touchpoint; all due touchpoints are paged (KI-05 fixed)</w:t>
            </w:r>
          </w:p>
        </w:tc>
        <w:tc>
          <w:tcPr>
            <w:tcW w:w="1992" w:type="dxa"/>
            <w:vAlign w:val="top"/>
          </w:tcPr>
          <w:p>
            <w:pPr>
              <w:pStyle w:val="TableText"/>
              <w:jc w:val="left"/>
            </w:pPr>
            <w:r>
              <w:t xml:space="preserve">115,000 per day (peak 300,000)</w:t>
            </w:r>
          </w:p>
        </w:tc>
        <w:tc>
          <w:tcPr>
            <w:tcW w:w="2319" w:type="dxa"/>
            <w:vAlign w:val="top"/>
          </w:tcPr>
          <w:p>
            <w:pPr>
              <w:pStyle w:val="TableText"/>
              <w:jc w:val="left"/>
            </w:pPr>
            <w:r>
              <w:t xml:space="preserve">About 9.6 h sequential; over 24 h at peak</w:t>
            </w:r>
          </w:p>
        </w:tc>
        <w:tc>
          <w:tcPr>
            <w:tcW w:w="1594" w:type="dxa"/>
            <w:vAlign w:val="top"/>
          </w:tcPr>
          <w:p>
            <w:pPr>
              <w:pStyle w:val="TableText"/>
              <w:jc w:val="left"/>
            </w:pPr>
            <w:r>
              <w:t xml:space="preserve">08:00 to 20:00</w:t>
            </w:r>
          </w:p>
        </w:tc>
        <w:tc>
          <w:tcPr>
            <w:tcW w:w="2826" w:type="dxa"/>
            <w:vAlign w:val="top"/>
          </w:tcPr>
          <w:p>
            <w:pPr>
              <w:pStyle w:val="TableText"/>
              <w:jc w:val="left"/>
            </w:pPr>
            <w:r>
              <w:t xml:space="preserve">Fits the pilot; does not fit the scale-phase peak without concurrent sends or parallel runs</w:t>
            </w:r>
          </w:p>
        </w:tc>
      </w:tr>
      <w:tr>
        <w:trPr>
          <w:cantSplit/>
        </w:trPr>
        <w:tc>
          <w:tcPr>
            <w:tcW w:w="1997" w:type="dxa"/>
            <w:shd w:val="clear" w:color="auto" w:fill="F4F7FB"/>
            <w:vAlign w:val="top"/>
          </w:tcPr>
          <w:p>
            <w:pPr>
              <w:pStyle w:val="TableText"/>
              <w:jc w:val="left"/>
            </w:pPr>
            <w:r>
              <w:t xml:space="preserve">Full lead recompute</w:t>
            </w:r>
          </w:p>
        </w:tc>
        <w:tc>
          <w:tcPr>
            <w:tcW w:w="3231" w:type="dxa"/>
            <w:shd w:val="clear" w:color="auto" w:fill="F4F7FB"/>
            <w:vAlign w:val="top"/>
          </w:tcPr>
          <w:p>
            <w:pPr>
              <w:pStyle w:val="TableText"/>
              <w:jc w:val="left"/>
            </w:pPr>
            <w:r>
              <w:t xml:space="preserve">3 to 8 queries per profile with OFFSET paging</w:t>
            </w:r>
          </w:p>
        </w:tc>
        <w:tc>
          <w:tcPr>
            <w:tcW w:w="1992" w:type="dxa"/>
            <w:shd w:val="clear" w:color="auto" w:fill="F4F7FB"/>
            <w:vAlign w:val="top"/>
          </w:tcPr>
          <w:p>
            <w:pPr>
              <w:pStyle w:val="TableText"/>
              <w:jc w:val="left"/>
            </w:pPr>
            <w:r>
              <w:t xml:space="preserve">6 million</w:t>
            </w:r>
          </w:p>
        </w:tc>
        <w:tc>
          <w:tcPr>
            <w:tcW w:w="2319" w:type="dxa"/>
            <w:shd w:val="clear" w:color="auto" w:fill="F4F7FB"/>
            <w:vAlign w:val="top"/>
          </w:tcPr>
          <w:p>
            <w:pPr>
              <w:pStyle w:val="TableText"/>
              <w:jc w:val="left"/>
            </w:pPr>
            <w:r>
              <w:t xml:space="preserve">About 8 h, worse with OFFSET (KI-12)</w:t>
            </w:r>
          </w:p>
        </w:tc>
        <w:tc>
          <w:tcPr>
            <w:tcW w:w="1594" w:type="dxa"/>
            <w:shd w:val="clear" w:color="auto" w:fill="F4F7FB"/>
            <w:vAlign w:val="top"/>
          </w:tcPr>
          <w:p>
            <w:pPr>
              <w:pStyle w:val="TableText"/>
              <w:jc w:val="left"/>
            </w:pPr>
            <w:r>
              <w:t xml:space="preserve">Weekly overnight</w:t>
            </w:r>
          </w:p>
        </w:tc>
        <w:tc>
          <w:tcPr>
            <w:tcW w:w="2826" w:type="dxa"/>
            <w:shd w:val="clear" w:color="auto" w:fill="F4F7FB"/>
            <w:vAlign w:val="top"/>
          </w:tcPr>
          <w:p>
            <w:pPr>
              <w:pStyle w:val="TableText"/>
              <w:jc w:val="left"/>
            </w:pPr>
            <w:r>
              <w:t xml:space="preserve">At risk; keyset pagination and parallel workers</w:t>
            </w:r>
          </w:p>
        </w:tc>
      </w:tr>
      <w:tr>
        <w:trPr>
          <w:cantSplit/>
        </w:trPr>
        <w:tc>
          <w:tcPr>
            <w:tcW w:w="1997" w:type="dxa"/>
            <w:vAlign w:val="top"/>
          </w:tcPr>
          <w:p>
            <w:pPr>
              <w:pStyle w:val="TableText"/>
              <w:jc w:val="left"/>
            </w:pPr>
            <w:r>
              <w:t xml:space="preserve">Incremental rebuild</w:t>
            </w:r>
          </w:p>
        </w:tc>
        <w:tc>
          <w:tcPr>
            <w:tcW w:w="3231" w:type="dxa"/>
            <w:vAlign w:val="top"/>
          </w:tcPr>
          <w:p>
            <w:pPr>
              <w:pStyle w:val="TableText"/>
              <w:jc w:val="left"/>
            </w:pPr>
            <w:r>
              <w:t xml:space="preserve">About 4 queries per plate; chunks of 500</w:t>
            </w:r>
          </w:p>
        </w:tc>
        <w:tc>
          <w:tcPr>
            <w:tcW w:w="1992" w:type="dxa"/>
            <w:vAlign w:val="top"/>
          </w:tcPr>
          <w:p>
            <w:pPr>
              <w:pStyle w:val="TableText"/>
              <w:jc w:val="left"/>
            </w:pPr>
            <w:r>
              <w:t xml:space="preserve">60,000 to 180,000</w:t>
            </w:r>
          </w:p>
        </w:tc>
        <w:tc>
          <w:tcPr>
            <w:tcW w:w="2319" w:type="dxa"/>
            <w:vAlign w:val="top"/>
          </w:tcPr>
          <w:p>
            <w:pPr>
              <w:pStyle w:val="TableText"/>
              <w:jc w:val="left"/>
            </w:pPr>
            <w:r>
              <w:t xml:space="preserve">4 to 15 minutes</w:t>
            </w:r>
          </w:p>
        </w:tc>
        <w:tc>
          <w:tcPr>
            <w:tcW w:w="1594" w:type="dxa"/>
            <w:vAlign w:val="top"/>
          </w:tcPr>
          <w:p>
            <w:pPr>
              <w:pStyle w:val="TableText"/>
              <w:jc w:val="left"/>
            </w:pPr>
            <w:r>
              <w:t xml:space="preserve">Hourly or daily</w:t>
            </w:r>
          </w:p>
        </w:tc>
        <w:tc>
          <w:tcPr>
            <w:tcW w:w="2826" w:type="dxa"/>
            <w:vAlign w:val="top"/>
          </w:tcPr>
          <w:p>
            <w:pPr>
              <w:pStyle w:val="TableText"/>
              <w:jc w:val="left"/>
            </w:pPr>
            <w:r>
              <w:t xml:space="preserve">Fits</w:t>
            </w:r>
          </w:p>
        </w:tc>
      </w:tr>
      <w:tr>
        <w:trPr>
          <w:cantSplit/>
        </w:trPr>
        <w:tc>
          <w:tcPr>
            <w:tcW w:w="1997" w:type="dxa"/>
            <w:shd w:val="clear" w:color="auto" w:fill="F4F7FB"/>
            <w:vAlign w:val="top"/>
          </w:tcPr>
          <w:p>
            <w:pPr>
              <w:pStyle w:val="TableText"/>
              <w:jc w:val="left"/>
            </w:pPr>
            <w:r>
              <w:t xml:space="preserve">Initial load</w:t>
            </w:r>
          </w:p>
        </w:tc>
        <w:tc>
          <w:tcPr>
            <w:tcW w:w="3231" w:type="dxa"/>
            <w:shd w:val="clear" w:color="auto" w:fill="F4F7FB"/>
            <w:vAlign w:val="top"/>
          </w:tcPr>
          <w:p>
            <w:pPr>
              <w:pStyle w:val="TableText"/>
              <w:jc w:val="left"/>
            </w:pPr>
            <w:r>
              <w:t xml:space="preserve">As above</w:t>
            </w:r>
          </w:p>
        </w:tc>
        <w:tc>
          <w:tcPr>
            <w:tcW w:w="1992" w:type="dxa"/>
            <w:shd w:val="clear" w:color="auto" w:fill="F4F7FB"/>
            <w:vAlign w:val="top"/>
          </w:tcPr>
          <w:p>
            <w:pPr>
              <w:pStyle w:val="TableText"/>
              <w:jc w:val="left"/>
            </w:pPr>
            <w:r>
              <w:t xml:space="preserve">Pilot cohort; later 6 million plates</w:t>
            </w:r>
          </w:p>
        </w:tc>
        <w:tc>
          <w:tcPr>
            <w:tcW w:w="2319" w:type="dxa"/>
            <w:shd w:val="clear" w:color="auto" w:fill="F4F7FB"/>
            <w:vAlign w:val="top"/>
          </w:tcPr>
          <w:p>
            <w:pPr>
              <w:pStyle w:val="TableText"/>
              <w:jc w:val="left"/>
            </w:pPr>
            <w:r>
              <w:t xml:space="preserve">Under 1 h for the pilot; 8 to 12 h at full scale</w:t>
            </w:r>
          </w:p>
        </w:tc>
        <w:tc>
          <w:tcPr>
            <w:tcW w:w="1594" w:type="dxa"/>
            <w:shd w:val="clear" w:color="auto" w:fill="F4F7FB"/>
            <w:vAlign w:val="top"/>
          </w:tcPr>
          <w:p>
            <w:pPr>
              <w:pStyle w:val="TableText"/>
              <w:jc w:val="left"/>
            </w:pPr>
            <w:r>
              <w:t xml:space="preserve">Weekend, split by province</w:t>
            </w:r>
          </w:p>
        </w:tc>
        <w:tc>
          <w:tcPr>
            <w:tcW w:w="2826" w:type="dxa"/>
            <w:shd w:val="clear" w:color="auto" w:fill="F4F7FB"/>
            <w:vAlign w:val="top"/>
          </w:tcPr>
          <w:p>
            <w:pPr>
              <w:pStyle w:val="TableText"/>
              <w:jc w:val="left"/>
            </w:pPr>
            <w:r>
              <w:t xml:space="preserve">Fits with planning</w:t>
            </w:r>
          </w:p>
        </w:tc>
      </w:tr>
      <w:tr>
        <w:trPr>
          <w:cantSplit/>
        </w:trPr>
        <w:tc>
          <w:tcPr>
            <w:tcW w:w="1997" w:type="dxa"/>
            <w:vAlign w:val="top"/>
          </w:tcPr>
          <w:p>
            <w:pPr>
              <w:pStyle w:val="TableText"/>
              <w:jc w:val="left"/>
            </w:pPr>
            <w:r>
              <w:t xml:space="preserve">Reconciliation</w:t>
            </w:r>
          </w:p>
        </w:tc>
        <w:tc>
          <w:tcPr>
            <w:tcW w:w="3231" w:type="dxa"/>
            <w:vAlign w:val="top"/>
          </w:tcPr>
          <w:p>
            <w:pPr>
              <w:pStyle w:val="TableText"/>
              <w:jc w:val="left"/>
            </w:pPr>
            <w:r>
              <w:t xml:space="preserve">One lookup per order; OFFSET paging</w:t>
            </w:r>
          </w:p>
        </w:tc>
        <w:tc>
          <w:tcPr>
            <w:tcW w:w="1992" w:type="dxa"/>
            <w:vAlign w:val="top"/>
          </w:tcPr>
          <w:p>
            <w:pPr>
              <w:pStyle w:val="TableText"/>
              <w:jc w:val="left"/>
            </w:pPr>
            <w:r>
              <w:t xml:space="preserve">Orders, growing by 10,000+ per day at scale</w:t>
            </w:r>
          </w:p>
        </w:tc>
        <w:tc>
          <w:tcPr>
            <w:tcW w:w="2319" w:type="dxa"/>
            <w:vAlign w:val="top"/>
          </w:tcPr>
          <w:p>
            <w:pPr>
              <w:pStyle w:val="TableText"/>
              <w:jc w:val="left"/>
            </w:pPr>
            <w:r>
              <w:t xml:space="preserve">Minutes in year 1</w:t>
            </w:r>
          </w:p>
        </w:tc>
        <w:tc>
          <w:tcPr>
            <w:tcW w:w="1594" w:type="dxa"/>
            <w:vAlign w:val="top"/>
          </w:tcPr>
          <w:p>
            <w:pPr>
              <w:pStyle w:val="TableText"/>
              <w:jc w:val="left"/>
            </w:pPr>
            <w:r>
              <w:t xml:space="preserve">Nightly</w:t>
            </w:r>
          </w:p>
        </w:tc>
        <w:tc>
          <w:tcPr>
            <w:tcW w:w="2826" w:type="dxa"/>
            <w:vAlign w:val="top"/>
          </w:tcPr>
          <w:p>
            <w:pPr>
              <w:pStyle w:val="TableText"/>
              <w:jc w:val="left"/>
            </w:pPr>
            <w:r>
              <w:t xml:space="preserve">Fits; revisit at 5 million orders</w:t>
            </w:r>
          </w:p>
        </w:tc>
      </w:tr>
      <w:tr>
        <w:trPr>
          <w:cantSplit/>
        </w:trPr>
        <w:tc>
          <w:tcPr>
            <w:tcW w:w="1997" w:type="dxa"/>
            <w:shd w:val="clear" w:color="auto" w:fill="F4F7FB"/>
            <w:vAlign w:val="top"/>
          </w:tcPr>
          <w:p>
            <w:pPr>
              <w:pStyle w:val="TableText"/>
              <w:jc w:val="left"/>
            </w:pPr>
            <w:r>
              <w:t xml:space="preserve">Catalogue sync</w:t>
            </w:r>
          </w:p>
        </w:tc>
        <w:tc>
          <w:tcPr>
            <w:tcW w:w="3231" w:type="dxa"/>
            <w:shd w:val="clear" w:color="auto" w:fill="F4F7FB"/>
            <w:vAlign w:val="top"/>
          </w:tcPr>
          <w:p>
            <w:pPr>
              <w:pStyle w:val="TableText"/>
              <w:jc w:val="left"/>
            </w:pPr>
            <w:r>
              <w:t xml:space="preserve">One core call and one merge</w:t>
            </w:r>
          </w:p>
        </w:tc>
        <w:tc>
          <w:tcPr>
            <w:tcW w:w="1992" w:type="dxa"/>
            <w:shd w:val="clear" w:color="auto" w:fill="F4F7FB"/>
            <w:vAlign w:val="top"/>
          </w:tcPr>
          <w:p>
            <w:pPr>
              <w:pStyle w:val="TableText"/>
              <w:jc w:val="left"/>
            </w:pPr>
            <w:r>
              <w:t xml:space="preserve">Product catalogue</w:t>
            </w:r>
          </w:p>
        </w:tc>
        <w:tc>
          <w:tcPr>
            <w:tcW w:w="2319" w:type="dxa"/>
            <w:shd w:val="clear" w:color="auto" w:fill="F4F7FB"/>
            <w:vAlign w:val="top"/>
          </w:tcPr>
          <w:p>
            <w:pPr>
              <w:pStyle w:val="TableText"/>
              <w:jc w:val="left"/>
            </w:pPr>
            <w:r>
              <w:t xml:space="preserve">Seconds</w:t>
            </w:r>
          </w:p>
        </w:tc>
        <w:tc>
          <w:tcPr>
            <w:tcW w:w="1594" w:type="dxa"/>
            <w:shd w:val="clear" w:color="auto" w:fill="F4F7FB"/>
            <w:vAlign w:val="top"/>
          </w:tcPr>
          <w:p>
            <w:pPr>
              <w:pStyle w:val="TableText"/>
              <w:jc w:val="left"/>
            </w:pPr>
            <w:r>
              <w:t xml:space="preserve">Nightly 01:00</w:t>
            </w:r>
          </w:p>
        </w:tc>
        <w:tc>
          <w:tcPr>
            <w:tcW w:w="2826" w:type="dxa"/>
            <w:shd w:val="clear" w:color="auto" w:fill="F4F7FB"/>
            <w:vAlign w:val="top"/>
          </w:tcPr>
          <w:p>
            <w:pPr>
              <w:pStyle w:val="TableText"/>
              <w:jc w:val="left"/>
            </w:pPr>
            <w:r>
              <w:t xml:space="preserve">Fits</w:t>
            </w:r>
          </w:p>
        </w:tc>
      </w:tr>
      <w:tr>
        <w:trPr>
          <w:cantSplit/>
        </w:trPr>
        <w:tc>
          <w:tcPr>
            <w:tcW w:w="1997" w:type="dxa"/>
            <w:vAlign w:val="top"/>
          </w:tcPr>
          <w:p>
            <w:pPr>
              <w:pStyle w:val="TableText"/>
              <w:jc w:val="left"/>
            </w:pPr>
            <w:r>
              <w:t xml:space="preserve">Audit verification</w:t>
            </w:r>
          </w:p>
        </w:tc>
        <w:tc>
          <w:tcPr>
            <w:tcW w:w="3231" w:type="dxa"/>
            <w:vAlign w:val="top"/>
          </w:tcPr>
          <w:p>
            <w:pPr>
              <w:pStyle w:val="TableText"/>
              <w:jc w:val="left"/>
            </w:pPr>
            <w:r>
              <w:t xml:space="preserve">Reads the whole audit log</w:t>
            </w:r>
          </w:p>
        </w:tc>
        <w:tc>
          <w:tcPr>
            <w:tcW w:w="1992" w:type="dxa"/>
            <w:vAlign w:val="top"/>
          </w:tcPr>
          <w:p>
            <w:pPr>
              <w:pStyle w:val="TableText"/>
              <w:jc w:val="left"/>
            </w:pPr>
            <w:r>
              <w:t xml:space="preserve">About 70 million rows per year (A)</w:t>
            </w:r>
          </w:p>
        </w:tc>
        <w:tc>
          <w:tcPr>
            <w:tcW w:w="2319" w:type="dxa"/>
            <w:vAlign w:val="top"/>
          </w:tcPr>
          <w:p>
            <w:pPr>
              <w:pStyle w:val="TableText"/>
              <w:jc w:val="left"/>
            </w:pPr>
            <w:r>
              <w:t xml:space="preserve">Memory-bound (KI-12)</w:t>
            </w:r>
          </w:p>
        </w:tc>
        <w:tc>
          <w:tcPr>
            <w:tcW w:w="1594" w:type="dxa"/>
            <w:vAlign w:val="top"/>
          </w:tcPr>
          <w:p>
            <w:pPr>
              <w:pStyle w:val="TableText"/>
              <w:jc w:val="left"/>
            </w:pPr>
            <w:r>
              <w:t xml:space="preserve">On demand</w:t>
            </w:r>
          </w:p>
        </w:tc>
        <w:tc>
          <w:tcPr>
            <w:tcW w:w="2826" w:type="dxa"/>
            <w:vAlign w:val="top"/>
          </w:tcPr>
          <w:p>
            <w:pPr>
              <w:pStyle w:val="TableText"/>
              <w:jc w:val="left"/>
            </w:pPr>
            <w:r>
              <w:t xml:space="preserve">Needs checkpoints before the scale phase</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23" w:name="_Toc300000019"/>
      <w:r>
        <w:t xml:space="preserve">Storage at full scale, year 1</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53"/>
        <w:gridCol w:w="2714"/>
        <w:gridCol w:w="1191"/>
        <w:gridCol w:w="2669"/>
      </w:tblGrid>
      <w:tr>
        <w:trPr>
          <w:cantSplit/>
          <w:tblHeader/>
        </w:trPr>
        <w:tc>
          <w:tcPr>
            <w:tcW w:w="2453" w:type="dxa"/>
            <w:shd w:val="clear" w:color="auto" w:fill="0F4761"/>
            <w:vAlign w:val="center"/>
          </w:tcPr>
          <w:p>
            <w:pPr>
              <w:pStyle w:val="TableHeading"/>
              <w:jc w:val="left"/>
            </w:pPr>
            <w:r>
              <w:rPr>
                <w:color w:val="FFFFFF"/>
              </w:rPr>
              <w:t xml:space="preserve">Table</w:t>
            </w:r>
          </w:p>
        </w:tc>
        <w:tc>
          <w:tcPr>
            <w:tcW w:w="2714" w:type="dxa"/>
            <w:shd w:val="clear" w:color="auto" w:fill="0F4761"/>
            <w:vAlign w:val="center"/>
          </w:tcPr>
          <w:p>
            <w:pPr>
              <w:pStyle w:val="TableHeading"/>
              <w:jc w:val="left"/>
            </w:pPr>
            <w:r>
              <w:rPr>
                <w:color w:val="FFFFFF"/>
              </w:rPr>
              <w:t xml:space="preserve">Rows</w:t>
            </w:r>
          </w:p>
        </w:tc>
        <w:tc>
          <w:tcPr>
            <w:tcW w:w="1191" w:type="dxa"/>
            <w:shd w:val="clear" w:color="auto" w:fill="0F4761"/>
            <w:vAlign w:val="center"/>
          </w:tcPr>
          <w:p>
            <w:pPr>
              <w:pStyle w:val="TableHeading"/>
              <w:jc w:val="left"/>
            </w:pPr>
            <w:r>
              <w:rPr>
                <w:color w:val="FFFFFF"/>
              </w:rPr>
              <w:t xml:space="preserve">Average row (A)</w:t>
            </w:r>
          </w:p>
        </w:tc>
        <w:tc>
          <w:tcPr>
            <w:tcW w:w="2669" w:type="dxa"/>
            <w:shd w:val="clear" w:color="auto" w:fill="0F4761"/>
            <w:vAlign w:val="center"/>
          </w:tcPr>
          <w:p>
            <w:pPr>
              <w:pStyle w:val="TableHeading"/>
              <w:jc w:val="left"/>
            </w:pPr>
            <w:r>
              <w:rPr>
                <w:color w:val="FFFFFF"/>
              </w:rPr>
              <w:t xml:space="preserve">Size</w:t>
            </w:r>
          </w:p>
        </w:tc>
      </w:tr>
      <w:tr>
        <w:trPr>
          <w:cantSplit/>
        </w:trPr>
        <w:tc>
          <w:tcPr>
            <w:tcW w:w="2453" w:type="dxa"/>
            <w:vAlign w:val="top"/>
          </w:tcPr>
          <w:p>
            <w:pPr>
              <w:pStyle w:val="TableText"/>
              <w:jc w:val="left"/>
            </w:pPr>
            <w:r>
              <w:rPr>
                <w:rStyle w:val="CodeChar"/>
              </w:rPr>
              <w:t xml:space="preserve">profiles</w:t>
            </w:r>
          </w:p>
        </w:tc>
        <w:tc>
          <w:tcPr>
            <w:tcW w:w="2714" w:type="dxa"/>
            <w:vAlign w:val="top"/>
          </w:tcPr>
          <w:p>
            <w:pPr>
              <w:pStyle w:val="TableText"/>
              <w:jc w:val="left"/>
            </w:pPr>
            <w:r>
              <w:t xml:space="preserve">6 million</w:t>
            </w:r>
          </w:p>
        </w:tc>
        <w:tc>
          <w:tcPr>
            <w:tcW w:w="1191" w:type="dxa"/>
            <w:vAlign w:val="top"/>
          </w:tcPr>
          <w:p>
            <w:pPr>
              <w:pStyle w:val="TableText"/>
              <w:jc w:val="left"/>
            </w:pPr>
            <w:r>
              <w:t xml:space="preserve">4 KB</w:t>
            </w:r>
          </w:p>
        </w:tc>
        <w:tc>
          <w:tcPr>
            <w:tcW w:w="2669" w:type="dxa"/>
            <w:vAlign w:val="top"/>
          </w:tcPr>
          <w:p>
            <w:pPr>
              <w:pStyle w:val="TableText"/>
              <w:jc w:val="left"/>
            </w:pPr>
            <w:r>
              <w:t xml:space="preserve">About 24 GB</w:t>
            </w:r>
          </w:p>
        </w:tc>
      </w:tr>
      <w:tr>
        <w:trPr>
          <w:cantSplit/>
        </w:trPr>
        <w:tc>
          <w:tcPr>
            <w:tcW w:w="2453" w:type="dxa"/>
            <w:shd w:val="clear" w:color="auto" w:fill="F4F7FB"/>
            <w:vAlign w:val="top"/>
          </w:tcPr>
          <w:p>
            <w:pPr>
              <w:pStyle w:val="TableText"/>
              <w:jc w:val="left"/>
            </w:pPr>
            <w:r>
              <w:rPr>
                <w:rStyle w:val="CodeChar"/>
              </w:rPr>
              <w:t xml:space="preserve">leads</w:t>
            </w:r>
          </w:p>
        </w:tc>
        <w:tc>
          <w:tcPr>
            <w:tcW w:w="2714" w:type="dxa"/>
            <w:shd w:val="clear" w:color="auto" w:fill="F4F7FB"/>
            <w:vAlign w:val="top"/>
          </w:tcPr>
          <w:p>
            <w:pPr>
              <w:pStyle w:val="TableText"/>
              <w:jc w:val="left"/>
            </w:pPr>
            <w:r>
              <w:t xml:space="preserve">6 million</w:t>
            </w:r>
          </w:p>
        </w:tc>
        <w:tc>
          <w:tcPr>
            <w:tcW w:w="1191" w:type="dxa"/>
            <w:shd w:val="clear" w:color="auto" w:fill="F4F7FB"/>
            <w:vAlign w:val="top"/>
          </w:tcPr>
          <w:p>
            <w:pPr>
              <w:pStyle w:val="TableText"/>
              <w:jc w:val="left"/>
            </w:pPr>
            <w:r>
              <w:t xml:space="preserve">2.5 KB</w:t>
            </w:r>
          </w:p>
        </w:tc>
        <w:tc>
          <w:tcPr>
            <w:tcW w:w="2669" w:type="dxa"/>
            <w:shd w:val="clear" w:color="auto" w:fill="F4F7FB"/>
            <w:vAlign w:val="top"/>
          </w:tcPr>
          <w:p>
            <w:pPr>
              <w:pStyle w:val="TableText"/>
              <w:jc w:val="left"/>
            </w:pPr>
            <w:r>
              <w:t xml:space="preserve">About 15 GB</w:t>
            </w:r>
          </w:p>
        </w:tc>
      </w:tr>
      <w:tr>
        <w:trPr>
          <w:cantSplit/>
        </w:trPr>
        <w:tc>
          <w:tcPr>
            <w:tcW w:w="2453" w:type="dxa"/>
            <w:vAlign w:val="top"/>
          </w:tcPr>
          <w:p>
            <w:pPr>
              <w:pStyle w:val="TableText"/>
              <w:jc w:val="left"/>
            </w:pPr>
            <w:r>
              <w:rPr>
                <w:rStyle w:val="CodeChar"/>
              </w:rPr>
              <w:t xml:space="preserve">source_records</w:t>
            </w:r>
          </w:p>
        </w:tc>
        <w:tc>
          <w:tcPr>
            <w:tcW w:w="2714" w:type="dxa"/>
            <w:vAlign w:val="top"/>
          </w:tcPr>
          <w:p>
            <w:pPr>
              <w:pStyle w:val="TableText"/>
              <w:jc w:val="left"/>
            </w:pPr>
            <w:r>
              <w:t xml:space="preserve">9 million (365-day retention)</w:t>
            </w:r>
          </w:p>
        </w:tc>
        <w:tc>
          <w:tcPr>
            <w:tcW w:w="1191" w:type="dxa"/>
            <w:vAlign w:val="top"/>
          </w:tcPr>
          <w:p>
            <w:pPr>
              <w:pStyle w:val="TableText"/>
              <w:jc w:val="left"/>
            </w:pPr>
            <w:r>
              <w:t xml:space="preserve">1.2 KB</w:t>
            </w:r>
          </w:p>
        </w:tc>
        <w:tc>
          <w:tcPr>
            <w:tcW w:w="2669" w:type="dxa"/>
            <w:vAlign w:val="top"/>
          </w:tcPr>
          <w:p>
            <w:pPr>
              <w:pStyle w:val="TableText"/>
              <w:jc w:val="left"/>
            </w:pPr>
            <w:r>
              <w:t xml:space="preserve">About 11 GB</w:t>
            </w:r>
          </w:p>
        </w:tc>
      </w:tr>
      <w:tr>
        <w:trPr>
          <w:cantSplit/>
        </w:trPr>
        <w:tc>
          <w:tcPr>
            <w:tcW w:w="2453" w:type="dxa"/>
            <w:shd w:val="clear" w:color="auto" w:fill="F4F7FB"/>
            <w:vAlign w:val="top"/>
          </w:tcPr>
          <w:p>
            <w:pPr>
              <w:pStyle w:val="TableText"/>
              <w:jc w:val="left"/>
            </w:pPr>
            <w:r>
              <w:rPr>
                <w:rStyle w:val="CodeChar"/>
              </w:rPr>
              <w:t xml:space="preserve">touchpoints</w:t>
            </w:r>
          </w:p>
        </w:tc>
        <w:tc>
          <w:tcPr>
            <w:tcW w:w="2714" w:type="dxa"/>
            <w:shd w:val="clear" w:color="auto" w:fill="F4F7FB"/>
            <w:vAlign w:val="top"/>
          </w:tcPr>
          <w:p>
            <w:pPr>
              <w:pStyle w:val="TableText"/>
              <w:jc w:val="left"/>
            </w:pPr>
            <w:r>
              <w:t xml:space="preserve">About 42 million per year</w:t>
            </w:r>
          </w:p>
        </w:tc>
        <w:tc>
          <w:tcPr>
            <w:tcW w:w="1191" w:type="dxa"/>
            <w:shd w:val="clear" w:color="auto" w:fill="F4F7FB"/>
            <w:vAlign w:val="top"/>
          </w:tcPr>
          <w:p>
            <w:pPr>
              <w:pStyle w:val="TableText"/>
              <w:jc w:val="left"/>
            </w:pPr>
            <w:r>
              <w:t xml:space="preserve">0.7 KB</w:t>
            </w:r>
          </w:p>
        </w:tc>
        <w:tc>
          <w:tcPr>
            <w:tcW w:w="2669" w:type="dxa"/>
            <w:shd w:val="clear" w:color="auto" w:fill="F4F7FB"/>
            <w:vAlign w:val="top"/>
          </w:tcPr>
          <w:p>
            <w:pPr>
              <w:pStyle w:val="TableText"/>
              <w:jc w:val="left"/>
            </w:pPr>
            <w:r>
              <w:t xml:space="preserve">About 29 GB</w:t>
            </w:r>
          </w:p>
        </w:tc>
      </w:tr>
      <w:tr>
        <w:trPr>
          <w:cantSplit/>
        </w:trPr>
        <w:tc>
          <w:tcPr>
            <w:tcW w:w="2453" w:type="dxa"/>
            <w:vAlign w:val="top"/>
          </w:tcPr>
          <w:p>
            <w:pPr>
              <w:pStyle w:val="TableText"/>
              <w:jc w:val="left"/>
            </w:pPr>
            <w:r>
              <w:rPr>
                <w:rStyle w:val="CodeChar"/>
              </w:rPr>
              <w:t xml:space="preserve">messages</w:t>
            </w:r>
          </w:p>
        </w:tc>
        <w:tc>
          <w:tcPr>
            <w:tcW w:w="2714" w:type="dxa"/>
            <w:vAlign w:val="top"/>
          </w:tcPr>
          <w:p>
            <w:pPr>
              <w:pStyle w:val="TableText"/>
              <w:jc w:val="left"/>
            </w:pPr>
            <w:r>
              <w:t xml:space="preserve">About 36 million per year</w:t>
            </w:r>
          </w:p>
        </w:tc>
        <w:tc>
          <w:tcPr>
            <w:tcW w:w="1191" w:type="dxa"/>
            <w:vAlign w:val="top"/>
          </w:tcPr>
          <w:p>
            <w:pPr>
              <w:pStyle w:val="TableText"/>
              <w:jc w:val="left"/>
            </w:pPr>
            <w:r>
              <w:t xml:space="preserve">0.9 KB</w:t>
            </w:r>
          </w:p>
        </w:tc>
        <w:tc>
          <w:tcPr>
            <w:tcW w:w="2669" w:type="dxa"/>
            <w:vAlign w:val="top"/>
          </w:tcPr>
          <w:p>
            <w:pPr>
              <w:pStyle w:val="TableText"/>
              <w:jc w:val="left"/>
            </w:pPr>
            <w:r>
              <w:t xml:space="preserve">About 32 GB</w:t>
            </w:r>
          </w:p>
        </w:tc>
      </w:tr>
      <w:tr>
        <w:trPr>
          <w:cantSplit/>
        </w:trPr>
        <w:tc>
          <w:tcPr>
            <w:tcW w:w="2453" w:type="dxa"/>
            <w:shd w:val="clear" w:color="auto" w:fill="F4F7FB"/>
            <w:vAlign w:val="top"/>
          </w:tcPr>
          <w:p>
            <w:pPr>
              <w:pStyle w:val="TableText"/>
              <w:jc w:val="left"/>
            </w:pPr>
            <w:r>
              <w:rPr>
                <w:rStyle w:val="CodeChar"/>
              </w:rPr>
              <w:t xml:space="preserve">domain_events</w:t>
            </w:r>
          </w:p>
        </w:tc>
        <w:tc>
          <w:tcPr>
            <w:tcW w:w="2714" w:type="dxa"/>
            <w:shd w:val="clear" w:color="auto" w:fill="F4F7FB"/>
            <w:vAlign w:val="top"/>
          </w:tcPr>
          <w:p>
            <w:pPr>
              <w:pStyle w:val="TableText"/>
              <w:jc w:val="left"/>
            </w:pPr>
            <w:r>
              <w:t xml:space="preserve">About 20 million per year (no retention yet, KI-13)</w:t>
            </w:r>
          </w:p>
        </w:tc>
        <w:tc>
          <w:tcPr>
            <w:tcW w:w="1191" w:type="dxa"/>
            <w:shd w:val="clear" w:color="auto" w:fill="F4F7FB"/>
            <w:vAlign w:val="top"/>
          </w:tcPr>
          <w:p>
            <w:pPr>
              <w:pStyle w:val="TableText"/>
              <w:jc w:val="left"/>
            </w:pPr>
            <w:r>
              <w:t xml:space="preserve">0.6 KB</w:t>
            </w:r>
          </w:p>
        </w:tc>
        <w:tc>
          <w:tcPr>
            <w:tcW w:w="2669" w:type="dxa"/>
            <w:shd w:val="clear" w:color="auto" w:fill="F4F7FB"/>
            <w:vAlign w:val="top"/>
          </w:tcPr>
          <w:p>
            <w:pPr>
              <w:pStyle w:val="TableText"/>
              <w:jc w:val="left"/>
            </w:pPr>
            <w:r>
              <w:t xml:space="preserve">About 12 GB</w:t>
            </w:r>
          </w:p>
        </w:tc>
      </w:tr>
      <w:tr>
        <w:trPr>
          <w:cantSplit/>
        </w:trPr>
        <w:tc>
          <w:tcPr>
            <w:tcW w:w="2453" w:type="dxa"/>
            <w:vAlign w:val="top"/>
          </w:tcPr>
          <w:p>
            <w:pPr>
              <w:pStyle w:val="TableText"/>
              <w:jc w:val="left"/>
            </w:pPr>
            <w:r>
              <w:rPr>
                <w:rStyle w:val="CodeChar"/>
              </w:rPr>
              <w:t xml:space="preserve">audit_log</w:t>
            </w:r>
          </w:p>
        </w:tc>
        <w:tc>
          <w:tcPr>
            <w:tcW w:w="2714" w:type="dxa"/>
            <w:vAlign w:val="top"/>
          </w:tcPr>
          <w:p>
            <w:pPr>
              <w:pStyle w:val="TableText"/>
              <w:jc w:val="left"/>
            </w:pPr>
            <w:r>
              <w:t xml:space="preserve">About 70 million per year (A)</w:t>
            </w:r>
          </w:p>
        </w:tc>
        <w:tc>
          <w:tcPr>
            <w:tcW w:w="1191" w:type="dxa"/>
            <w:vAlign w:val="top"/>
          </w:tcPr>
          <w:p>
            <w:pPr>
              <w:pStyle w:val="TableText"/>
              <w:jc w:val="left"/>
            </w:pPr>
            <w:r>
              <w:t xml:space="preserve">0.5 KB</w:t>
            </w:r>
          </w:p>
        </w:tc>
        <w:tc>
          <w:tcPr>
            <w:tcW w:w="2669" w:type="dxa"/>
            <w:vAlign w:val="top"/>
          </w:tcPr>
          <w:p>
            <w:pPr>
              <w:pStyle w:val="TableText"/>
              <w:jc w:val="left"/>
            </w:pPr>
            <w:r>
              <w:t xml:space="preserve">About 35 GB</w:t>
            </w:r>
          </w:p>
        </w:tc>
      </w:tr>
      <w:tr>
        <w:trPr>
          <w:cantSplit/>
        </w:trPr>
        <w:tc>
          <w:tcPr>
            <w:tcW w:w="2453" w:type="dxa"/>
            <w:shd w:val="clear" w:color="auto" w:fill="F4F7FB"/>
            <w:vAlign w:val="top"/>
          </w:tcPr>
          <w:p>
            <w:pPr>
              <w:pStyle w:val="TableText"/>
              <w:jc w:val="left"/>
            </w:pPr>
            <w:r>
              <w:rPr>
                <w:rStyle w:val="CodeChar"/>
              </w:rPr>
              <w:t xml:space="preserve">voice_sessions</w:t>
            </w:r>
          </w:p>
        </w:tc>
        <w:tc>
          <w:tcPr>
            <w:tcW w:w="2714" w:type="dxa"/>
            <w:shd w:val="clear" w:color="auto" w:fill="F4F7FB"/>
            <w:vAlign w:val="top"/>
          </w:tcPr>
          <w:p>
            <w:pPr>
              <w:pStyle w:val="TableText"/>
              <w:jc w:val="left"/>
            </w:pPr>
            <w:r>
              <w:t xml:space="preserve">About 2.4 million per year (180-day retention)</w:t>
            </w:r>
          </w:p>
        </w:tc>
        <w:tc>
          <w:tcPr>
            <w:tcW w:w="1191" w:type="dxa"/>
            <w:shd w:val="clear" w:color="auto" w:fill="F4F7FB"/>
            <w:vAlign w:val="top"/>
          </w:tcPr>
          <w:p>
            <w:pPr>
              <w:pStyle w:val="TableText"/>
              <w:jc w:val="left"/>
            </w:pPr>
            <w:r>
              <w:t xml:space="preserve">3 KB</w:t>
            </w:r>
          </w:p>
        </w:tc>
        <w:tc>
          <w:tcPr>
            <w:tcW w:w="2669" w:type="dxa"/>
            <w:shd w:val="clear" w:color="auto" w:fill="F4F7FB"/>
            <w:vAlign w:val="top"/>
          </w:tcPr>
          <w:p>
            <w:pPr>
              <w:pStyle w:val="TableText"/>
              <w:jc w:val="left"/>
            </w:pPr>
            <w:r>
              <w:t xml:space="preserve">About 4 GB</w:t>
            </w:r>
          </w:p>
        </w:tc>
      </w:tr>
      <w:tr>
        <w:trPr>
          <w:cantSplit/>
        </w:trPr>
        <w:tc>
          <w:tcPr>
            <w:tcW w:w="2453" w:type="dxa"/>
            <w:vAlign w:val="top"/>
          </w:tcPr>
          <w:p>
            <w:pPr>
              <w:pStyle w:val="TableText"/>
              <w:jc w:val="left"/>
            </w:pPr>
            <w:r>
              <w:t xml:space="preserve">Orders, quotes, policies, handoffs, claims</w:t>
            </w:r>
          </w:p>
        </w:tc>
        <w:tc>
          <w:tcPr>
            <w:tcW w:w="2714" w:type="dxa"/>
            <w:vAlign w:val="top"/>
          </w:tcPr>
          <w:p>
            <w:pPr>
              <w:pStyle w:val="TableText"/>
              <w:jc w:val="left"/>
            </w:pPr>
            <w:r>
              <w:t xml:space="preserve">About 10 million per year</w:t>
            </w:r>
          </w:p>
        </w:tc>
        <w:tc>
          <w:tcPr>
            <w:tcW w:w="1191" w:type="dxa"/>
            <w:vAlign w:val="top"/>
          </w:tcPr>
          <w:p>
            <w:pPr>
              <w:pStyle w:val="TableText"/>
              <w:jc w:val="left"/>
            </w:pPr>
            <w:r>
              <w:t xml:space="preserve">1 KB</w:t>
            </w:r>
          </w:p>
        </w:tc>
        <w:tc>
          <w:tcPr>
            <w:tcW w:w="2669" w:type="dxa"/>
            <w:vAlign w:val="top"/>
          </w:tcPr>
          <w:p>
            <w:pPr>
              <w:pStyle w:val="TableText"/>
              <w:jc w:val="left"/>
            </w:pPr>
            <w:r>
              <w:t xml:space="preserve">About 10 GB</w:t>
            </w:r>
          </w:p>
        </w:tc>
      </w:tr>
      <w:tr>
        <w:trPr>
          <w:cantSplit/>
        </w:trPr>
        <w:tc>
          <w:tcPr>
            <w:tcW w:w="2453" w:type="dxa"/>
            <w:shd w:val="clear" w:color="auto" w:fill="F4F7FB"/>
            <w:vAlign w:val="top"/>
          </w:tcPr>
          <w:p>
            <w:pPr>
              <w:pStyle w:val="TableText"/>
              <w:jc w:val="left"/>
            </w:pPr>
            <w:r>
              <w:t xml:space="preserve">Total</w:t>
            </w:r>
          </w:p>
        </w:tc>
        <w:tc>
          <w:tcPr>
            <w:tcW w:w="2714" w:type="dxa"/>
            <w:shd w:val="clear" w:color="auto" w:fill="F4F7FB"/>
            <w:vAlign w:val="top"/>
          </w:tcPr>
          <w:p>
            <w:pPr>
              <w:pStyle w:val="TableText"/>
              <w:jc w:val="left"/>
            </w:pPr>
            <w:r>
              <w:t xml:space="preserve">—</w:t>
            </w:r>
          </w:p>
        </w:tc>
        <w:tc>
          <w:tcPr>
            <w:tcW w:w="1191" w:type="dxa"/>
            <w:shd w:val="clear" w:color="auto" w:fill="F4F7FB"/>
            <w:vAlign w:val="top"/>
          </w:tcPr>
          <w:p>
            <w:pPr>
              <w:pStyle w:val="TableText"/>
              <w:jc w:val="left"/>
            </w:pPr>
            <w:r>
              <w:t xml:space="preserve">—</w:t>
            </w:r>
          </w:p>
        </w:tc>
        <w:tc>
          <w:tcPr>
            <w:tcW w:w="2669" w:type="dxa"/>
            <w:shd w:val="clear" w:color="auto" w:fill="F4F7FB"/>
            <w:vAlign w:val="top"/>
          </w:tcPr>
          <w:p>
            <w:pPr>
              <w:pStyle w:val="TableText"/>
              <w:jc w:val="left"/>
            </w:pPr>
            <w:r>
              <w:t xml:space="preserve">About 170 GB plus WAL and PITR; provision 500 GB and alert at 70 %</w:t>
            </w:r>
          </w:p>
        </w:tc>
      </w:tr>
    </w:tbl>
    <w:p>
      <w:pPr>
        <w:pStyle w:val="Heading2"/>
      </w:pPr>
      <w:bookmarkStart w:id="24" w:name="_Toc300000020"/>
      <w:r>
        <w:t xml:space="preserve">Scaling triggers</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067"/>
        <w:gridCol w:w="4960"/>
      </w:tblGrid>
      <w:tr>
        <w:trPr>
          <w:cantSplit/>
          <w:tblHeader/>
        </w:trPr>
        <w:tc>
          <w:tcPr>
            <w:tcW w:w="4067" w:type="dxa"/>
            <w:shd w:val="clear" w:color="auto" w:fill="0F4761"/>
            <w:vAlign w:val="center"/>
          </w:tcPr>
          <w:p>
            <w:pPr>
              <w:pStyle w:val="TableHeading"/>
              <w:jc w:val="left"/>
            </w:pPr>
            <w:r>
              <w:rPr>
                <w:color w:val="FFFFFF"/>
              </w:rPr>
              <w:t xml:space="preserve">Trigger</w:t>
            </w:r>
          </w:p>
        </w:tc>
        <w:tc>
          <w:tcPr>
            <w:tcW w:w="4960" w:type="dxa"/>
            <w:shd w:val="clear" w:color="auto" w:fill="0F4761"/>
            <w:vAlign w:val="center"/>
          </w:tcPr>
          <w:p>
            <w:pPr>
              <w:pStyle w:val="TableHeading"/>
              <w:jc w:val="left"/>
            </w:pPr>
            <w:r>
              <w:rPr>
                <w:color w:val="FFFFFF"/>
              </w:rPr>
              <w:t xml:space="preserve">Action</w:t>
            </w:r>
          </w:p>
        </w:tc>
      </w:tr>
      <w:tr>
        <w:trPr>
          <w:cantSplit/>
        </w:trPr>
        <w:tc>
          <w:tcPr>
            <w:tcW w:w="4067" w:type="dxa"/>
            <w:vAlign w:val="top"/>
          </w:tcPr>
          <w:p>
            <w:pPr>
              <w:pStyle w:val="TableText"/>
              <w:jc w:val="left"/>
            </w:pPr>
            <w:r>
              <w:t xml:space="preserve">p95 of any group above 80 % of its target for 3 days</w:t>
            </w:r>
          </w:p>
        </w:tc>
        <w:tc>
          <w:tcPr>
            <w:tcW w:w="4960" w:type="dxa"/>
            <w:vAlign w:val="top"/>
          </w:tcPr>
          <w:p>
            <w:pPr>
              <w:pStyle w:val="TableText"/>
              <w:jc w:val="left"/>
            </w:pPr>
            <w:r>
              <w:t xml:space="preserve">Raise the minimum replicas by one; profile the route</w:t>
            </w:r>
          </w:p>
        </w:tc>
      </w:tr>
      <w:tr>
        <w:trPr>
          <w:cantSplit/>
        </w:trPr>
        <w:tc>
          <w:tcPr>
            <w:tcW w:w="4067" w:type="dxa"/>
            <w:shd w:val="clear" w:color="auto" w:fill="F4F7FB"/>
            <w:vAlign w:val="top"/>
          </w:tcPr>
          <w:p>
            <w:pPr>
              <w:pStyle w:val="TableText"/>
              <w:jc w:val="left"/>
            </w:pPr>
            <w:r>
              <w:t xml:space="preserve">Database CPU above 60 % at peak, or connections above 70 % of the maximum</w:t>
            </w:r>
          </w:p>
        </w:tc>
        <w:tc>
          <w:tcPr>
            <w:tcW w:w="4960" w:type="dxa"/>
            <w:shd w:val="clear" w:color="auto" w:fill="F4F7FB"/>
            <w:vAlign w:val="top"/>
          </w:tcPr>
          <w:p>
            <w:pPr>
              <w:pStyle w:val="TableText"/>
              <w:jc w:val="left"/>
            </w:pPr>
            <w:r>
              <w:t xml:space="preserve">Add or resize the pooler; scale the database; add a read replica for dashboards</w:t>
            </w:r>
          </w:p>
        </w:tc>
      </w:tr>
      <w:tr>
        <w:trPr>
          <w:cantSplit/>
        </w:trPr>
        <w:tc>
          <w:tcPr>
            <w:tcW w:w="4067" w:type="dxa"/>
            <w:vAlign w:val="top"/>
          </w:tcPr>
          <w:p>
            <w:pPr>
              <w:pStyle w:val="TableText"/>
              <w:jc w:val="left"/>
            </w:pPr>
            <w:r>
              <w:t xml:space="preserve">Journey run not finished by 12:00</w:t>
            </w:r>
          </w:p>
        </w:tc>
        <w:tc>
          <w:tcPr>
            <w:tcW w:w="4960" w:type="dxa"/>
            <w:vAlign w:val="top"/>
          </w:tcPr>
          <w:p>
            <w:pPr>
              <w:pStyle w:val="TableText"/>
              <w:jc w:val="left"/>
            </w:pPr>
            <w:r>
              <w:t xml:space="preserve">Add in-window runs, or split runs by journey or region</w:t>
            </w:r>
          </w:p>
        </w:tc>
      </w:tr>
      <w:tr>
        <w:trPr>
          <w:cantSplit/>
        </w:trPr>
        <w:tc>
          <w:tcPr>
            <w:tcW w:w="4067" w:type="dxa"/>
            <w:shd w:val="clear" w:color="auto" w:fill="F4F7FB"/>
            <w:vAlign w:val="top"/>
          </w:tcPr>
          <w:p>
            <w:pPr>
              <w:pStyle w:val="TableText"/>
              <w:jc w:val="left"/>
            </w:pPr>
            <w:r>
              <w:t xml:space="preserve">Pending events above 10,000 for a sustained period</w:t>
            </w:r>
          </w:p>
        </w:tc>
        <w:tc>
          <w:tcPr>
            <w:tcW w:w="4960" w:type="dxa"/>
            <w:shd w:val="clear" w:color="auto" w:fill="F4F7FB"/>
            <w:vAlign w:val="top"/>
          </w:tcPr>
          <w:p>
            <w:pPr>
              <w:pStyle w:val="TableText"/>
              <w:jc w:val="left"/>
            </w:pPr>
            <w:r>
              <w:t xml:space="preserve">Increase relay frequency or replicas; investigate slow handlers</w:t>
            </w:r>
          </w:p>
        </w:tc>
      </w:tr>
      <w:tr>
        <w:trPr>
          <w:cantSplit/>
        </w:trPr>
        <w:tc>
          <w:tcPr>
            <w:tcW w:w="4067" w:type="dxa"/>
            <w:vAlign w:val="top"/>
          </w:tcPr>
          <w:p>
            <w:pPr>
              <w:pStyle w:val="TableText"/>
              <w:jc w:val="left"/>
            </w:pPr>
            <w:r>
              <w:t xml:space="preserve">Core rating p95 above 300 ms for a day</w:t>
            </w:r>
          </w:p>
        </w:tc>
        <w:tc>
          <w:tcPr>
            <w:tcW w:w="4960" w:type="dxa"/>
            <w:vAlign w:val="top"/>
          </w:tcPr>
          <w:p>
            <w:pPr>
              <w:pStyle w:val="TableText"/>
              <w:jc w:val="left"/>
            </w:pPr>
            <w:r>
              <w:t xml:space="preserve">Review with TASCO core IT; check the quote target and the client timeout</w:t>
            </w:r>
          </w:p>
        </w:tc>
      </w:tr>
      <w:tr>
        <w:trPr>
          <w:cantSplit/>
        </w:trPr>
        <w:tc>
          <w:tcPr>
            <w:tcW w:w="4067" w:type="dxa"/>
            <w:shd w:val="clear" w:color="auto" w:fill="F4F7FB"/>
            <w:vAlign w:val="top"/>
          </w:tcPr>
          <w:p>
            <w:pPr>
              <w:pStyle w:val="TableText"/>
              <w:jc w:val="left"/>
            </w:pPr>
            <w:r>
              <w:t xml:space="preserve">Disk above 70 %</w:t>
            </w:r>
          </w:p>
        </w:tc>
        <w:tc>
          <w:tcPr>
            <w:tcW w:w="4960" w:type="dxa"/>
            <w:shd w:val="clear" w:color="auto" w:fill="F4F7FB"/>
            <w:vAlign w:val="top"/>
          </w:tcPr>
          <w:p>
            <w:pPr>
              <w:pStyle w:val="TableText"/>
              <w:jc w:val="left"/>
            </w:pPr>
            <w:r>
              <w:t xml:space="preserve">Expand storage; implement retention for events and audit archive (KI-13)</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Schedule</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09"/>
        <w:gridCol w:w="6418"/>
      </w:tblGrid>
      <w:tr>
        <w:trPr>
          <w:cantSplit/>
          <w:tblHeader/>
        </w:trPr>
        <w:tc>
          <w:tcPr>
            <w:tcW w:w="2609" w:type="dxa"/>
            <w:shd w:val="clear" w:color="auto" w:fill="0F4761"/>
            <w:vAlign w:val="center"/>
          </w:tcPr>
          <w:p>
            <w:pPr>
              <w:pStyle w:val="TableHeading"/>
              <w:jc w:val="left"/>
            </w:pPr>
            <w:r>
              <w:rPr>
                <w:color w:val="FFFFFF"/>
              </w:rPr>
              <w:t xml:space="preserve">When</w:t>
            </w:r>
          </w:p>
        </w:tc>
        <w:tc>
          <w:tcPr>
            <w:tcW w:w="6418" w:type="dxa"/>
            <w:shd w:val="clear" w:color="auto" w:fill="0F4761"/>
            <w:vAlign w:val="center"/>
          </w:tcPr>
          <w:p>
            <w:pPr>
              <w:pStyle w:val="TableHeading"/>
              <w:jc w:val="left"/>
            </w:pPr>
            <w:r>
              <w:rPr>
                <w:color w:val="FFFFFF"/>
              </w:rPr>
              <w:t xml:space="preserve">Runs</w:t>
            </w:r>
          </w:p>
        </w:tc>
      </w:tr>
      <w:tr>
        <w:trPr>
          <w:cantSplit/>
        </w:trPr>
        <w:tc>
          <w:tcPr>
            <w:tcW w:w="2609" w:type="dxa"/>
            <w:vAlign w:val="top"/>
          </w:tcPr>
          <w:p>
            <w:pPr>
              <w:pStyle w:val="TableText"/>
              <w:jc w:val="left"/>
            </w:pPr>
            <w:r>
              <w:t xml:space="preserve">Sprints 3 and 4 (December 2026 to 8 January 2027)</w:t>
            </w:r>
          </w:p>
        </w:tc>
        <w:tc>
          <w:tcPr>
            <w:tcW w:w="6418" w:type="dxa"/>
            <w:vAlign w:val="top"/>
          </w:tcPr>
          <w:p>
            <w:pPr>
              <w:pStyle w:val="TableText"/>
              <w:jc w:val="left"/>
            </w:pPr>
            <w:r>
              <w:t xml:space="preserve">Baseline PERF-S1 and S6 on a 500,000-record synthetic base; CI smoke in place</w:t>
            </w:r>
          </w:p>
        </w:tc>
      </w:tr>
      <w:tr>
        <w:trPr>
          <w:cantSplit/>
        </w:trPr>
        <w:tc>
          <w:tcPr>
            <w:tcW w:w="2609" w:type="dxa"/>
            <w:shd w:val="clear" w:color="auto" w:fill="F4F7FB"/>
            <w:vAlign w:val="top"/>
          </w:tcPr>
          <w:p>
            <w:pPr>
              <w:pStyle w:val="TableText"/>
              <w:jc w:val="left"/>
            </w:pPr>
            <w:r>
              <w:t xml:space="preserve">Test phase (11 to 22 January 2027)</w:t>
            </w:r>
          </w:p>
        </w:tc>
        <w:tc>
          <w:tcPr>
            <w:tcW w:w="6418" w:type="dxa"/>
            <w:shd w:val="clear" w:color="auto" w:fill="F4F7FB"/>
            <w:vAlign w:val="top"/>
          </w:tcPr>
          <w:p>
            <w:pPr>
              <w:pStyle w:val="TableText"/>
              <w:jc w:val="left"/>
            </w:pPr>
            <w:r>
              <w:t xml:space="preserve">PERF-S1 to S6 and S10 to S14 at the design point; S7 to S9 at pilot cohort volume; 12-hour soak. Report to the Steering Committee before G3</w:t>
            </w:r>
          </w:p>
        </w:tc>
      </w:tr>
      <w:tr>
        <w:trPr>
          <w:cantSplit/>
        </w:trPr>
        <w:tc>
          <w:tcPr>
            <w:tcW w:w="2609" w:type="dxa"/>
            <w:vAlign w:val="top"/>
          </w:tcPr>
          <w:p>
            <w:pPr>
              <w:pStyle w:val="TableText"/>
              <w:jc w:val="left"/>
            </w:pPr>
            <w:r>
              <w:t xml:space="preserve">Pilot weeks 1 and 2</w:t>
            </w:r>
          </w:p>
        </w:tc>
        <w:tc>
          <w:tcPr>
            <w:tcW w:w="6418" w:type="dxa"/>
            <w:vAlign w:val="top"/>
          </w:tcPr>
          <w:p>
            <w:pPr>
              <w:pStyle w:val="TableText"/>
              <w:jc w:val="left"/>
            </w:pPr>
            <w:r>
              <w:t xml:space="preserve">Re-base the workload model with real traffic, replacing every (A)</w:t>
            </w:r>
          </w:p>
        </w:tc>
      </w:tr>
      <w:tr>
        <w:trPr>
          <w:cantSplit/>
        </w:trPr>
        <w:tc>
          <w:tcPr>
            <w:tcW w:w="2609" w:type="dxa"/>
            <w:shd w:val="clear" w:color="auto" w:fill="F4F7FB"/>
            <w:vAlign w:val="top"/>
          </w:tcPr>
          <w:p>
            <w:pPr>
              <w:pStyle w:val="TableText"/>
              <w:jc w:val="left"/>
            </w:pPr>
            <w:r>
              <w:t xml:space="preserve">Before the scale phase</w:t>
            </w:r>
          </w:p>
        </w:tc>
        <w:tc>
          <w:tcPr>
            <w:tcW w:w="6418" w:type="dxa"/>
            <w:shd w:val="clear" w:color="auto" w:fill="F4F7FB"/>
            <w:vAlign w:val="top"/>
          </w:tcPr>
          <w:p>
            <w:pPr>
              <w:pStyle w:val="TableText"/>
              <w:jc w:val="left"/>
            </w:pPr>
            <w:r>
              <w:t xml:space="preserve">S7 to S11 at 6 million with fixes for KI-04 and KI-12; 24-hour soak</w:t>
            </w:r>
          </w:p>
        </w:tc>
      </w:tr>
      <w:tr>
        <w:trPr>
          <w:cantSplit/>
        </w:trPr>
        <w:tc>
          <w:tcPr>
            <w:tcW w:w="2609" w:type="dxa"/>
            <w:vAlign w:val="top"/>
          </w:tcPr>
          <w:p>
            <w:pPr>
              <w:pStyle w:val="TableText"/>
              <w:jc w:val="left"/>
            </w:pPr>
            <w:r>
              <w:t xml:space="preserve">Each release</w:t>
            </w:r>
          </w:p>
        </w:tc>
        <w:tc>
          <w:tcPr>
            <w:tcW w:w="6418" w:type="dxa"/>
            <w:vAlign w:val="top"/>
          </w:tcPr>
          <w:p>
            <w:pPr>
              <w:pStyle w:val="TableText"/>
              <w:jc w:val="left"/>
            </w:pPr>
            <w:r>
              <w:t xml:space="preserve">CI smoke; full PERF-S1 when the release touches sales, rating, journeys or persistence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Sign-Off</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726"/>
        <w:gridCol w:w="2357"/>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726"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357"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72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Workload assumptions marked (A) confirmed with VETC traffic data and TASCO volumes in discovery</w:t>
            </w:r>
          </w:p>
        </w:tc>
        <w:tc>
          <w:tcPr>
            <w:tcW w:w="235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IT and TASCO Business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72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rating latency and throughput limits for the pilot agreed</w:t>
            </w:r>
          </w:p>
        </w:tc>
        <w:tc>
          <w:tcPr>
            <w:tcW w:w="235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72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Partner transaction forecasts provided before any partner goes live</w:t>
            </w:r>
          </w:p>
        </w:tc>
        <w:tc>
          <w:tcPr>
            <w:tcW w:w="235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Partner Manager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73"/>
        <w:gridCol w:w="1690"/>
        <w:gridCol w:w="2648"/>
        <w:gridCol w:w="3616"/>
      </w:tblGrid>
      <w:tr w:rsidR="002B183A" w14:paraId="731A77C7" w14:textId="77777777" w:rsidTr="002923F3">
        <w:trPr>
          <w:cantSplit/>
          <w:trHeight w:val="440"/>
          <w:tblHeader/>
        </w:trPr>
        <w:tc>
          <w:tcPr>
            <w:tcW w:w="107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90"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4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1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Infrastructure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Engineering</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and Capacity Test Plan</dc:title>
  <dc:subject>TGP-QA-03</dc:subject>
  <dc:creator>iorta TechNXT</dc:creator>
  <cp:keywords>TGP-QA-03; TASCO Insurance; iorta TechNXT</cp:keywords>
  <dc:description>TASCO Motor Insurance Growth Platform</dc:description>
  <cp:lastModifiedBy>iorta TechNXT</cp:lastModifiedBy>
  <cp:revision>1</cp:revision>
  <dcterms:created xsi:type="dcterms:W3CDTF">2026-10-08T02:23:42Z</dcterms:created>
  <dcterms:modified xsi:type="dcterms:W3CDTF">2026-10-08T02:23:42Z</dcterms:modified>
</cp:coreProperties>
</file>