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TGP-UX-01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Design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4</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4</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1"/>
      </w:pPr>
      <w:hyperlink w:anchor="_Toc300000008" w:history="1">
        <w:r>
          <w:rPr>
            <w:noProof/>
          </w:rPr>
          <w:t>4.</w:t>
        </w:r>
        <w:r>
          <w:rPr>
            <w:noProof/>
          </w:rPr>
          <w:tab/>
        </w:r>
        <w:r>
          <w:rPr>
            <w:noProof/>
          </w:rPr>
          <w:t xml:space="preserve">Design principles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1"/>
      </w:pPr>
      <w:hyperlink w:anchor="_Toc300000009" w:history="1">
        <w:r>
          <w:rPr>
            <w:noProof/>
          </w:rPr>
          <w:t>5.</w:t>
        </w:r>
        <w:r>
          <w:rPr>
            <w:noProof/>
          </w:rPr>
          <w:tab/>
        </w:r>
        <w:r>
          <w:rPr>
            <w:noProof/>
          </w:rPr>
          <w:t xml:space="preserve">Brand foundations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6</w:t>
        </w:r>
        <w:r>
          <w:rPr>
            <w:noProof/>
            <w:webHidden/>
          </w:rPr>
          <w:fldChar w:fldCharType="end"/>
        </w:r>
      </w:hyperlink>
    </w:p>
    <w:p>
      <w:pPr>
        <w:pStyle w:val="TOC2"/>
      </w:pPr>
      <w:hyperlink w:anchor="_Toc300000010" w:history="1">
        <w:r>
          <w:rPr>
            <w:noProof/>
          </w:rPr>
          <w:t>5.1.</w:t>
        </w:r>
        <w:r>
          <w:rPr>
            <w:noProof/>
          </w:rPr>
          <w:tab/>
        </w:r>
        <w:r>
          <w:rPr>
            <w:noProof/>
          </w:rPr>
          <w:t xml:space="preserve">Alignment with baohiemtasco.vn</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6</w:t>
        </w:r>
        <w:r>
          <w:rPr>
            <w:noProof/>
            <w:webHidden/>
          </w:rPr>
          <w:fldChar w:fldCharType="end"/>
        </w:r>
      </w:hyperlink>
    </w:p>
    <w:p>
      <w:pPr>
        <w:pStyle w:val="TOC2"/>
      </w:pPr>
      <w:hyperlink w:anchor="_Toc300000011" w:history="1">
        <w:r>
          <w:rPr>
            <w:noProof/>
          </w:rPr>
          <w:t>5.2.</w:t>
        </w:r>
        <w:r>
          <w:rPr>
            <w:noProof/>
          </w:rPr>
          <w:tab/>
        </w:r>
        <w:r>
          <w:rPr>
            <w:noProof/>
          </w:rPr>
          <w:t xml:space="preserve">The wordmark</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6</w:t>
        </w:r>
        <w:r>
          <w:rPr>
            <w:noProof/>
            <w:webHidden/>
          </w:rPr>
          <w:fldChar w:fldCharType="end"/>
        </w:r>
      </w:hyperlink>
    </w:p>
    <w:p>
      <w:pPr>
        <w:pStyle w:val="TOC2"/>
      </w:pPr>
      <w:hyperlink w:anchor="_Toc300000012" w:history="1">
        <w:r>
          <w:rPr>
            <w:noProof/>
          </w:rPr>
          <w:t>5.3.</w:t>
        </w:r>
        <w:r>
          <w:rPr>
            <w:noProof/>
          </w:rPr>
          <w:tab/>
        </w:r>
        <w:r>
          <w:rPr>
            <w:noProof/>
          </w:rPr>
          <w:t xml:space="preserve">Co-branding by host</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7</w:t>
        </w:r>
        <w:r>
          <w:rPr>
            <w:noProof/>
            <w:webHidden/>
          </w:rPr>
          <w:fldChar w:fldCharType="end"/>
        </w:r>
      </w:hyperlink>
    </w:p>
    <w:p>
      <w:pPr>
        <w:pStyle w:val="TOC2"/>
      </w:pPr>
      <w:hyperlink w:anchor="_Toc300000013" w:history="1">
        <w:r>
          <w:rPr>
            <w:noProof/>
          </w:rPr>
          <w:t>5.4.</w:t>
        </w:r>
        <w:r>
          <w:rPr>
            <w:noProof/>
          </w:rPr>
          <w:tab/>
        </w:r>
        <w:r>
          <w:rPr>
            <w:noProof/>
          </w:rPr>
          <w:t xml:space="preserve">Sign-in page</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7</w:t>
        </w:r>
        <w:r>
          <w:rPr>
            <w:noProof/>
            <w:webHidden/>
          </w:rPr>
          <w:fldChar w:fldCharType="end"/>
        </w:r>
      </w:hyperlink>
    </w:p>
    <w:p>
      <w:pPr>
        <w:pStyle w:val="TOC1"/>
      </w:pPr>
      <w:hyperlink w:anchor="_Toc300000014" w:history="1">
        <w:r>
          <w:rPr>
            <w:noProof/>
          </w:rPr>
          <w:t>6.</w:t>
        </w:r>
        <w:r>
          <w:rPr>
            <w:noProof/>
          </w:rPr>
          <w:tab/>
        </w:r>
        <w:r>
          <w:rPr>
            <w:noProof/>
          </w:rPr>
          <w:t xml:space="preserve">Colour</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8</w:t>
        </w:r>
        <w:r>
          <w:rPr>
            <w:noProof/>
            <w:webHidden/>
          </w:rPr>
          <w:fldChar w:fldCharType="end"/>
        </w:r>
      </w:hyperlink>
    </w:p>
    <w:p>
      <w:pPr>
        <w:pStyle w:val="TOC2"/>
      </w:pPr>
      <w:hyperlink w:anchor="_Toc300000015" w:history="1">
        <w:r>
          <w:rPr>
            <w:noProof/>
          </w:rPr>
          <w:t>6.1.</w:t>
        </w:r>
        <w:r>
          <w:rPr>
            <w:noProof/>
          </w:rPr>
          <w:tab/>
        </w:r>
        <w:r>
          <w:rPr>
            <w:noProof/>
          </w:rPr>
          <w:t xml:space="preserve">The teal rule</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8</w:t>
        </w:r>
        <w:r>
          <w:rPr>
            <w:noProof/>
            <w:webHidden/>
          </w:rPr>
          <w:fldChar w:fldCharType="end"/>
        </w:r>
      </w:hyperlink>
    </w:p>
    <w:p>
      <w:pPr>
        <w:pStyle w:val="TOC2"/>
      </w:pPr>
      <w:hyperlink w:anchor="_Toc300000016" w:history="1">
        <w:r>
          <w:rPr>
            <w:noProof/>
          </w:rPr>
          <w:t>6.2.</w:t>
        </w:r>
        <w:r>
          <w:rPr>
            <w:noProof/>
          </w:rPr>
          <w:tab/>
        </w:r>
        <w:r>
          <w:rPr>
            <w:noProof/>
          </w:rPr>
          <w:t xml:space="preserve">Brand and interactive tokens</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8</w:t>
        </w:r>
        <w:r>
          <w:rPr>
            <w:noProof/>
            <w:webHidden/>
          </w:rPr>
          <w:fldChar w:fldCharType="end"/>
        </w:r>
      </w:hyperlink>
    </w:p>
    <w:p>
      <w:pPr>
        <w:pStyle w:val="TOC2"/>
      </w:pPr>
      <w:hyperlink w:anchor="_Toc300000017" w:history="1">
        <w:r>
          <w:rPr>
            <w:noProof/>
          </w:rPr>
          <w:t>6.3.</w:t>
        </w:r>
        <w:r>
          <w:rPr>
            <w:noProof/>
          </w:rPr>
          <w:tab/>
        </w:r>
        <w:r>
          <w:rPr>
            <w:noProof/>
          </w:rPr>
          <w:t xml:space="preserve">Text and surfaces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8</w:t>
        </w:r>
        <w:r>
          <w:rPr>
            <w:noProof/>
            <w:webHidden/>
          </w:rPr>
          <w:fldChar w:fldCharType="end"/>
        </w:r>
      </w:hyperlink>
    </w:p>
    <w:p>
      <w:pPr>
        <w:pStyle w:val="TOC2"/>
      </w:pPr>
      <w:hyperlink w:anchor="_Toc300000018" w:history="1">
        <w:r>
          <w:rPr>
            <w:noProof/>
          </w:rPr>
          <w:t>6.4.</w:t>
        </w:r>
        <w:r>
          <w:rPr>
            <w:noProof/>
          </w:rPr>
          <w:tab/>
        </w:r>
        <w:r>
          <w:rPr>
            <w:noProof/>
          </w:rPr>
          <w:t xml:space="preserve">Semantic colours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9</w:t>
        </w:r>
        <w:r>
          <w:rPr>
            <w:noProof/>
            <w:webHidden/>
          </w:rPr>
          <w:fldChar w:fldCharType="end"/>
        </w:r>
      </w:hyperlink>
    </w:p>
    <w:p>
      <w:pPr>
        <w:pStyle w:val="TOC2"/>
      </w:pPr>
      <w:hyperlink w:anchor="_Toc300000019" w:history="1">
        <w:r>
          <w:rPr>
            <w:noProof/>
          </w:rPr>
          <w:t>6.5.</w:t>
        </w:r>
        <w:r>
          <w:rPr>
            <w:noProof/>
          </w:rPr>
          <w:tab/>
        </w:r>
        <w:r>
          <w:rPr>
            <w:noProof/>
          </w:rPr>
          <w:t xml:space="preserve">Chart palette</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9</w:t>
        </w:r>
        <w:r>
          <w:rPr>
            <w:noProof/>
            <w:webHidden/>
          </w:rPr>
          <w:fldChar w:fldCharType="end"/>
        </w:r>
      </w:hyperlink>
    </w:p>
    <w:p>
      <w:pPr>
        <w:pStyle w:val="TOC1"/>
      </w:pPr>
      <w:hyperlink w:anchor="_Toc300000020" w:history="1">
        <w:r>
          <w:rPr>
            <w:noProof/>
          </w:rPr>
          <w:t>7.</w:t>
        </w:r>
        <w:r>
          <w:rPr>
            <w:noProof/>
          </w:rPr>
          <w:tab/>
        </w:r>
        <w:r>
          <w:rPr>
            <w:noProof/>
          </w:rPr>
          <w:t xml:space="preserve">Typography</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10</w:t>
        </w:r>
        <w:r>
          <w:rPr>
            <w:noProof/>
            <w:webHidden/>
          </w:rPr>
          <w:fldChar w:fldCharType="end"/>
        </w:r>
      </w:hyperlink>
    </w:p>
    <w:p>
      <w:pPr>
        <w:pStyle w:val="TOC2"/>
      </w:pPr>
      <w:hyperlink w:anchor="_Toc300000021" w:history="1">
        <w:r>
          <w:rPr>
            <w:noProof/>
          </w:rPr>
          <w:t>7.1.</w:t>
        </w:r>
        <w:r>
          <w:rPr>
            <w:noProof/>
          </w:rPr>
          <w:tab/>
        </w:r>
        <w:r>
          <w:rPr>
            <w:noProof/>
          </w:rPr>
          <w:t xml:space="preserve">Typefaces</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10</w:t>
        </w:r>
        <w:r>
          <w:rPr>
            <w:noProof/>
            <w:webHidden/>
          </w:rPr>
          <w:fldChar w:fldCharType="end"/>
        </w:r>
      </w:hyperlink>
    </w:p>
    <w:p>
      <w:pPr>
        <w:pStyle w:val="TOC2"/>
      </w:pPr>
      <w:hyperlink w:anchor="_Toc300000022" w:history="1">
        <w:r>
          <w:rPr>
            <w:noProof/>
          </w:rPr>
          <w:t>7.2.</w:t>
        </w:r>
        <w:r>
          <w:rPr>
            <w:noProof/>
          </w:rPr>
          <w:tab/>
        </w:r>
        <w:r>
          <w:rPr>
            <w:noProof/>
          </w:rPr>
          <w:t xml:space="preserve">Type scale</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10</w:t>
        </w:r>
        <w:r>
          <w:rPr>
            <w:noProof/>
            <w:webHidden/>
          </w:rPr>
          <w:fldChar w:fldCharType="end"/>
        </w:r>
      </w:hyperlink>
    </w:p>
    <w:p>
      <w:pPr>
        <w:pStyle w:val="TOC2"/>
      </w:pPr>
      <w:hyperlink w:anchor="_Toc300000023" w:history="1">
        <w:r>
          <w:rPr>
            <w:noProof/>
          </w:rPr>
          <w:t>7.3.</w:t>
        </w:r>
        <w:r>
          <w:rPr>
            <w:noProof/>
          </w:rPr>
          <w:tab/>
        </w:r>
        <w:r>
          <w:rPr>
            <w:noProof/>
          </w:rPr>
          <w:t xml:space="preserve">Headings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10</w:t>
        </w:r>
        <w:r>
          <w:rPr>
            <w:noProof/>
            <w:webHidden/>
          </w:rPr>
          <w:fldChar w:fldCharType="end"/>
        </w:r>
      </w:hyperlink>
    </w:p>
    <w:p>
      <w:pPr>
        <w:pStyle w:val="TOC1"/>
      </w:pPr>
      <w:hyperlink w:anchor="_Toc300000024" w:history="1">
        <w:r>
          <w:rPr>
            <w:noProof/>
          </w:rPr>
          <w:t>8.</w:t>
        </w:r>
        <w:r>
          <w:rPr>
            <w:noProof/>
          </w:rPr>
          <w:tab/>
        </w:r>
        <w:r>
          <w:rPr>
            <w:noProof/>
          </w:rPr>
          <w:t xml:space="preserve">Spacing, layout and size</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10</w:t>
        </w:r>
        <w:r>
          <w:rPr>
            <w:noProof/>
            <w:webHidden/>
          </w:rPr>
          <w:fldChar w:fldCharType="end"/>
        </w:r>
      </w:hyperlink>
    </w:p>
    <w:p>
      <w:pPr>
        <w:pStyle w:val="TOC2"/>
      </w:pPr>
      <w:hyperlink w:anchor="_Toc300000025" w:history="1">
        <w:r>
          <w:rPr>
            <w:noProof/>
          </w:rPr>
          <w:t>8.1.</w:t>
        </w:r>
        <w:r>
          <w:rPr>
            <w:noProof/>
          </w:rPr>
          <w:tab/>
        </w:r>
        <w:r>
          <w:rPr>
            <w:noProof/>
          </w:rPr>
          <w:t xml:space="preserve">Spacing</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10</w:t>
        </w:r>
        <w:r>
          <w:rPr>
            <w:noProof/>
            <w:webHidden/>
          </w:rPr>
          <w:fldChar w:fldCharType="end"/>
        </w:r>
      </w:hyperlink>
    </w:p>
    <w:p>
      <w:pPr>
        <w:pStyle w:val="TOC2"/>
      </w:pPr>
      <w:hyperlink w:anchor="_Toc300000026" w:history="1">
        <w:r>
          <w:rPr>
            <w:noProof/>
          </w:rPr>
          <w:t>8.2.</w:t>
        </w:r>
        <w:r>
          <w:rPr>
            <w:noProof/>
          </w:rPr>
          <w:tab/>
        </w:r>
        <w:r>
          <w:rPr>
            <w:noProof/>
          </w:rPr>
          <w:t xml:space="preserve">Grid</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11</w:t>
        </w:r>
        <w:r>
          <w:rPr>
            <w:noProof/>
            <w:webHidden/>
          </w:rPr>
          <w:fldChar w:fldCharType="end"/>
        </w:r>
      </w:hyperlink>
    </w:p>
    <w:p>
      <w:pPr>
        <w:pStyle w:val="TOC2"/>
      </w:pPr>
      <w:hyperlink w:anchor="_Toc300000027" w:history="1">
        <w:r>
          <w:rPr>
            <w:noProof/>
          </w:rPr>
          <w:t>8.3.</w:t>
        </w:r>
        <w:r>
          <w:rPr>
            <w:noProof/>
          </w:rPr>
          <w:tab/>
        </w:r>
        <w:r>
          <w:rPr>
            <w:noProof/>
          </w:rPr>
          <w:t xml:space="preserve">Control sizes</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11</w:t>
        </w:r>
        <w:r>
          <w:rPr>
            <w:noProof/>
            <w:webHidden/>
          </w:rPr>
          <w:fldChar w:fldCharType="end"/>
        </w:r>
      </w:hyperlink>
    </w:p>
    <w:p>
      <w:pPr>
        <w:pStyle w:val="TOC1"/>
      </w:pPr>
      <w:hyperlink w:anchor="_Toc300000028" w:history="1">
        <w:r>
          <w:rPr>
            <w:noProof/>
          </w:rPr>
          <w:t>9.</w:t>
        </w:r>
        <w:r>
          <w:rPr>
            <w:noProof/>
          </w:rPr>
          <w:tab/>
        </w:r>
        <w:r>
          <w:rPr>
            <w:noProof/>
          </w:rPr>
          <w:t xml:space="preserve">Radius, elevation and motion</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11</w:t>
        </w:r>
        <w:r>
          <w:rPr>
            <w:noProof/>
            <w:webHidden/>
          </w:rPr>
          <w:fldChar w:fldCharType="end"/>
        </w:r>
      </w:hyperlink>
    </w:p>
    <w:p>
      <w:pPr>
        <w:pStyle w:val="TOC1"/>
      </w:pPr>
      <w:hyperlink w:anchor="_Toc300000029" w:history="1">
        <w:r>
          <w:rPr>
            <w:noProof/>
          </w:rPr>
          <w:t>10.</w:t>
        </w:r>
        <w:r>
          <w:rPr>
            <w:noProof/>
          </w:rPr>
          <w:tab/>
        </w:r>
        <w:r>
          <w:rPr>
            <w:noProof/>
          </w:rPr>
          <w:t xml:space="preserve">Iconography</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11</w:t>
        </w:r>
        <w:r>
          <w:rPr>
            <w:noProof/>
            <w:webHidden/>
          </w:rPr>
          <w:fldChar w:fldCharType="end"/>
        </w:r>
      </w:hyperlink>
    </w:p>
    <w:p>
      <w:pPr>
        <w:pStyle w:val="TOC1"/>
      </w:pPr>
      <w:hyperlink w:anchor="_Toc300000030" w:history="1">
        <w:r>
          <w:rPr>
            <w:noProof/>
          </w:rPr>
          <w:t>11.</w:t>
        </w:r>
        <w:r>
          <w:rPr>
            <w:noProof/>
          </w:rPr>
          <w:tab/>
        </w:r>
        <w:r>
          <w:rPr>
            <w:noProof/>
          </w:rPr>
          <w:t xml:space="preserve">Console components</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12</w:t>
        </w:r>
        <w:r>
          <w:rPr>
            <w:noProof/>
            <w:webHidden/>
          </w:rPr>
          <w:fldChar w:fldCharType="end"/>
        </w:r>
      </w:hyperlink>
    </w:p>
    <w:p>
      <w:pPr>
        <w:pStyle w:val="TOC2"/>
      </w:pPr>
      <w:hyperlink w:anchor="_Toc300000031" w:history="1">
        <w:r>
          <w:rPr>
            <w:noProof/>
          </w:rPr>
          <w:t>11.1.</w:t>
        </w:r>
        <w:r>
          <w:rPr>
            <w:noProof/>
          </w:rPr>
          <w:tab/>
        </w:r>
        <w:r>
          <w:rPr>
            <w:noProof/>
          </w:rPr>
          <w:t xml:space="preserve">Anatomy of a console page</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12</w:t>
        </w:r>
        <w:r>
          <w:rPr>
            <w:noProof/>
            <w:webHidden/>
          </w:rPr>
          <w:fldChar w:fldCharType="end"/>
        </w:r>
      </w:hyperlink>
    </w:p>
    <w:p>
      <w:pPr>
        <w:pStyle w:val="TOC2"/>
      </w:pPr>
      <w:hyperlink w:anchor="_Toc300000032" w:history="1">
        <w:r>
          <w:rPr>
            <w:noProof/>
          </w:rPr>
          <w:t>11.2.</w:t>
        </w:r>
        <w:r>
          <w:rPr>
            <w:noProof/>
          </w:rPr>
          <w:tab/>
        </w:r>
        <w:r>
          <w:rPr>
            <w:noProof/>
          </w:rPr>
          <w:t xml:space="preserve">Buttons</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13</w:t>
        </w:r>
        <w:r>
          <w:rPr>
            <w:noProof/>
            <w:webHidden/>
          </w:rPr>
          <w:fldChar w:fldCharType="end"/>
        </w:r>
      </w:hyperlink>
    </w:p>
    <w:p>
      <w:pPr>
        <w:pStyle w:val="TOC2"/>
      </w:pPr>
      <w:hyperlink w:anchor="_Toc300000033" w:history="1">
        <w:r>
          <w:rPr>
            <w:noProof/>
          </w:rPr>
          <w:t>11.3.</w:t>
        </w:r>
        <w:r>
          <w:rPr>
            <w:noProof/>
          </w:rPr>
          <w:tab/>
        </w:r>
        <w:r>
          <w:rPr>
            <w:noProof/>
          </w:rPr>
          <w:t xml:space="preserve">Inputs, selects and date input</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13</w:t>
        </w:r>
        <w:r>
          <w:rPr>
            <w:noProof/>
            <w:webHidden/>
          </w:rPr>
          <w:fldChar w:fldCharType="end"/>
        </w:r>
      </w:hyperlink>
    </w:p>
    <w:p>
      <w:pPr>
        <w:pStyle w:val="TOC2"/>
      </w:pPr>
      <w:hyperlink w:anchor="_Toc300000034" w:history="1">
        <w:r>
          <w:rPr>
            <w:noProof/>
          </w:rPr>
          <w:t>11.4.</w:t>
        </w:r>
        <w:r>
          <w:rPr>
            <w:noProof/>
          </w:rPr>
          <w:tab/>
        </w:r>
        <w:r>
          <w:rPr>
            <w:noProof/>
          </w:rPr>
          <w:t xml:space="preserve">Segmented control, radios, checkboxes and switch</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14</w:t>
        </w:r>
        <w:r>
          <w:rPr>
            <w:noProof/>
            <w:webHidden/>
          </w:rPr>
          <w:fldChar w:fldCharType="end"/>
        </w:r>
      </w:hyperlink>
    </w:p>
    <w:p>
      <w:pPr>
        <w:pStyle w:val="TOC2"/>
      </w:pPr>
      <w:hyperlink w:anchor="_Toc300000035" w:history="1">
        <w:r>
          <w:rPr>
            <w:noProof/>
          </w:rPr>
          <w:t>11.5.</w:t>
        </w:r>
        <w:r>
          <w:rPr>
            <w:noProof/>
          </w:rPr>
          <w:tab/>
        </w:r>
        <w:r>
          <w:rPr>
            <w:noProof/>
          </w:rPr>
          <w:t xml:space="preserve">Status chips and badges</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14</w:t>
        </w:r>
        <w:r>
          <w:rPr>
            <w:noProof/>
            <w:webHidden/>
          </w:rPr>
          <w:fldChar w:fldCharType="end"/>
        </w:r>
      </w:hyperlink>
    </w:p>
    <w:p>
      <w:pPr>
        <w:pStyle w:val="TOC2"/>
      </w:pPr>
      <w:hyperlink w:anchor="_Toc300000036" w:history="1">
        <w:r>
          <w:rPr>
            <w:noProof/>
          </w:rPr>
          <w:t>11.6.</w:t>
        </w:r>
        <w:r>
          <w:rPr>
            <w:noProof/>
          </w:rPr>
          <w:tab/>
        </w:r>
        <w:r>
          <w:rPr>
            <w:noProof/>
          </w:rPr>
          <w:t xml:space="preserve">SLA chips</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14</w:t>
        </w:r>
        <w:r>
          <w:rPr>
            <w:noProof/>
            <w:webHidden/>
          </w:rPr>
          <w:fldChar w:fldCharType="end"/>
        </w:r>
      </w:hyperlink>
    </w:p>
    <w:p>
      <w:pPr>
        <w:pStyle w:val="TOC2"/>
      </w:pPr>
      <w:hyperlink w:anchor="_Toc300000037" w:history="1">
        <w:r>
          <w:rPr>
            <w:noProof/>
          </w:rPr>
          <w:t>11.7.</w:t>
        </w:r>
        <w:r>
          <w:rPr>
            <w:noProof/>
          </w:rPr>
          <w:tab/>
        </w:r>
        <w:r>
          <w:rPr>
            <w:noProof/>
          </w:rPr>
          <w:t xml:space="preserve">KPI tile</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15</w:t>
        </w:r>
        <w:r>
          <w:rPr>
            <w:noProof/>
            <w:webHidden/>
          </w:rPr>
          <w:fldChar w:fldCharType="end"/>
        </w:r>
      </w:hyperlink>
    </w:p>
    <w:p>
      <w:pPr>
        <w:pStyle w:val="TOC2"/>
      </w:pPr>
      <w:hyperlink w:anchor="_Toc300000038" w:history="1">
        <w:r>
          <w:rPr>
            <w:noProof/>
          </w:rPr>
          <w:t>11.8.</w:t>
        </w:r>
        <w:r>
          <w:rPr>
            <w:noProof/>
          </w:rPr>
          <w:tab/>
        </w:r>
        <w:r>
          <w:rPr>
            <w:noProof/>
          </w:rPr>
          <w:t xml:space="preserve">Card</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15</w:t>
        </w:r>
        <w:r>
          <w:rPr>
            <w:noProof/>
            <w:webHidden/>
          </w:rPr>
          <w:fldChar w:fldCharType="end"/>
        </w:r>
      </w:hyperlink>
    </w:p>
    <w:p>
      <w:pPr>
        <w:pStyle w:val="TOC2"/>
      </w:pPr>
      <w:hyperlink w:anchor="_Toc300000039" w:history="1">
        <w:r>
          <w:rPr>
            <w:noProof/>
          </w:rPr>
          <w:t>11.9.</w:t>
        </w:r>
        <w:r>
          <w:rPr>
            <w:noProof/>
          </w:rPr>
          <w:tab/>
        </w:r>
        <w:r>
          <w:rPr>
            <w:noProof/>
          </w:rPr>
          <w:t xml:space="preserve">Data table</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15</w:t>
        </w:r>
        <w:r>
          <w:rPr>
            <w:noProof/>
            <w:webHidden/>
          </w:rPr>
          <w:fldChar w:fldCharType="end"/>
        </w:r>
      </w:hyperlink>
    </w:p>
    <w:p>
      <w:pPr>
        <w:pStyle w:val="TOC2"/>
      </w:pPr>
      <w:hyperlink w:anchor="_Toc300000040" w:history="1">
        <w:r>
          <w:rPr>
            <w:noProof/>
          </w:rPr>
          <w:t>11.10.</w:t>
        </w:r>
        <w:r>
          <w:rPr>
            <w:noProof/>
          </w:rPr>
          <w:tab/>
        </w:r>
        <w:r>
          <w:rPr>
            <w:noProof/>
          </w:rPr>
          <w:t xml:space="preserve">Row actions</w:t>
        </w:r>
        <w:r>
          <w:rPr>
            <w:noProof/>
            <w:webHidden/>
          </w:rPr>
          <w:tab/>
        </w:r>
        <w:r>
          <w:rPr>
            <w:noProof/>
            <w:webHidden/>
          </w:rPr>
          <w:fldChar w:fldCharType="begin"/>
        </w:r>
        <w:r>
          <w:rPr>
            <w:noProof/>
            <w:webHidden/>
          </w:rPr>
          <w:instrText xml:space="preserve"> PAGEREF _Toc300000040 \h </w:instrText>
        </w:r>
        <w:r>
          <w:rPr>
            <w:noProof/>
            <w:webHidden/>
          </w:rPr>
          <w:fldChar w:fldCharType="separate"/>
        </w:r>
        <w:r>
          <w:rPr>
            <w:noProof/>
            <w:webHidden/>
          </w:rPr>
          <w:t>15</w:t>
        </w:r>
        <w:r>
          <w:rPr>
            <w:noProof/>
            <w:webHidden/>
          </w:rPr>
          <w:fldChar w:fldCharType="end"/>
        </w:r>
      </w:hyperlink>
    </w:p>
    <w:p>
      <w:pPr>
        <w:pStyle w:val="TOC2"/>
      </w:pPr>
      <w:hyperlink w:anchor="_Toc300000041" w:history="1">
        <w:r>
          <w:rPr>
            <w:noProof/>
          </w:rPr>
          <w:t>11.11.</w:t>
        </w:r>
        <w:r>
          <w:rPr>
            <w:noProof/>
          </w:rPr>
          <w:tab/>
        </w:r>
        <w:r>
          <w:rPr>
            <w:noProof/>
          </w:rPr>
          <w:t xml:space="preserve">Drawer</w:t>
        </w:r>
        <w:r>
          <w:rPr>
            <w:noProof/>
            <w:webHidden/>
          </w:rPr>
          <w:tab/>
        </w:r>
        <w:r>
          <w:rPr>
            <w:noProof/>
            <w:webHidden/>
          </w:rPr>
          <w:fldChar w:fldCharType="begin"/>
        </w:r>
        <w:r>
          <w:rPr>
            <w:noProof/>
            <w:webHidden/>
          </w:rPr>
          <w:instrText xml:space="preserve"> PAGEREF _Toc300000041 \h </w:instrText>
        </w:r>
        <w:r>
          <w:rPr>
            <w:noProof/>
            <w:webHidden/>
          </w:rPr>
          <w:fldChar w:fldCharType="separate"/>
        </w:r>
        <w:r>
          <w:rPr>
            <w:noProof/>
            <w:webHidden/>
          </w:rPr>
          <w:t>15</w:t>
        </w:r>
        <w:r>
          <w:rPr>
            <w:noProof/>
            <w:webHidden/>
          </w:rPr>
          <w:fldChar w:fldCharType="end"/>
        </w:r>
      </w:hyperlink>
    </w:p>
    <w:p>
      <w:pPr>
        <w:pStyle w:val="TOC2"/>
      </w:pPr>
      <w:hyperlink w:anchor="_Toc300000042" w:history="1">
        <w:r>
          <w:rPr>
            <w:noProof/>
          </w:rPr>
          <w:t>11.12.</w:t>
        </w:r>
        <w:r>
          <w:rPr>
            <w:noProof/>
          </w:rPr>
          <w:tab/>
        </w:r>
        <w:r>
          <w:rPr>
            <w:noProof/>
          </w:rPr>
          <w:t xml:space="preserve">Modal and decision dialog</w:t>
        </w:r>
        <w:r>
          <w:rPr>
            <w:noProof/>
            <w:webHidden/>
          </w:rPr>
          <w:tab/>
        </w:r>
        <w:r>
          <w:rPr>
            <w:noProof/>
            <w:webHidden/>
          </w:rPr>
          <w:fldChar w:fldCharType="begin"/>
        </w:r>
        <w:r>
          <w:rPr>
            <w:noProof/>
            <w:webHidden/>
          </w:rPr>
          <w:instrText xml:space="preserve"> PAGEREF _Toc300000042 \h </w:instrText>
        </w:r>
        <w:r>
          <w:rPr>
            <w:noProof/>
            <w:webHidden/>
          </w:rPr>
          <w:fldChar w:fldCharType="separate"/>
        </w:r>
        <w:r>
          <w:rPr>
            <w:noProof/>
            <w:webHidden/>
          </w:rPr>
          <w:t>16</w:t>
        </w:r>
        <w:r>
          <w:rPr>
            <w:noProof/>
            <w:webHidden/>
          </w:rPr>
          <w:fldChar w:fldCharType="end"/>
        </w:r>
      </w:hyperlink>
    </w:p>
    <w:p>
      <w:pPr>
        <w:pStyle w:val="TOC2"/>
      </w:pPr>
      <w:hyperlink w:anchor="_Toc300000043" w:history="1">
        <w:r>
          <w:rPr>
            <w:noProof/>
          </w:rPr>
          <w:t>11.13.</w:t>
        </w:r>
        <w:r>
          <w:rPr>
            <w:noProof/>
          </w:rPr>
          <w:tab/>
        </w:r>
        <w:r>
          <w:rPr>
            <w:noProof/>
          </w:rPr>
          <w:t xml:space="preserve">Toast and banner</w:t>
        </w:r>
        <w:r>
          <w:rPr>
            <w:noProof/>
            <w:webHidden/>
          </w:rPr>
          <w:tab/>
        </w:r>
        <w:r>
          <w:rPr>
            <w:noProof/>
            <w:webHidden/>
          </w:rPr>
          <w:fldChar w:fldCharType="begin"/>
        </w:r>
        <w:r>
          <w:rPr>
            <w:noProof/>
            <w:webHidden/>
          </w:rPr>
          <w:instrText xml:space="preserve"> PAGEREF _Toc300000043 \h </w:instrText>
        </w:r>
        <w:r>
          <w:rPr>
            <w:noProof/>
            <w:webHidden/>
          </w:rPr>
          <w:fldChar w:fldCharType="separate"/>
        </w:r>
        <w:r>
          <w:rPr>
            <w:noProof/>
            <w:webHidden/>
          </w:rPr>
          <w:t>17</w:t>
        </w:r>
        <w:r>
          <w:rPr>
            <w:noProof/>
            <w:webHidden/>
          </w:rPr>
          <w:fldChar w:fldCharType="end"/>
        </w:r>
      </w:hyperlink>
    </w:p>
    <w:p>
      <w:pPr>
        <w:pStyle w:val="TOC2"/>
      </w:pPr>
      <w:hyperlink w:anchor="_Toc300000044" w:history="1">
        <w:r>
          <w:rPr>
            <w:noProof/>
          </w:rPr>
          <w:t>11.14.</w:t>
        </w:r>
        <w:r>
          <w:rPr>
            <w:noProof/>
          </w:rPr>
          <w:tab/>
        </w:r>
        <w:r>
          <w:rPr>
            <w:noProof/>
          </w:rPr>
          <w:t xml:space="preserve">Empty state and skeleton</w:t>
        </w:r>
        <w:r>
          <w:rPr>
            <w:noProof/>
            <w:webHidden/>
          </w:rPr>
          <w:tab/>
        </w:r>
        <w:r>
          <w:rPr>
            <w:noProof/>
            <w:webHidden/>
          </w:rPr>
          <w:fldChar w:fldCharType="begin"/>
        </w:r>
        <w:r>
          <w:rPr>
            <w:noProof/>
            <w:webHidden/>
          </w:rPr>
          <w:instrText xml:space="preserve"> PAGEREF _Toc300000044 \h </w:instrText>
        </w:r>
        <w:r>
          <w:rPr>
            <w:noProof/>
            <w:webHidden/>
          </w:rPr>
          <w:fldChar w:fldCharType="separate"/>
        </w:r>
        <w:r>
          <w:rPr>
            <w:noProof/>
            <w:webHidden/>
          </w:rPr>
          <w:t>17</w:t>
        </w:r>
        <w:r>
          <w:rPr>
            <w:noProof/>
            <w:webHidden/>
          </w:rPr>
          <w:fldChar w:fldCharType="end"/>
        </w:r>
      </w:hyperlink>
    </w:p>
    <w:p>
      <w:pPr>
        <w:pStyle w:val="TOC2"/>
      </w:pPr>
      <w:hyperlink w:anchor="_Toc300000045" w:history="1">
        <w:r>
          <w:rPr>
            <w:noProof/>
          </w:rPr>
          <w:t>11.15.</w:t>
        </w:r>
        <w:r>
          <w:rPr>
            <w:noProof/>
          </w:rPr>
          <w:tab/>
        </w:r>
        <w:r>
          <w:rPr>
            <w:noProof/>
          </w:rPr>
          <w:t xml:space="preserve">Stepper and workflow steps</w:t>
        </w:r>
        <w:r>
          <w:rPr>
            <w:noProof/>
            <w:webHidden/>
          </w:rPr>
          <w:tab/>
        </w:r>
        <w:r>
          <w:rPr>
            <w:noProof/>
            <w:webHidden/>
          </w:rPr>
          <w:fldChar w:fldCharType="begin"/>
        </w:r>
        <w:r>
          <w:rPr>
            <w:noProof/>
            <w:webHidden/>
          </w:rPr>
          <w:instrText xml:space="preserve"> PAGEREF _Toc300000045 \h </w:instrText>
        </w:r>
        <w:r>
          <w:rPr>
            <w:noProof/>
            <w:webHidden/>
          </w:rPr>
          <w:fldChar w:fldCharType="separate"/>
        </w:r>
        <w:r>
          <w:rPr>
            <w:noProof/>
            <w:webHidden/>
          </w:rPr>
          <w:t>17</w:t>
        </w:r>
        <w:r>
          <w:rPr>
            <w:noProof/>
            <w:webHidden/>
          </w:rPr>
          <w:fldChar w:fldCharType="end"/>
        </w:r>
      </w:hyperlink>
    </w:p>
    <w:p>
      <w:pPr>
        <w:pStyle w:val="TOC2"/>
      </w:pPr>
      <w:hyperlink w:anchor="_Toc300000046" w:history="1">
        <w:r>
          <w:rPr>
            <w:noProof/>
          </w:rPr>
          <w:t>11.16.</w:t>
        </w:r>
        <w:r>
          <w:rPr>
            <w:noProof/>
          </w:rPr>
          <w:tab/>
        </w:r>
        <w:r>
          <w:rPr>
            <w:noProof/>
          </w:rPr>
          <w:t xml:space="preserve">Timeline</w:t>
        </w:r>
        <w:r>
          <w:rPr>
            <w:noProof/>
            <w:webHidden/>
          </w:rPr>
          <w:tab/>
        </w:r>
        <w:r>
          <w:rPr>
            <w:noProof/>
            <w:webHidden/>
          </w:rPr>
          <w:fldChar w:fldCharType="begin"/>
        </w:r>
        <w:r>
          <w:rPr>
            <w:noProof/>
            <w:webHidden/>
          </w:rPr>
          <w:instrText xml:space="preserve"> PAGEREF _Toc300000046 \h </w:instrText>
        </w:r>
        <w:r>
          <w:rPr>
            <w:noProof/>
            <w:webHidden/>
          </w:rPr>
          <w:fldChar w:fldCharType="separate"/>
        </w:r>
        <w:r>
          <w:rPr>
            <w:noProof/>
            <w:webHidden/>
          </w:rPr>
          <w:t>18</w:t>
        </w:r>
        <w:r>
          <w:rPr>
            <w:noProof/>
            <w:webHidden/>
          </w:rPr>
          <w:fldChar w:fldCharType="end"/>
        </w:r>
      </w:hyperlink>
    </w:p>
    <w:p>
      <w:pPr>
        <w:pStyle w:val="TOC2"/>
      </w:pPr>
      <w:hyperlink w:anchor="_Toc300000047" w:history="1">
        <w:r>
          <w:rPr>
            <w:noProof/>
          </w:rPr>
          <w:t>11.17.</w:t>
        </w:r>
        <w:r>
          <w:rPr>
            <w:noProof/>
          </w:rPr>
          <w:tab/>
        </w:r>
        <w:r>
          <w:rPr>
            <w:noProof/>
          </w:rPr>
          <w:t xml:space="preserve">Key-value list</w:t>
        </w:r>
        <w:r>
          <w:rPr>
            <w:noProof/>
            <w:webHidden/>
          </w:rPr>
          <w:tab/>
        </w:r>
        <w:r>
          <w:rPr>
            <w:noProof/>
            <w:webHidden/>
          </w:rPr>
          <w:fldChar w:fldCharType="begin"/>
        </w:r>
        <w:r>
          <w:rPr>
            <w:noProof/>
            <w:webHidden/>
          </w:rPr>
          <w:instrText xml:space="preserve"> PAGEREF _Toc300000047 \h </w:instrText>
        </w:r>
        <w:r>
          <w:rPr>
            <w:noProof/>
            <w:webHidden/>
          </w:rPr>
          <w:fldChar w:fldCharType="separate"/>
        </w:r>
        <w:r>
          <w:rPr>
            <w:noProof/>
            <w:webHidden/>
          </w:rPr>
          <w:t>18</w:t>
        </w:r>
        <w:r>
          <w:rPr>
            <w:noProof/>
            <w:webHidden/>
          </w:rPr>
          <w:fldChar w:fldCharType="end"/>
        </w:r>
      </w:hyperlink>
    </w:p>
    <w:p>
      <w:pPr>
        <w:pStyle w:val="TOC2"/>
      </w:pPr>
      <w:hyperlink w:anchor="_Toc300000048" w:history="1">
        <w:r>
          <w:rPr>
            <w:noProof/>
          </w:rPr>
          <w:t>11.18.</w:t>
        </w:r>
        <w:r>
          <w:rPr>
            <w:noProof/>
          </w:rPr>
          <w:tab/>
        </w:r>
        <w:r>
          <w:rPr>
            <w:noProof/>
          </w:rPr>
          <w:t xml:space="preserve">Score ring and meters</w:t>
        </w:r>
        <w:r>
          <w:rPr>
            <w:noProof/>
            <w:webHidden/>
          </w:rPr>
          <w:tab/>
        </w:r>
        <w:r>
          <w:rPr>
            <w:noProof/>
            <w:webHidden/>
          </w:rPr>
          <w:fldChar w:fldCharType="begin"/>
        </w:r>
        <w:r>
          <w:rPr>
            <w:noProof/>
            <w:webHidden/>
          </w:rPr>
          <w:instrText xml:space="preserve"> PAGEREF _Toc300000048 \h </w:instrText>
        </w:r>
        <w:r>
          <w:rPr>
            <w:noProof/>
            <w:webHidden/>
          </w:rPr>
          <w:fldChar w:fldCharType="separate"/>
        </w:r>
        <w:r>
          <w:rPr>
            <w:noProof/>
            <w:webHidden/>
          </w:rPr>
          <w:t>18</w:t>
        </w:r>
        <w:r>
          <w:rPr>
            <w:noProof/>
            <w:webHidden/>
          </w:rPr>
          <w:fldChar w:fldCharType="end"/>
        </w:r>
      </w:hyperlink>
    </w:p>
    <w:p>
      <w:pPr>
        <w:pStyle w:val="TOC2"/>
      </w:pPr>
      <w:hyperlink w:anchor="_Toc300000049" w:history="1">
        <w:r>
          <w:rPr>
            <w:noProof/>
          </w:rPr>
          <w:t>11.19.</w:t>
        </w:r>
        <w:r>
          <w:rPr>
            <w:noProof/>
          </w:rPr>
          <w:tab/>
        </w:r>
        <w:r>
          <w:rPr>
            <w:noProof/>
          </w:rPr>
          <w:t xml:space="preserve">Charts</w:t>
        </w:r>
        <w:r>
          <w:rPr>
            <w:noProof/>
            <w:webHidden/>
          </w:rPr>
          <w:tab/>
        </w:r>
        <w:r>
          <w:rPr>
            <w:noProof/>
            <w:webHidden/>
          </w:rPr>
          <w:fldChar w:fldCharType="begin"/>
        </w:r>
        <w:r>
          <w:rPr>
            <w:noProof/>
            <w:webHidden/>
          </w:rPr>
          <w:instrText xml:space="preserve"> PAGEREF _Toc300000049 \h </w:instrText>
        </w:r>
        <w:r>
          <w:rPr>
            <w:noProof/>
            <w:webHidden/>
          </w:rPr>
          <w:fldChar w:fldCharType="separate"/>
        </w:r>
        <w:r>
          <w:rPr>
            <w:noProof/>
            <w:webHidden/>
          </w:rPr>
          <w:t>19</w:t>
        </w:r>
        <w:r>
          <w:rPr>
            <w:noProof/>
            <w:webHidden/>
          </w:rPr>
          <w:fldChar w:fldCharType="end"/>
        </w:r>
      </w:hyperlink>
    </w:p>
    <w:p>
      <w:pPr>
        <w:pStyle w:val="TOC2"/>
      </w:pPr>
      <w:hyperlink w:anchor="_Toc300000050" w:history="1">
        <w:r>
          <w:rPr>
            <w:noProof/>
          </w:rPr>
          <w:t>11.20.</w:t>
        </w:r>
        <w:r>
          <w:rPr>
            <w:noProof/>
          </w:rPr>
          <w:tab/>
        </w:r>
        <w:r>
          <w:rPr>
            <w:noProof/>
          </w:rPr>
          <w:t xml:space="preserve">Tabs, menus and tooltips</w:t>
        </w:r>
        <w:r>
          <w:rPr>
            <w:noProof/>
            <w:webHidden/>
          </w:rPr>
          <w:tab/>
        </w:r>
        <w:r>
          <w:rPr>
            <w:noProof/>
            <w:webHidden/>
          </w:rPr>
          <w:fldChar w:fldCharType="begin"/>
        </w:r>
        <w:r>
          <w:rPr>
            <w:noProof/>
            <w:webHidden/>
          </w:rPr>
          <w:instrText xml:space="preserve"> PAGEREF _Toc300000050 \h </w:instrText>
        </w:r>
        <w:r>
          <w:rPr>
            <w:noProof/>
            <w:webHidden/>
          </w:rPr>
          <w:fldChar w:fldCharType="separate"/>
        </w:r>
        <w:r>
          <w:rPr>
            <w:noProof/>
            <w:webHidden/>
          </w:rPr>
          <w:t>20</w:t>
        </w:r>
        <w:r>
          <w:rPr>
            <w:noProof/>
            <w:webHidden/>
          </w:rPr>
          <w:fldChar w:fldCharType="end"/>
        </w:r>
      </w:hyperlink>
    </w:p>
    <w:p>
      <w:pPr>
        <w:pStyle w:val="TOC1"/>
      </w:pPr>
      <w:hyperlink w:anchor="_Toc300000051" w:history="1">
        <w:r>
          <w:rPr>
            <w:noProof/>
          </w:rPr>
          <w:t>12.</w:t>
        </w:r>
        <w:r>
          <w:rPr>
            <w:noProof/>
          </w:rPr>
          <w:tab/>
        </w:r>
        <w:r>
          <w:rPr>
            <w:noProof/>
          </w:rPr>
          <w:t xml:space="preserve">Customer app components</w:t>
        </w:r>
        <w:r>
          <w:rPr>
            <w:noProof/>
            <w:webHidden/>
          </w:rPr>
          <w:tab/>
        </w:r>
        <w:r>
          <w:rPr>
            <w:noProof/>
            <w:webHidden/>
          </w:rPr>
          <w:fldChar w:fldCharType="begin"/>
        </w:r>
        <w:r>
          <w:rPr>
            <w:noProof/>
            <w:webHidden/>
          </w:rPr>
          <w:instrText xml:space="preserve"> PAGEREF _Toc300000051 \h </w:instrText>
        </w:r>
        <w:r>
          <w:rPr>
            <w:noProof/>
            <w:webHidden/>
          </w:rPr>
          <w:fldChar w:fldCharType="separate"/>
        </w:r>
        <w:r>
          <w:rPr>
            <w:noProof/>
            <w:webHidden/>
          </w:rPr>
          <w:t>20</w:t>
        </w:r>
        <w:r>
          <w:rPr>
            <w:noProof/>
            <w:webHidden/>
          </w:rPr>
          <w:fldChar w:fldCharType="end"/>
        </w:r>
      </w:hyperlink>
    </w:p>
    <w:p>
      <w:pPr>
        <w:pStyle w:val="TOC2"/>
      </w:pPr>
      <w:hyperlink w:anchor="_Toc300000052" w:history="1">
        <w:r>
          <w:rPr>
            <w:noProof/>
          </w:rPr>
          <w:t>12.1.</w:t>
        </w:r>
        <w:r>
          <w:rPr>
            <w:noProof/>
          </w:rPr>
          <w:tab/>
        </w:r>
        <w:r>
          <w:rPr>
            <w:noProof/>
          </w:rPr>
          <w:t xml:space="preserve">Anatomy of the home screen</w:t>
        </w:r>
        <w:r>
          <w:rPr>
            <w:noProof/>
            <w:webHidden/>
          </w:rPr>
          <w:tab/>
        </w:r>
        <w:r>
          <w:rPr>
            <w:noProof/>
            <w:webHidden/>
          </w:rPr>
          <w:fldChar w:fldCharType="begin"/>
        </w:r>
        <w:r>
          <w:rPr>
            <w:noProof/>
            <w:webHidden/>
          </w:rPr>
          <w:instrText xml:space="preserve"> PAGEREF _Toc300000052 \h </w:instrText>
        </w:r>
        <w:r>
          <w:rPr>
            <w:noProof/>
            <w:webHidden/>
          </w:rPr>
          <w:fldChar w:fldCharType="separate"/>
        </w:r>
        <w:r>
          <w:rPr>
            <w:noProof/>
            <w:webHidden/>
          </w:rPr>
          <w:t>21</w:t>
        </w:r>
        <w:r>
          <w:rPr>
            <w:noProof/>
            <w:webHidden/>
          </w:rPr>
          <w:fldChar w:fldCharType="end"/>
        </w:r>
      </w:hyperlink>
    </w:p>
    <w:p>
      <w:pPr>
        <w:pStyle w:val="TOC2"/>
      </w:pPr>
      <w:hyperlink w:anchor="_Toc300000053" w:history="1">
        <w:r>
          <w:rPr>
            <w:noProof/>
          </w:rPr>
          <w:t>12.2.</w:t>
        </w:r>
        <w:r>
          <w:rPr>
            <w:noProof/>
          </w:rPr>
          <w:tab/>
        </w:r>
        <w:r>
          <w:rPr>
            <w:noProof/>
          </w:rPr>
          <w:t xml:space="preserve">Quote form and vehicle confirmation card</w:t>
        </w:r>
        <w:r>
          <w:rPr>
            <w:noProof/>
            <w:webHidden/>
          </w:rPr>
          <w:tab/>
        </w:r>
        <w:r>
          <w:rPr>
            <w:noProof/>
            <w:webHidden/>
          </w:rPr>
          <w:fldChar w:fldCharType="begin"/>
        </w:r>
        <w:r>
          <w:rPr>
            <w:noProof/>
            <w:webHidden/>
          </w:rPr>
          <w:instrText xml:space="preserve"> PAGEREF _Toc300000053 \h </w:instrText>
        </w:r>
        <w:r>
          <w:rPr>
            <w:noProof/>
            <w:webHidden/>
          </w:rPr>
          <w:fldChar w:fldCharType="separate"/>
        </w:r>
        <w:r>
          <w:rPr>
            <w:noProof/>
            <w:webHidden/>
          </w:rPr>
          <w:t>22</w:t>
        </w:r>
        <w:r>
          <w:rPr>
            <w:noProof/>
            <w:webHidden/>
          </w:rPr>
          <w:fldChar w:fldCharType="end"/>
        </w:r>
      </w:hyperlink>
    </w:p>
    <w:p>
      <w:pPr>
        <w:pStyle w:val="TOC2"/>
      </w:pPr>
      <w:hyperlink w:anchor="_Toc300000054" w:history="1">
        <w:r>
          <w:rPr>
            <w:noProof/>
          </w:rPr>
          <w:t>12.3.</w:t>
        </w:r>
        <w:r>
          <w:rPr>
            <w:noProof/>
          </w:rPr>
          <w:tab/>
        </w:r>
        <w:r>
          <w:rPr>
            <w:noProof/>
          </w:rPr>
          <w:t xml:space="preserve">Plate tag</w:t>
        </w:r>
        <w:r>
          <w:rPr>
            <w:noProof/>
            <w:webHidden/>
          </w:rPr>
          <w:tab/>
        </w:r>
        <w:r>
          <w:rPr>
            <w:noProof/>
            <w:webHidden/>
          </w:rPr>
          <w:fldChar w:fldCharType="begin"/>
        </w:r>
        <w:r>
          <w:rPr>
            <w:noProof/>
            <w:webHidden/>
          </w:rPr>
          <w:instrText xml:space="preserve"> PAGEREF _Toc300000054 \h </w:instrText>
        </w:r>
        <w:r>
          <w:rPr>
            <w:noProof/>
            <w:webHidden/>
          </w:rPr>
          <w:fldChar w:fldCharType="separate"/>
        </w:r>
        <w:r>
          <w:rPr>
            <w:noProof/>
            <w:webHidden/>
          </w:rPr>
          <w:t>23</w:t>
        </w:r>
        <w:r>
          <w:rPr>
            <w:noProof/>
            <w:webHidden/>
          </w:rPr>
          <w:fldChar w:fldCharType="end"/>
        </w:r>
      </w:hyperlink>
    </w:p>
    <w:p>
      <w:pPr>
        <w:pStyle w:val="TOC2"/>
      </w:pPr>
      <w:hyperlink w:anchor="_Toc300000055" w:history="1">
        <w:r>
          <w:rPr>
            <w:noProof/>
          </w:rPr>
          <w:t>12.4.</w:t>
        </w:r>
        <w:r>
          <w:rPr>
            <w:noProof/>
          </w:rPr>
          <w:tab/>
        </w:r>
        <w:r>
          <w:rPr>
            <w:noProof/>
          </w:rPr>
          <w:t xml:space="preserve">Bottom tab bar</w:t>
        </w:r>
        <w:r>
          <w:rPr>
            <w:noProof/>
            <w:webHidden/>
          </w:rPr>
          <w:tab/>
        </w:r>
        <w:r>
          <w:rPr>
            <w:noProof/>
            <w:webHidden/>
          </w:rPr>
          <w:fldChar w:fldCharType="begin"/>
        </w:r>
        <w:r>
          <w:rPr>
            <w:noProof/>
            <w:webHidden/>
          </w:rPr>
          <w:instrText xml:space="preserve"> PAGEREF _Toc300000055 \h </w:instrText>
        </w:r>
        <w:r>
          <w:rPr>
            <w:noProof/>
            <w:webHidden/>
          </w:rPr>
          <w:fldChar w:fldCharType="separate"/>
        </w:r>
        <w:r>
          <w:rPr>
            <w:noProof/>
            <w:webHidden/>
          </w:rPr>
          <w:t>23</w:t>
        </w:r>
        <w:r>
          <w:rPr>
            <w:noProof/>
            <w:webHidden/>
          </w:rPr>
          <w:fldChar w:fldCharType="end"/>
        </w:r>
      </w:hyperlink>
    </w:p>
    <w:p>
      <w:pPr>
        <w:pStyle w:val="TOC2"/>
      </w:pPr>
      <w:hyperlink w:anchor="_Toc300000056" w:history="1">
        <w:r>
          <w:rPr>
            <w:noProof/>
          </w:rPr>
          <w:t>12.5.</w:t>
        </w:r>
        <w:r>
          <w:rPr>
            <w:noProof/>
          </w:rPr>
          <w:tab/>
        </w:r>
        <w:r>
          <w:rPr>
            <w:noProof/>
          </w:rPr>
          <w:t xml:space="preserve">Purchase stepper and action bar</w:t>
        </w:r>
        <w:r>
          <w:rPr>
            <w:noProof/>
            <w:webHidden/>
          </w:rPr>
          <w:tab/>
        </w:r>
        <w:r>
          <w:rPr>
            <w:noProof/>
            <w:webHidden/>
          </w:rPr>
          <w:fldChar w:fldCharType="begin"/>
        </w:r>
        <w:r>
          <w:rPr>
            <w:noProof/>
            <w:webHidden/>
          </w:rPr>
          <w:instrText xml:space="preserve"> PAGEREF _Toc300000056 \h </w:instrText>
        </w:r>
        <w:r>
          <w:rPr>
            <w:noProof/>
            <w:webHidden/>
          </w:rPr>
          <w:fldChar w:fldCharType="separate"/>
        </w:r>
        <w:r>
          <w:rPr>
            <w:noProof/>
            <w:webHidden/>
          </w:rPr>
          <w:t>23</w:t>
        </w:r>
        <w:r>
          <w:rPr>
            <w:noProof/>
            <w:webHidden/>
          </w:rPr>
          <w:fldChar w:fldCharType="end"/>
        </w:r>
      </w:hyperlink>
    </w:p>
    <w:p>
      <w:pPr>
        <w:pStyle w:val="TOC2"/>
      </w:pPr>
      <w:hyperlink w:anchor="_Toc300000057" w:history="1">
        <w:r>
          <w:rPr>
            <w:noProof/>
          </w:rPr>
          <w:t>12.6.</w:t>
        </w:r>
        <w:r>
          <w:rPr>
            <w:noProof/>
          </w:rPr>
          <w:tab/>
        </w:r>
        <w:r>
          <w:rPr>
            <w:noProof/>
          </w:rPr>
          <w:t xml:space="preserve">Bottom sheet</w:t>
        </w:r>
        <w:r>
          <w:rPr>
            <w:noProof/>
            <w:webHidden/>
          </w:rPr>
          <w:tab/>
        </w:r>
        <w:r>
          <w:rPr>
            <w:noProof/>
            <w:webHidden/>
          </w:rPr>
          <w:fldChar w:fldCharType="begin"/>
        </w:r>
        <w:r>
          <w:rPr>
            <w:noProof/>
            <w:webHidden/>
          </w:rPr>
          <w:instrText xml:space="preserve"> PAGEREF _Toc300000057 \h </w:instrText>
        </w:r>
        <w:r>
          <w:rPr>
            <w:noProof/>
            <w:webHidden/>
          </w:rPr>
          <w:fldChar w:fldCharType="separate"/>
        </w:r>
        <w:r>
          <w:rPr>
            <w:noProof/>
            <w:webHidden/>
          </w:rPr>
          <w:t>23</w:t>
        </w:r>
        <w:r>
          <w:rPr>
            <w:noProof/>
            <w:webHidden/>
          </w:rPr>
          <w:fldChar w:fldCharType="end"/>
        </w:r>
      </w:hyperlink>
    </w:p>
    <w:p>
      <w:pPr>
        <w:pStyle w:val="TOC2"/>
      </w:pPr>
      <w:hyperlink w:anchor="_Toc300000058" w:history="1">
        <w:r>
          <w:rPr>
            <w:noProof/>
          </w:rPr>
          <w:t>12.7.</w:t>
        </w:r>
        <w:r>
          <w:rPr>
            <w:noProof/>
          </w:rPr>
          <w:tab/>
        </w:r>
        <w:r>
          <w:rPr>
            <w:noProof/>
          </w:rPr>
          <w:t xml:space="preserve">Support sheet and floating support button</w:t>
        </w:r>
        <w:r>
          <w:rPr>
            <w:noProof/>
            <w:webHidden/>
          </w:rPr>
          <w:tab/>
        </w:r>
        <w:r>
          <w:rPr>
            <w:noProof/>
            <w:webHidden/>
          </w:rPr>
          <w:fldChar w:fldCharType="begin"/>
        </w:r>
        <w:r>
          <w:rPr>
            <w:noProof/>
            <w:webHidden/>
          </w:rPr>
          <w:instrText xml:space="preserve"> PAGEREF _Toc300000058 \h </w:instrText>
        </w:r>
        <w:r>
          <w:rPr>
            <w:noProof/>
            <w:webHidden/>
          </w:rPr>
          <w:fldChar w:fldCharType="separate"/>
        </w:r>
        <w:r>
          <w:rPr>
            <w:noProof/>
            <w:webHidden/>
          </w:rPr>
          <w:t>23</w:t>
        </w:r>
        <w:r>
          <w:rPr>
            <w:noProof/>
            <w:webHidden/>
          </w:rPr>
          <w:fldChar w:fldCharType="end"/>
        </w:r>
      </w:hyperlink>
    </w:p>
    <w:p>
      <w:pPr>
        <w:pStyle w:val="TOC2"/>
      </w:pPr>
      <w:hyperlink w:anchor="_Toc300000059" w:history="1">
        <w:r>
          <w:rPr>
            <w:noProof/>
          </w:rPr>
          <w:t>12.8.</w:t>
        </w:r>
        <w:r>
          <w:rPr>
            <w:noProof/>
          </w:rPr>
          <w:tab/>
        </w:r>
        <w:r>
          <w:rPr>
            <w:noProof/>
          </w:rPr>
          <w:t xml:space="preserve">Brand footer</w:t>
        </w:r>
        <w:r>
          <w:rPr>
            <w:noProof/>
            <w:webHidden/>
          </w:rPr>
          <w:tab/>
        </w:r>
        <w:r>
          <w:rPr>
            <w:noProof/>
            <w:webHidden/>
          </w:rPr>
          <w:fldChar w:fldCharType="begin"/>
        </w:r>
        <w:r>
          <w:rPr>
            <w:noProof/>
            <w:webHidden/>
          </w:rPr>
          <w:instrText xml:space="preserve"> PAGEREF _Toc300000059 \h </w:instrText>
        </w:r>
        <w:r>
          <w:rPr>
            <w:noProof/>
            <w:webHidden/>
          </w:rPr>
          <w:fldChar w:fldCharType="separate"/>
        </w:r>
        <w:r>
          <w:rPr>
            <w:noProof/>
            <w:webHidden/>
          </w:rPr>
          <w:t>24</w:t>
        </w:r>
        <w:r>
          <w:rPr>
            <w:noProof/>
            <w:webHidden/>
          </w:rPr>
          <w:fldChar w:fldCharType="end"/>
        </w:r>
      </w:hyperlink>
    </w:p>
    <w:p>
      <w:pPr>
        <w:pStyle w:val="TOC2"/>
      </w:pPr>
      <w:hyperlink w:anchor="_Toc300000060" w:history="1">
        <w:r>
          <w:rPr>
            <w:noProof/>
          </w:rPr>
          <w:t>12.9.</w:t>
        </w:r>
        <w:r>
          <w:rPr>
            <w:noProof/>
          </w:rPr>
          <w:tab/>
        </w:r>
        <w:r>
          <w:rPr>
            <w:noProof/>
          </w:rPr>
          <w:t xml:space="preserve">Other customer components</w:t>
        </w:r>
        <w:r>
          <w:rPr>
            <w:noProof/>
            <w:webHidden/>
          </w:rPr>
          <w:tab/>
        </w:r>
        <w:r>
          <w:rPr>
            <w:noProof/>
            <w:webHidden/>
          </w:rPr>
          <w:fldChar w:fldCharType="begin"/>
        </w:r>
        <w:r>
          <w:rPr>
            <w:noProof/>
            <w:webHidden/>
          </w:rPr>
          <w:instrText xml:space="preserve"> PAGEREF _Toc300000060 \h </w:instrText>
        </w:r>
        <w:r>
          <w:rPr>
            <w:noProof/>
            <w:webHidden/>
          </w:rPr>
          <w:fldChar w:fldCharType="separate"/>
        </w:r>
        <w:r>
          <w:rPr>
            <w:noProof/>
            <w:webHidden/>
          </w:rPr>
          <w:t>24</w:t>
        </w:r>
        <w:r>
          <w:rPr>
            <w:noProof/>
            <w:webHidden/>
          </w:rPr>
          <w:fldChar w:fldCharType="end"/>
        </w:r>
      </w:hyperlink>
    </w:p>
    <w:p>
      <w:pPr>
        <w:pStyle w:val="TOC1"/>
      </w:pPr>
      <w:hyperlink w:anchor="_Toc300000061" w:history="1">
        <w:r>
          <w:rPr>
            <w:noProof/>
          </w:rPr>
          <w:t>13.</w:t>
        </w:r>
        <w:r>
          <w:rPr>
            <w:noProof/>
          </w:rPr>
          <w:tab/>
        </w:r>
        <w:r>
          <w:rPr>
            <w:noProof/>
          </w:rPr>
          <w:t xml:space="preserve">Dark theme</w:t>
        </w:r>
        <w:r>
          <w:rPr>
            <w:noProof/>
            <w:webHidden/>
          </w:rPr>
          <w:tab/>
        </w:r>
        <w:r>
          <w:rPr>
            <w:noProof/>
            <w:webHidden/>
          </w:rPr>
          <w:fldChar w:fldCharType="begin"/>
        </w:r>
        <w:r>
          <w:rPr>
            <w:noProof/>
            <w:webHidden/>
          </w:rPr>
          <w:instrText xml:space="preserve"> PAGEREF _Toc300000061 \h </w:instrText>
        </w:r>
        <w:r>
          <w:rPr>
            <w:noProof/>
            <w:webHidden/>
          </w:rPr>
          <w:fldChar w:fldCharType="separate"/>
        </w:r>
        <w:r>
          <w:rPr>
            <w:noProof/>
            <w:webHidden/>
          </w:rPr>
          <w:t>24</w:t>
        </w:r>
        <w:r>
          <w:rPr>
            <w:noProof/>
            <w:webHidden/>
          </w:rPr>
          <w:fldChar w:fldCharType="end"/>
        </w:r>
      </w:hyperlink>
    </w:p>
    <w:p>
      <w:pPr>
        <w:pStyle w:val="TOC1"/>
      </w:pPr>
      <w:hyperlink w:anchor="_Toc300000062" w:history="1">
        <w:r>
          <w:rPr>
            <w:noProof/>
          </w:rPr>
          <w:t>14.</w:t>
        </w:r>
        <w:r>
          <w:rPr>
            <w:noProof/>
          </w:rPr>
          <w:tab/>
        </w:r>
        <w:r>
          <w:rPr>
            <w:noProof/>
          </w:rPr>
          <w:t xml:space="preserve">Governance of the design system</w:t>
        </w:r>
        <w:r>
          <w:rPr>
            <w:noProof/>
            <w:webHidden/>
          </w:rPr>
          <w:tab/>
        </w:r>
        <w:r>
          <w:rPr>
            <w:noProof/>
            <w:webHidden/>
          </w:rPr>
          <w:fldChar w:fldCharType="begin"/>
        </w:r>
        <w:r>
          <w:rPr>
            <w:noProof/>
            <w:webHidden/>
          </w:rPr>
          <w:instrText xml:space="preserve"> PAGEREF _Toc300000062 \h </w:instrText>
        </w:r>
        <w:r>
          <w:rPr>
            <w:noProof/>
            <w:webHidden/>
          </w:rPr>
          <w:fldChar w:fldCharType="separate"/>
        </w:r>
        <w:r>
          <w:rPr>
            <w:noProof/>
            <w:webHidden/>
          </w:rPr>
          <w:t>25</w:t>
        </w:r>
        <w:r>
          <w:rPr>
            <w:noProof/>
            <w:webHidden/>
          </w:rPr>
          <w:fldChar w:fldCharType="end"/>
        </w:r>
      </w:hyperlink>
    </w:p>
    <w:p>
      <w:pPr>
        <w:pStyle w:val="TOC1"/>
      </w:pPr>
      <w:hyperlink w:anchor="_Toc300000063" w:history="1">
        <w:r>
          <w:rPr>
            <w:noProof/>
          </w:rPr>
          <w:t>15.</w:t>
        </w:r>
        <w:r>
          <w:rPr>
            <w:noProof/>
          </w:rPr>
          <w:tab/>
        </w:r>
        <w:r>
          <w:rPr>
            <w:noProof/>
          </w:rPr>
          <w:t xml:space="preserve">Appendix</w:t>
        </w:r>
        <w:r>
          <w:rPr>
            <w:noProof/>
            <w:webHidden/>
          </w:rPr>
          <w:tab/>
        </w:r>
        <w:r>
          <w:rPr>
            <w:noProof/>
            <w:webHidden/>
          </w:rPr>
          <w:fldChar w:fldCharType="begin"/>
        </w:r>
        <w:r>
          <w:rPr>
            <w:noProof/>
            <w:webHidden/>
          </w:rPr>
          <w:instrText xml:space="preserve"> PAGEREF _Toc300000063 \h </w:instrText>
        </w:r>
        <w:r>
          <w:rPr>
            <w:noProof/>
            <w:webHidden/>
          </w:rPr>
          <w:fldChar w:fldCharType="separate"/>
        </w:r>
        <w:r>
          <w:rPr>
            <w:noProof/>
            <w:webHidden/>
          </w:rPr>
          <w:t>26</w:t>
        </w:r>
        <w:r>
          <w:rPr>
            <w:noProof/>
            <w:webHidden/>
          </w:rPr>
          <w:fldChar w:fldCharType="end"/>
        </w:r>
      </w:hyperlink>
    </w:p>
    <w:p>
      <w:pPr>
        <w:pStyle w:val="TOC2"/>
      </w:pPr>
      <w:hyperlink w:anchor="_Toc300000064" w:history="1">
        <w:r>
          <w:rPr>
            <w:noProof/>
          </w:rPr>
          <w:t>15.1.</w:t>
        </w:r>
        <w:r>
          <w:rPr>
            <w:noProof/>
          </w:rPr>
          <w:tab/>
        </w:r>
        <w:r>
          <w:rPr>
            <w:noProof/>
          </w:rPr>
          <w:t xml:space="preserve">Contrast checks</w:t>
        </w:r>
        <w:r>
          <w:rPr>
            <w:noProof/>
            <w:webHidden/>
          </w:rPr>
          <w:tab/>
        </w:r>
        <w:r>
          <w:rPr>
            <w:noProof/>
            <w:webHidden/>
          </w:rPr>
          <w:fldChar w:fldCharType="begin"/>
        </w:r>
        <w:r>
          <w:rPr>
            <w:noProof/>
            <w:webHidden/>
          </w:rPr>
          <w:instrText xml:space="preserve"> PAGEREF _Toc300000064 \h </w:instrText>
        </w:r>
        <w:r>
          <w:rPr>
            <w:noProof/>
            <w:webHidden/>
          </w:rPr>
          <w:fldChar w:fldCharType="separate"/>
        </w:r>
        <w:r>
          <w:rPr>
            <w:noProof/>
            <w:webHidden/>
          </w:rPr>
          <w:t>26</w:t>
        </w:r>
        <w:r>
          <w:rPr>
            <w:noProof/>
            <w:webHidden/>
          </w:rPr>
          <w:fldChar w:fldCharType="end"/>
        </w:r>
      </w:hyperlink>
    </w:p>
    <w:p>
      <w:pPr>
        <w:pStyle w:val="TOC2"/>
      </w:pPr>
      <w:hyperlink w:anchor="_Toc300000065" w:history="1">
        <w:r>
          <w:rPr>
            <w:noProof/>
          </w:rPr>
          <w:t>15.2.</w:t>
        </w:r>
        <w:r>
          <w:rPr>
            <w:noProof/>
          </w:rPr>
          <w:tab/>
        </w:r>
        <w:r>
          <w:rPr>
            <w:noProof/>
          </w:rPr>
          <w:t xml:space="preserve">Where things live</w:t>
        </w:r>
        <w:r>
          <w:rPr>
            <w:noProof/>
            <w:webHidden/>
          </w:rPr>
          <w:tab/>
        </w:r>
        <w:r>
          <w:rPr>
            <w:noProof/>
            <w:webHidden/>
          </w:rPr>
          <w:fldChar w:fldCharType="begin"/>
        </w:r>
        <w:r>
          <w:rPr>
            <w:noProof/>
            <w:webHidden/>
          </w:rPr>
          <w:instrText xml:space="preserve"> PAGEREF _Toc300000065 \h </w:instrText>
        </w:r>
        <w:r>
          <w:rPr>
            <w:noProof/>
            <w:webHidden/>
          </w:rPr>
          <w:fldChar w:fldCharType="separate"/>
        </w:r>
        <w:r>
          <w:rPr>
            <w:noProof/>
            <w:webHidden/>
          </w:rPr>
          <w:t>26</w:t>
        </w:r>
        <w:r>
          <w:rPr>
            <w:noProof/>
            <w:webHidden/>
          </w:rPr>
          <w:fldChar w:fldCharType="end"/>
        </w:r>
      </w:hyperlink>
    </w:p>
    <w:p>
      <w:pPr>
        <w:pStyle w:val="TOC1"/>
      </w:pPr>
      <w:hyperlink w:anchor="_Toc300000066" w:history="1">
        <w:r>
          <w:rPr>
            <w:noProof/>
          </w:rPr>
          <w:t>16.</w:t>
        </w:r>
        <w:r>
          <w:rPr>
            <w:noProof/>
          </w:rPr>
          <w:tab/>
        </w:r>
        <w:r>
          <w:rPr>
            <w:noProof/>
          </w:rPr>
          <w:t xml:space="preserve">Sign-Off</w:t>
        </w:r>
        <w:r>
          <w:rPr>
            <w:noProof/>
            <w:webHidden/>
          </w:rPr>
          <w:tab/>
        </w:r>
        <w:r>
          <w:rPr>
            <w:noProof/>
            <w:webHidden/>
          </w:rPr>
          <w:fldChar w:fldCharType="begin"/>
        </w:r>
        <w:r>
          <w:rPr>
            <w:noProof/>
            <w:webHidden/>
          </w:rPr>
          <w:instrText xml:space="preserve"> PAGEREF _Toc300000066 \h </w:instrText>
        </w:r>
        <w:r>
          <w:rPr>
            <w:noProof/>
            <w:webHidden/>
          </w:rPr>
          <w:fldChar w:fldCharType="separate"/>
        </w:r>
        <w:r>
          <w:rPr>
            <w:noProof/>
            <w:webHidden/>
          </w:rPr>
          <w:t>27</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01"/>
        <w:gridCol w:w="925"/>
        <w:gridCol w:w="1700"/>
        <w:gridCol w:w="2000"/>
        <w:gridCol w:w="2000"/>
        <w:gridCol w:w="1201"/>
      </w:tblGrid>
      <w:tr w:rsidR="002B183A" w14:paraId="4E198CD6" w14:textId="77777777" w:rsidTr="002923F3">
        <w:trPr>
          <w:cantSplit/>
          <w:trHeight w:val="440"/>
          <w:tblHeader/>
        </w:trPr>
        <w:tc>
          <w:tcPr>
            <w:tcW w:w="1201"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25"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00"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2000"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00"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01"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01"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25"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00"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Business Analysis and User Experience</w:t>
            </w:r>
          </w:p>
        </w:tc>
        <w:tc>
          <w:tcPr>
            <w:tcW w:w="2000"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Marketing and Product Owner</w:t>
            </w:r>
          </w:p>
        </w:tc>
        <w:tc>
          <w:tcPr>
            <w:tcW w:w="2000"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01"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411"/>
        <w:gridCol w:w="7616"/>
      </w:tblGrid>
      <w:tr w:rsidR="002B183A" w14:paraId="388F227F" w14:textId="77777777" w:rsidTr="002923F3">
        <w:trPr>
          <w:cantSplit/>
          <w:trHeight w:val="440"/>
          <w:tblHeader/>
        </w:trPr>
        <w:tc>
          <w:tcPr>
            <w:tcW w:w="1411"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616"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CSP</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Content Security Policy (browser rule that blocks external and inline code)</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CSV</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Comma-separated values (spreadsheet export)</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KPI</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performance indicator</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OFL</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SIL Open Font License</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PNG</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Portable Network Graphics (image file)</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SLA</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Service level agreement</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SVG</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Scalable Vector Graphics</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Value-added tax</w:t>
            </w:r>
          </w:p>
        </w:tc>
      </w:tr>
      <w:tr w:rsidR="002B183A" w:rsidRPr="00BB346A" w14:paraId="73CFB63E" w14:textId="77777777" w:rsidTr="002923F3">
        <w:trPr>
          <w:cantSplit/>
          <w:trHeight w:val="449"/>
        </w:trPr>
        <w:tc>
          <w:tcPr>
            <w:tcW w:w="14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WCAG</w:t>
            </w:r>
          </w:p>
        </w:tc>
        <w:tc>
          <w:tcPr>
            <w:tcW w:w="76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Content Accessibility Guidelines</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defines the visual language and the component library of the TASCO Growth Platform. It records the design tokens as they are implemented, explains how the TASCO Insurance brand from baohiemtasco.vn is carried into the staff console and the customer app, and gives usage rules for every shared component so that new screens look and behave like the existing ones.</w:t>
      </w:r>
    </w:p>
    <w:p>
      <w:pPr>
        <w:pStyle w:val="Heading2"/>
      </w:pPr>
      <w:bookmarkStart w:id="9" w:name="_Toc300000005"/>
      <w:r>
        <w:t xml:space="preserve">Scope</w:t>
      </w:r>
      <w:bookmarkEnd w:id="9"/>
    </w:p>
    <w:p>
      <w:pPr>
        <w:pStyle w:val="FirstParagraph"/>
      </w:pPr>
      <w:r>
        <w:t xml:space="preserve">The staff console, the customer app in all four hosts (VETC app, Zalo Mini App, TASCO app and TASCO website) and the public certificate check page. Interaction rules, wording, formats and accessibility commitments are in TGP-UX-02; navigation and the screen inventory are in TGP-UX-03.</w:t>
      </w:r>
    </w:p>
    <w:p>
      <w:pPr>
        <w:pStyle w:val="BodyText"/>
      </w:pPr>
      <w:r>
        <w:t xml:space="preserve">Every value in this document is taken from the code delivered for user acceptance testing. Where a value is a placeholder until TASCO supplies an asset, it says so and the item is listed for sign-off.</w:t>
      </w:r>
    </w:p>
    <w:p>
      <w:pPr>
        <w:pStyle w:val="Heading2"/>
      </w:pPr>
      <w:bookmarkStart w:id="10" w:name="_Toc300000006"/>
      <w:r>
        <w:t xml:space="preserve">Audience</w:t>
      </w:r>
      <w:bookmarkEnd w:id="10"/>
    </w:p>
    <w:p>
      <w:pPr>
        <w:pStyle w:val="FirstParagraph"/>
      </w:pPr>
      <w:r>
        <w:t xml:space="preserve">TASCO marketing and the product owner, who confirm the brand use; designers and front-end engineers at iorta TechNXT and TASCO, who build new screens; QA, who checks screens against these rules.</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56"/>
        <w:gridCol w:w="6771"/>
      </w:tblGrid>
      <w:tr>
        <w:trPr>
          <w:cantSplit/>
          <w:tblHeader/>
        </w:trPr>
        <w:tc>
          <w:tcPr>
            <w:tcW w:w="2256" w:type="dxa"/>
            <w:shd w:val="clear" w:color="auto" w:fill="0F4761"/>
            <w:vAlign w:val="center"/>
          </w:tcPr>
          <w:p>
            <w:pPr>
              <w:pStyle w:val="TableHeading"/>
              <w:jc w:val="left"/>
            </w:pPr>
            <w:r>
              <w:rPr>
                <w:color w:val="FFFFFF"/>
              </w:rPr>
              <w:t xml:space="preserve">ID</w:t>
            </w:r>
          </w:p>
        </w:tc>
        <w:tc>
          <w:tcPr>
            <w:tcW w:w="6771" w:type="dxa"/>
            <w:shd w:val="clear" w:color="auto" w:fill="0F4761"/>
            <w:vAlign w:val="center"/>
          </w:tcPr>
          <w:p>
            <w:pPr>
              <w:pStyle w:val="TableHeading"/>
              <w:jc w:val="left"/>
            </w:pPr>
            <w:r>
              <w:rPr>
                <w:color w:val="FFFFFF"/>
              </w:rPr>
              <w:t xml:space="preserve">Title</w:t>
            </w:r>
          </w:p>
        </w:tc>
      </w:tr>
      <w:tr>
        <w:trPr>
          <w:cantSplit/>
        </w:trPr>
        <w:tc>
          <w:tcPr>
            <w:tcW w:w="2256" w:type="dxa"/>
            <w:noWrap/>
            <w:vAlign w:val="top"/>
          </w:tcPr>
          <w:p>
            <w:pPr>
              <w:pStyle w:val="TableText"/>
              <w:jc w:val="left"/>
            </w:pPr>
            <w:r>
              <w:t xml:space="preserve">TGP-UX-02</w:t>
            </w:r>
          </w:p>
        </w:tc>
        <w:tc>
          <w:tcPr>
            <w:tcW w:w="6771" w:type="dxa"/>
            <w:vAlign w:val="top"/>
          </w:tcPr>
          <w:p>
            <w:pPr>
              <w:pStyle w:val="TableText"/>
              <w:jc w:val="left"/>
            </w:pPr>
            <w:r>
              <w:t xml:space="preserve">UX Standards and Accessibility</w:t>
            </w:r>
          </w:p>
        </w:tc>
      </w:tr>
      <w:tr>
        <w:trPr>
          <w:cantSplit/>
        </w:trPr>
        <w:tc>
          <w:tcPr>
            <w:tcW w:w="2256" w:type="dxa"/>
            <w:shd w:val="clear" w:color="auto" w:fill="F4F7FB"/>
            <w:noWrap/>
            <w:vAlign w:val="top"/>
          </w:tcPr>
          <w:p>
            <w:pPr>
              <w:pStyle w:val="TableText"/>
              <w:jc w:val="left"/>
            </w:pPr>
            <w:r>
              <w:t xml:space="preserve">TGP-UX-03</w:t>
            </w:r>
          </w:p>
        </w:tc>
        <w:tc>
          <w:tcPr>
            <w:tcW w:w="6771" w:type="dxa"/>
            <w:shd w:val="clear" w:color="auto" w:fill="F4F7FB"/>
            <w:vAlign w:val="top"/>
          </w:tcPr>
          <w:p>
            <w:pPr>
              <w:pStyle w:val="TableText"/>
              <w:jc w:val="left"/>
            </w:pPr>
            <w:r>
              <w:t xml:space="preserve">Information Architecture and Navigation</w:t>
            </w:r>
          </w:p>
        </w:tc>
      </w:tr>
      <w:tr>
        <w:trPr>
          <w:cantSplit/>
        </w:trPr>
        <w:tc>
          <w:tcPr>
            <w:tcW w:w="2256" w:type="dxa"/>
            <w:noWrap/>
            <w:vAlign w:val="top"/>
          </w:tcPr>
          <w:p>
            <w:pPr>
              <w:pStyle w:val="TableText"/>
              <w:jc w:val="left"/>
            </w:pPr>
            <w:r>
              <w:t xml:space="preserve">TGP-MAN-01</w:t>
            </w:r>
          </w:p>
        </w:tc>
        <w:tc>
          <w:tcPr>
            <w:tcW w:w="6771" w:type="dxa"/>
            <w:vAlign w:val="top"/>
          </w:tcPr>
          <w:p>
            <w:pPr>
              <w:pStyle w:val="TableText"/>
              <w:jc w:val="left"/>
            </w:pPr>
            <w:r>
              <w:t xml:space="preserve">Staff Console User Manual</w:t>
            </w:r>
          </w:p>
        </w:tc>
      </w:tr>
      <w:tr>
        <w:trPr>
          <w:cantSplit/>
        </w:trPr>
        <w:tc>
          <w:tcPr>
            <w:tcW w:w="2256" w:type="dxa"/>
            <w:shd w:val="clear" w:color="auto" w:fill="F4F7FB"/>
            <w:noWrap/>
            <w:vAlign w:val="top"/>
          </w:tcPr>
          <w:p>
            <w:pPr>
              <w:pStyle w:val="TableText"/>
              <w:jc w:val="left"/>
            </w:pPr>
            <w:r>
              <w:t xml:space="preserve">TGP-MAN-02</w:t>
            </w:r>
          </w:p>
        </w:tc>
        <w:tc>
          <w:tcPr>
            <w:tcW w:w="6771" w:type="dxa"/>
            <w:shd w:val="clear" w:color="auto" w:fill="F4F7FB"/>
            <w:vAlign w:val="top"/>
          </w:tcPr>
          <w:p>
            <w:pPr>
              <w:pStyle w:val="TableText"/>
              <w:jc w:val="left"/>
            </w:pPr>
            <w:r>
              <w:t xml:space="preserve">Customer App Guide</w:t>
            </w:r>
          </w:p>
        </w:tc>
      </w:tr>
      <w:tr>
        <w:trPr>
          <w:cantSplit/>
        </w:trPr>
        <w:tc>
          <w:tcPr>
            <w:tcW w:w="2256" w:type="dxa"/>
            <w:noWrap/>
            <w:vAlign w:val="top"/>
          </w:tcPr>
          <w:p>
            <w:pPr>
              <w:pStyle w:val="TableText"/>
              <w:jc w:val="left"/>
            </w:pPr>
            <w:r>
              <w:t xml:space="preserve">TGP-ARC-07</w:t>
            </w:r>
          </w:p>
        </w:tc>
        <w:tc>
          <w:tcPr>
            <w:tcW w:w="6771" w:type="dxa"/>
            <w:vAlign w:val="top"/>
          </w:tcPr>
          <w:p>
            <w:pPr>
              <w:pStyle w:val="TableText"/>
              <w:jc w:val="left"/>
            </w:pPr>
            <w:r>
              <w:t xml:space="preserve">Architecture Decision Records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Design principles</w:t>
      </w:r>
      <w:bookmarkEnd w:id="12"/>
    </w:p>
    <w:p>
      <w:pPr>
        <w:pStyle w:val="FirstParagraph"/>
      </w:pPr>
      <w:r>
        <w:t xml:space="preserve">The redesign answered one complaint from TASCO: the first console looked technical and generated rather than designed. Six principles guide every screen since.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74"/>
        <w:gridCol w:w="6953"/>
      </w:tblGrid>
      <w:tr>
        <w:trPr>
          <w:cantSplit/>
          <w:tblHeader/>
        </w:trPr>
        <w:tc>
          <w:tcPr>
            <w:tcW w:w="2074" w:type="dxa"/>
            <w:shd w:val="clear" w:color="auto" w:fill="0F4761"/>
            <w:vAlign w:val="center"/>
          </w:tcPr>
          <w:p>
            <w:pPr>
              <w:pStyle w:val="TableHeading"/>
              <w:jc w:val="left"/>
            </w:pPr>
            <w:r>
              <w:rPr>
                <w:color w:val="FFFFFF"/>
              </w:rPr>
              <w:t xml:space="preserve">Principle</w:t>
            </w:r>
          </w:p>
        </w:tc>
        <w:tc>
          <w:tcPr>
            <w:tcW w:w="6953" w:type="dxa"/>
            <w:shd w:val="clear" w:color="auto" w:fill="0F4761"/>
            <w:vAlign w:val="center"/>
          </w:tcPr>
          <w:p>
            <w:pPr>
              <w:pStyle w:val="TableHeading"/>
              <w:jc w:val="left"/>
            </w:pPr>
            <w:r>
              <w:rPr>
                <w:color w:val="FFFFFF"/>
              </w:rPr>
              <w:t xml:space="preserve">What it means on screen</w:t>
            </w:r>
          </w:p>
        </w:tc>
      </w:tr>
      <w:tr>
        <w:trPr>
          <w:cantSplit/>
        </w:trPr>
        <w:tc>
          <w:tcPr>
            <w:tcW w:w="2074" w:type="dxa"/>
            <w:vAlign w:val="top"/>
          </w:tcPr>
          <w:p>
            <w:pPr>
              <w:pStyle w:val="TableText"/>
              <w:jc w:val="left"/>
            </w:pPr>
            <w:r>
              <w:t xml:space="preserve">Business language only</w:t>
            </w:r>
          </w:p>
        </w:tc>
        <w:tc>
          <w:tcPr>
            <w:tcW w:w="6953" w:type="dxa"/>
            <w:vAlign w:val="top"/>
          </w:tcPr>
          <w:p>
            <w:pPr>
              <w:pStyle w:val="TableText"/>
              <w:jc w:val="left"/>
            </w:pPr>
            <w:r>
              <w:t xml:space="preserve">Labels come from the label dictionary in Vietnamese and English. No internal codes, JSON, hashes or record identifiers outside a collapsed</w:t>
            </w:r>
            <w:r>
              <w:t xml:space="preserve"> </w:t>
            </w:r>
            <w:r>
              <w:t xml:space="preserve">“</w:t>
            </w:r>
            <w:r>
              <w:t xml:space="preserve">Technical details</w:t>
            </w:r>
            <w:r>
              <w:t xml:space="preserve">”</w:t>
            </w:r>
            <w:r>
              <w:t xml:space="preserve"> </w:t>
            </w:r>
            <w:r>
              <w:t xml:space="preserve">section for technical roles.</w:t>
            </w:r>
          </w:p>
        </w:tc>
      </w:tr>
      <w:tr>
        <w:trPr>
          <w:cantSplit/>
        </w:trPr>
        <w:tc>
          <w:tcPr>
            <w:tcW w:w="2074" w:type="dxa"/>
            <w:shd w:val="clear" w:color="auto" w:fill="F4F7FB"/>
            <w:vAlign w:val="top"/>
          </w:tcPr>
          <w:p>
            <w:pPr>
              <w:pStyle w:val="TableText"/>
              <w:jc w:val="left"/>
            </w:pPr>
            <w:r>
              <w:t xml:space="preserve">One next step</w:t>
            </w:r>
          </w:p>
        </w:tc>
        <w:tc>
          <w:tcPr>
            <w:tcW w:w="6953" w:type="dxa"/>
            <w:shd w:val="clear" w:color="auto" w:fill="F4F7FB"/>
            <w:vAlign w:val="top"/>
          </w:tcPr>
          <w:p>
            <w:pPr>
              <w:pStyle w:val="TableText"/>
              <w:jc w:val="left"/>
            </w:pPr>
            <w:r>
              <w:t xml:space="preserve">Each row, card or step has one primary action named with a verb. Secondary actions sit in a menu.</w:t>
            </w:r>
          </w:p>
        </w:tc>
      </w:tr>
      <w:tr>
        <w:trPr>
          <w:cantSplit/>
        </w:trPr>
        <w:tc>
          <w:tcPr>
            <w:tcW w:w="2074" w:type="dxa"/>
            <w:vAlign w:val="top"/>
          </w:tcPr>
          <w:p>
            <w:pPr>
              <w:pStyle w:val="TableText"/>
              <w:jc w:val="left"/>
            </w:pPr>
            <w:r>
              <w:t xml:space="preserve">Status once</w:t>
            </w:r>
          </w:p>
        </w:tc>
        <w:tc>
          <w:tcPr>
            <w:tcW w:w="6953" w:type="dxa"/>
            <w:vAlign w:val="top"/>
          </w:tcPr>
          <w:p>
            <w:pPr>
              <w:pStyle w:val="TableText"/>
              <w:jc w:val="left"/>
            </w:pPr>
            <w:r>
              <w:t xml:space="preserve">A record’s state appears once, as a chip. Progress is shown with a stepper, deadlines with an SLA chip.</w:t>
            </w:r>
          </w:p>
        </w:tc>
      </w:tr>
      <w:tr>
        <w:trPr>
          <w:cantSplit/>
        </w:trPr>
        <w:tc>
          <w:tcPr>
            <w:tcW w:w="2074" w:type="dxa"/>
            <w:shd w:val="clear" w:color="auto" w:fill="F4F7FB"/>
            <w:vAlign w:val="top"/>
          </w:tcPr>
          <w:p>
            <w:pPr>
              <w:pStyle w:val="TableText"/>
              <w:jc w:val="left"/>
            </w:pPr>
            <w:r>
              <w:t xml:space="preserve">Calm density</w:t>
            </w:r>
          </w:p>
        </w:tc>
        <w:tc>
          <w:tcPr>
            <w:tcW w:w="6953" w:type="dxa"/>
            <w:shd w:val="clear" w:color="auto" w:fill="F4F7FB"/>
            <w:vAlign w:val="top"/>
          </w:tcPr>
          <w:p>
            <w:pPr>
              <w:pStyle w:val="TableText"/>
              <w:jc w:val="left"/>
            </w:pPr>
            <w:r>
              <w:t xml:space="preserve">White cards on a light grey page, a 24 px grid, Inter for dense data and no paragraphs inside cards.</w:t>
            </w:r>
          </w:p>
        </w:tc>
      </w:tr>
      <w:tr>
        <w:trPr>
          <w:cantSplit/>
        </w:trPr>
        <w:tc>
          <w:tcPr>
            <w:tcW w:w="2074" w:type="dxa"/>
            <w:vAlign w:val="top"/>
          </w:tcPr>
          <w:p>
            <w:pPr>
              <w:pStyle w:val="TableText"/>
              <w:jc w:val="left"/>
            </w:pPr>
            <w:r>
              <w:t xml:space="preserve">Brand on surfaces, contrast in the ink</w:t>
            </w:r>
          </w:p>
        </w:tc>
        <w:tc>
          <w:tcPr>
            <w:tcW w:w="6953" w:type="dxa"/>
            <w:vAlign w:val="top"/>
          </w:tcPr>
          <w:p>
            <w:pPr>
              <w:pStyle w:val="TableText"/>
              <w:jc w:val="left"/>
            </w:pPr>
            <w:r>
              <w:t xml:space="preserve">The light TASCO teal fills large surfaces; text and filled buttons use darker teals that pass WCAG 2.2 AA.</w:t>
            </w:r>
          </w:p>
        </w:tc>
      </w:tr>
      <w:tr>
        <w:trPr>
          <w:cantSplit/>
        </w:trPr>
        <w:tc>
          <w:tcPr>
            <w:tcW w:w="2074" w:type="dxa"/>
            <w:shd w:val="clear" w:color="auto" w:fill="F4F7FB"/>
            <w:vAlign w:val="top"/>
          </w:tcPr>
          <w:p>
            <w:pPr>
              <w:pStyle w:val="TableText"/>
              <w:jc w:val="left"/>
            </w:pPr>
            <w:r>
              <w:t xml:space="preserve">One component library</w:t>
            </w:r>
          </w:p>
        </w:tc>
        <w:tc>
          <w:tcPr>
            <w:tcW w:w="6953" w:type="dxa"/>
            <w:shd w:val="clear" w:color="auto" w:fill="F4F7FB"/>
            <w:vAlign w:val="top"/>
          </w:tcPr>
          <w:p>
            <w:pPr>
              <w:pStyle w:val="TableText"/>
              <w:jc w:val="left"/>
            </w:pPr>
            <w:r>
              <w:t xml:space="preserve">Every page is built from the same components, so a pattern learnt once works everywhere.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Brand foundations</w:t>
      </w:r>
      <w:bookmarkEnd w:id="13"/>
    </w:p>
    <w:p>
      <w:pPr>
        <w:pStyle w:val="Heading2"/>
      </w:pPr>
      <w:bookmarkStart w:id="14" w:name="_Toc300000010"/>
      <w:r>
        <w:t xml:space="preserve">Alignment with baohiemtasco.vn</w:t>
      </w:r>
      <w:bookmarkEnd w:id="14"/>
    </w:p>
    <w:p>
      <w:pPr>
        <w:pStyle w:val="FirstParagraph"/>
      </w:pPr>
      <w:r>
        <w:t xml:space="preserve">TASCO asked for the platform to feel like a TASCO product. The visual language follows the TASCO Insurance website and the e.baohiemtasco.vn quote form.</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493"/>
        <w:gridCol w:w="4534"/>
      </w:tblGrid>
      <w:tr>
        <w:trPr>
          <w:cantSplit/>
          <w:tblHeader/>
        </w:trPr>
        <w:tc>
          <w:tcPr>
            <w:tcW w:w="4493" w:type="dxa"/>
            <w:shd w:val="clear" w:color="auto" w:fill="0F4761"/>
            <w:vAlign w:val="center"/>
          </w:tcPr>
          <w:p>
            <w:pPr>
              <w:pStyle w:val="TableHeading"/>
              <w:jc w:val="left"/>
            </w:pPr>
            <w:r>
              <w:rPr>
                <w:color w:val="FFFFFF"/>
              </w:rPr>
              <w:t xml:space="preserve">Website element</w:t>
            </w:r>
          </w:p>
        </w:tc>
        <w:tc>
          <w:tcPr>
            <w:tcW w:w="4534" w:type="dxa"/>
            <w:shd w:val="clear" w:color="auto" w:fill="0F4761"/>
            <w:vAlign w:val="center"/>
          </w:tcPr>
          <w:p>
            <w:pPr>
              <w:pStyle w:val="TableHeading"/>
              <w:jc w:val="left"/>
            </w:pPr>
            <w:r>
              <w:rPr>
                <w:color w:val="FFFFFF"/>
              </w:rPr>
              <w:t xml:space="preserve">Where it appears in the platform</w:t>
            </w:r>
          </w:p>
        </w:tc>
      </w:tr>
      <w:tr>
        <w:trPr>
          <w:cantSplit/>
        </w:trPr>
        <w:tc>
          <w:tcPr>
            <w:tcW w:w="4493" w:type="dxa"/>
            <w:vAlign w:val="top"/>
          </w:tcPr>
          <w:p>
            <w:pPr>
              <w:pStyle w:val="TableText"/>
              <w:jc w:val="left"/>
            </w:pPr>
            <w:r>
              <w:t xml:space="preserve">Teal utility bar with the hotline 1900 1562</w:t>
            </w:r>
          </w:p>
        </w:tc>
        <w:tc>
          <w:tcPr>
            <w:tcW w:w="4534" w:type="dxa"/>
            <w:vAlign w:val="top"/>
          </w:tcPr>
          <w:p>
            <w:pPr>
              <w:pStyle w:val="TableText"/>
              <w:jc w:val="left"/>
            </w:pPr>
            <w:r>
              <w:t xml:space="preserve">36 px utility strip above the console top bar, and on the certificate check page</w:t>
            </w:r>
          </w:p>
        </w:tc>
      </w:tr>
      <w:tr>
        <w:trPr>
          <w:cantSplit/>
        </w:trPr>
        <w:tc>
          <w:tcPr>
            <w:tcW w:w="4493" w:type="dxa"/>
            <w:shd w:val="clear" w:color="auto" w:fill="F4F7FB"/>
            <w:vAlign w:val="top"/>
          </w:tcPr>
          <w:p>
            <w:pPr>
              <w:pStyle w:val="TableText"/>
              <w:jc w:val="left"/>
            </w:pPr>
            <w:r>
              <w:t xml:space="preserve">White navigation bar with the logo on the left</w:t>
            </w:r>
          </w:p>
        </w:tc>
        <w:tc>
          <w:tcPr>
            <w:tcW w:w="4534" w:type="dxa"/>
            <w:shd w:val="clear" w:color="auto" w:fill="F4F7FB"/>
            <w:vAlign w:val="top"/>
          </w:tcPr>
          <w:p>
            <w:pPr>
              <w:pStyle w:val="TableText"/>
              <w:jc w:val="left"/>
            </w:pPr>
            <w:r>
              <w:t xml:space="preserve">Console sidebar header and customer app bar, both with the wordmark</w:t>
            </w:r>
          </w:p>
        </w:tc>
      </w:tr>
      <w:tr>
        <w:trPr>
          <w:cantSplit/>
        </w:trPr>
        <w:tc>
          <w:tcPr>
            <w:tcW w:w="4493" w:type="dxa"/>
            <w:vAlign w:val="top"/>
          </w:tcPr>
          <w:p>
            <w:pPr>
              <w:pStyle w:val="TableText"/>
              <w:jc w:val="left"/>
            </w:pPr>
            <w:r>
              <w:t xml:space="preserve">Navy headings in a wide geometric typeface</w:t>
            </w:r>
          </w:p>
        </w:tc>
        <w:tc>
          <w:tcPr>
            <w:tcW w:w="4534" w:type="dxa"/>
            <w:vAlign w:val="top"/>
          </w:tcPr>
          <w:p>
            <w:pPr>
              <w:pStyle w:val="TableText"/>
              <w:jc w:val="left"/>
            </w:pPr>
            <w:r>
              <w:t xml:space="preserve">Lexend in navy #213368 for page titles, card titles, navigation and buttons</w:t>
            </w:r>
          </w:p>
        </w:tc>
      </w:tr>
      <w:tr>
        <w:trPr>
          <w:cantSplit/>
        </w:trPr>
        <w:tc>
          <w:tcPr>
            <w:tcW w:w="4493" w:type="dxa"/>
            <w:shd w:val="clear" w:color="auto" w:fill="F4F7FB"/>
            <w:vAlign w:val="top"/>
          </w:tcPr>
          <w:p>
            <w:pPr>
              <w:pStyle w:val="TableText"/>
              <w:jc w:val="left"/>
            </w:pPr>
            <w:r>
              <w:t xml:space="preserve">Navy and teal diagonal parallelogram bands</w:t>
            </w:r>
          </w:p>
        </w:tc>
        <w:tc>
          <w:tcPr>
            <w:tcW w:w="4534" w:type="dxa"/>
            <w:shd w:val="clear" w:color="auto" w:fill="F4F7FB"/>
            <w:vAlign w:val="top"/>
          </w:tcPr>
          <w:p>
            <w:pPr>
              <w:pStyle w:val="TableText"/>
              <w:jc w:val="left"/>
            </w:pPr>
            <w:r>
              <w:t xml:space="preserve">Home hero band in the customer app, the Account footer band and the staff sign-in panel</w:t>
            </w:r>
          </w:p>
        </w:tc>
      </w:tr>
      <w:tr>
        <w:trPr>
          <w:cantSplit/>
        </w:trPr>
        <w:tc>
          <w:tcPr>
            <w:tcW w:w="4493" w:type="dxa"/>
            <w:vAlign w:val="top"/>
          </w:tcPr>
          <w:p>
            <w:pPr>
              <w:pStyle w:val="TableText"/>
              <w:jc w:val="left"/>
            </w:pPr>
            <w:r>
              <w:t xml:space="preserve">Quote form in a white card: teal title, two-column teal radios, units inside inputs, full-width teal button</w:t>
            </w:r>
          </w:p>
        </w:tc>
        <w:tc>
          <w:tcPr>
            <w:tcW w:w="4534" w:type="dxa"/>
            <w:vAlign w:val="top"/>
          </w:tcPr>
          <w:p>
            <w:pPr>
              <w:pStyle w:val="TableText"/>
              <w:jc w:val="left"/>
            </w:pPr>
            <w:r>
              <w:t xml:space="preserve">Step 1 of the purchase flow and the vehicle confirmation card</w:t>
            </w:r>
          </w:p>
        </w:tc>
      </w:tr>
      <w:tr>
        <w:trPr>
          <w:cantSplit/>
        </w:trPr>
        <w:tc>
          <w:tcPr>
            <w:tcW w:w="4493" w:type="dxa"/>
            <w:shd w:val="clear" w:color="auto" w:fill="F4F7FB"/>
            <w:vAlign w:val="top"/>
          </w:tcPr>
          <w:p>
            <w:pPr>
              <w:pStyle w:val="TableText"/>
              <w:jc w:val="left"/>
            </w:pPr>
            <w:r>
              <w:t xml:space="preserve">Round navy chat button at the bottom right</w:t>
            </w:r>
          </w:p>
        </w:tc>
        <w:tc>
          <w:tcPr>
            <w:tcW w:w="4534" w:type="dxa"/>
            <w:shd w:val="clear" w:color="auto" w:fill="F4F7FB"/>
            <w:vAlign w:val="top"/>
          </w:tcPr>
          <w:p>
            <w:pPr>
              <w:pStyle w:val="TableText"/>
              <w:jc w:val="left"/>
            </w:pPr>
            <w:r>
              <w:t xml:space="preserve">Floating support button in the customer app</w:t>
            </w:r>
          </w:p>
        </w:tc>
      </w:tr>
      <w:tr>
        <w:trPr>
          <w:cantSplit/>
        </w:trPr>
        <w:tc>
          <w:tcPr>
            <w:tcW w:w="4493" w:type="dxa"/>
            <w:vAlign w:val="top"/>
          </w:tcPr>
          <w:p>
            <w:pPr>
              <w:pStyle w:val="TableText"/>
              <w:jc w:val="left"/>
            </w:pPr>
            <w:r>
              <w:t xml:space="preserve">Teal footer with the white logo</w:t>
            </w:r>
          </w:p>
        </w:tc>
        <w:tc>
          <w:tcPr>
            <w:tcW w:w="4534" w:type="dxa"/>
            <w:vAlign w:val="top"/>
          </w:tcPr>
          <w:p>
            <w:pPr>
              <w:pStyle w:val="TableText"/>
              <w:jc w:val="left"/>
            </w:pPr>
            <w:r>
              <w:t xml:space="preserve">Footer band at the foot of the customer app’s Account tab</w:t>
            </w:r>
          </w:p>
        </w:tc>
      </w:tr>
    </w:tbl>
    <w:p>
      <w:pPr>
        <w:pStyle w:val="Heading2"/>
      </w:pPr>
      <w:bookmarkStart w:id="15" w:name="_Toc300000011"/>
      <w:r>
        <w:t xml:space="preserve">The wordmark</w:t>
      </w:r>
      <w:bookmarkEnd w:id="15"/>
    </w:p>
    <w:p>
      <w:pPr>
        <w:pStyle w:val="FirstParagraph"/>
      </w:pPr>
      <w:r>
        <w:t xml:space="preserve">TASCO’s logo file has not yet been supplied, and the platform does not copy the image from the website. In its place a typographic wordmark is drawn in code:</w:t>
      </w:r>
      <w:r>
        <w:t xml:space="preserve"> </w:t>
      </w:r>
      <w:r>
        <w:t xml:space="preserve">“</w:t>
      </w:r>
      <w:r>
        <w:t xml:space="preserve">TASCO</w:t>
      </w:r>
      <w:r>
        <w:t xml:space="preserve">”</w:t>
      </w:r>
      <w:r>
        <w:t xml:space="preserve"> </w:t>
      </w:r>
      <w:r>
        <w:t xml:space="preserve">in navy, Lexend 700 with wide letter spacing, above</w:t>
      </w:r>
      <w:r>
        <w:t xml:space="preserve"> </w:t>
      </w:r>
      <w:r>
        <w:t xml:space="preserve">“</w:t>
      </w:r>
      <w:r>
        <w:t xml:space="preserve">INSURANCE</w:t>
      </w:r>
      <w:r>
        <w:t xml:space="preserve">”</w:t>
      </w:r>
      <w:r>
        <w:t xml:space="preserve"> </w:t>
      </w:r>
      <w:r>
        <w:t xml:space="preserve">in teal at about a third of the size with very wide tracking. A white version is used on navy and teal backgrounds, and the dark theme switches the colour version to white and light teal automatically.</w:t>
      </w:r>
    </w:p>
    <w:p>
      <w:pPr>
        <w:pStyle w:val="BodyText"/>
      </w:pPr>
      <w:r>
        <w:t xml:space="preserve">The wordmark is a stand-in. It is built as one component (</w:t>
      </w:r>
      <w:r>
        <w:rPr>
          <w:rStyle w:val="CodeChar"/>
        </w:rPr>
        <w:t xml:space="preserve">wordmark()</w:t>
      </w:r>
      <w:r>
        <w:t xml:space="preserve"> </w:t>
      </w:r>
      <w:r>
        <w:t xml:space="preserve">in</w:t>
      </w:r>
      <w:r>
        <w:t xml:space="preserve"> </w:t>
      </w:r>
      <w:r>
        <w:rPr>
          <w:rStyle w:val="CodeChar"/>
        </w:rPr>
        <w:t xml:space="preserve">public/js/shared/brand.js</w:t>
      </w:r>
      <w:r>
        <w:t xml:space="preserve">), so the official logo replaces it in one place once TASCO marketing supplies the files. Its accessible name is</w:t>
      </w:r>
      <w:r>
        <w:t xml:space="preserve"> </w:t>
      </w:r>
      <w:r>
        <w:t xml:space="preserve">“</w:t>
      </w:r>
      <w:r>
        <w:t xml:space="preserve">TASCO Insurance</w:t>
      </w:r>
      <w:r>
        <w:t xml:space="preserve">”</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72"/>
        <w:gridCol w:w="1766"/>
        <w:gridCol w:w="5689"/>
      </w:tblGrid>
      <w:tr>
        <w:trPr>
          <w:cantSplit/>
          <w:tblHeader/>
        </w:trPr>
        <w:tc>
          <w:tcPr>
            <w:tcW w:w="1572" w:type="dxa"/>
            <w:shd w:val="clear" w:color="auto" w:fill="0F4761"/>
            <w:vAlign w:val="center"/>
          </w:tcPr>
          <w:p>
            <w:pPr>
              <w:pStyle w:val="TableHeading"/>
              <w:jc w:val="left"/>
            </w:pPr>
            <w:r>
              <w:rPr>
                <w:color w:val="FFFFFF"/>
              </w:rPr>
              <w:t xml:space="preserve">Size</w:t>
            </w:r>
          </w:p>
        </w:tc>
        <w:tc>
          <w:tcPr>
            <w:tcW w:w="1766" w:type="dxa"/>
            <w:shd w:val="clear" w:color="auto" w:fill="0F4761"/>
            <w:vAlign w:val="center"/>
          </w:tcPr>
          <w:p>
            <w:pPr>
              <w:pStyle w:val="TableHeading"/>
              <w:jc w:val="left"/>
            </w:pPr>
            <w:r>
              <w:rPr>
                <w:color w:val="FFFFFF"/>
              </w:rPr>
              <w:t xml:space="preserve">Height of</w:t>
            </w:r>
            <w:r>
              <w:rPr>
                <w:color w:val="FFFFFF"/>
              </w:rPr>
              <w:t xml:space="preserve"> </w:t>
            </w:r>
            <w:r>
              <w:rPr>
                <w:color w:val="FFFFFF"/>
              </w:rPr>
              <w:t xml:space="preserve">“</w:t>
            </w:r>
            <w:r>
              <w:rPr>
                <w:color w:val="FFFFFF"/>
              </w:rPr>
              <w:t xml:space="preserve">TASCO</w:t>
            </w:r>
            <w:r>
              <w:rPr>
                <w:color w:val="FFFFFF"/>
              </w:rPr>
              <w:t xml:space="preserve">”</w:t>
            </w:r>
          </w:p>
        </w:tc>
        <w:tc>
          <w:tcPr>
            <w:tcW w:w="5689" w:type="dxa"/>
            <w:shd w:val="clear" w:color="auto" w:fill="0F4761"/>
            <w:vAlign w:val="center"/>
          </w:tcPr>
          <w:p>
            <w:pPr>
              <w:pStyle w:val="TableHeading"/>
              <w:jc w:val="left"/>
            </w:pPr>
            <w:r>
              <w:rPr>
                <w:color w:val="FFFFFF"/>
              </w:rPr>
              <w:t xml:space="preserve">Used in</w:t>
            </w:r>
          </w:p>
        </w:tc>
      </w:tr>
      <w:tr>
        <w:trPr>
          <w:cantSplit/>
        </w:trPr>
        <w:tc>
          <w:tcPr>
            <w:tcW w:w="1572" w:type="dxa"/>
            <w:vAlign w:val="top"/>
          </w:tcPr>
          <w:p>
            <w:pPr>
              <w:pStyle w:val="TableText"/>
              <w:jc w:val="left"/>
            </w:pPr>
            <w:r>
              <w:t xml:space="preserve">Small</w:t>
            </w:r>
          </w:p>
        </w:tc>
        <w:tc>
          <w:tcPr>
            <w:tcW w:w="1766" w:type="dxa"/>
            <w:vAlign w:val="top"/>
          </w:tcPr>
          <w:p>
            <w:pPr>
              <w:pStyle w:val="TableText"/>
              <w:jc w:val="left"/>
            </w:pPr>
            <w:r>
              <w:t xml:space="preserve">18 px</w:t>
            </w:r>
          </w:p>
        </w:tc>
        <w:tc>
          <w:tcPr>
            <w:tcW w:w="5689" w:type="dxa"/>
            <w:vAlign w:val="top"/>
          </w:tcPr>
          <w:p>
            <w:pPr>
              <w:pStyle w:val="TableText"/>
              <w:jc w:val="left"/>
            </w:pPr>
            <w:r>
              <w:t xml:space="preserve">Customer app bar, mobile sign-in header</w:t>
            </w:r>
          </w:p>
        </w:tc>
      </w:tr>
      <w:tr>
        <w:trPr>
          <w:cantSplit/>
        </w:trPr>
        <w:tc>
          <w:tcPr>
            <w:tcW w:w="1572" w:type="dxa"/>
            <w:shd w:val="clear" w:color="auto" w:fill="F4F7FB"/>
            <w:vAlign w:val="top"/>
          </w:tcPr>
          <w:p>
            <w:pPr>
              <w:pStyle w:val="TableText"/>
              <w:jc w:val="left"/>
            </w:pPr>
            <w:r>
              <w:t xml:space="preserve">Medium</w:t>
            </w:r>
          </w:p>
        </w:tc>
        <w:tc>
          <w:tcPr>
            <w:tcW w:w="1766" w:type="dxa"/>
            <w:shd w:val="clear" w:color="auto" w:fill="F4F7FB"/>
            <w:vAlign w:val="top"/>
          </w:tcPr>
          <w:p>
            <w:pPr>
              <w:pStyle w:val="TableText"/>
              <w:jc w:val="left"/>
            </w:pPr>
            <w:r>
              <w:t xml:space="preserve">26 px</w:t>
            </w:r>
          </w:p>
        </w:tc>
        <w:tc>
          <w:tcPr>
            <w:tcW w:w="5689" w:type="dxa"/>
            <w:shd w:val="clear" w:color="auto" w:fill="F4F7FB"/>
            <w:vAlign w:val="top"/>
          </w:tcPr>
          <w:p>
            <w:pPr>
              <w:pStyle w:val="TableText"/>
              <w:jc w:val="left"/>
            </w:pPr>
            <w:r>
              <w:t xml:space="preserve">Console sidebar, Account footer band</w:t>
            </w:r>
          </w:p>
        </w:tc>
      </w:tr>
      <w:tr>
        <w:trPr>
          <w:cantSplit/>
        </w:trPr>
        <w:tc>
          <w:tcPr>
            <w:tcW w:w="1572" w:type="dxa"/>
            <w:vAlign w:val="top"/>
          </w:tcPr>
          <w:p>
            <w:pPr>
              <w:pStyle w:val="TableText"/>
              <w:jc w:val="left"/>
            </w:pPr>
            <w:r>
              <w:t xml:space="preserve">Large</w:t>
            </w:r>
          </w:p>
        </w:tc>
        <w:tc>
          <w:tcPr>
            <w:tcW w:w="1766" w:type="dxa"/>
            <w:vAlign w:val="top"/>
          </w:tcPr>
          <w:p>
            <w:pPr>
              <w:pStyle w:val="TableText"/>
              <w:jc w:val="left"/>
            </w:pPr>
            <w:r>
              <w:t xml:space="preserve">40 px</w:t>
            </w:r>
          </w:p>
        </w:tc>
        <w:tc>
          <w:tcPr>
            <w:tcW w:w="5689" w:type="dxa"/>
            <w:vAlign w:val="top"/>
          </w:tcPr>
          <w:p>
            <w:pPr>
              <w:pStyle w:val="TableText"/>
              <w:jc w:val="left"/>
            </w:pPr>
            <w:r>
              <w:t xml:space="preserve">Customer app splash screen</w:t>
            </w:r>
          </w:p>
        </w:tc>
      </w:tr>
      <w:tr>
        <w:trPr>
          <w:cantSplit/>
        </w:trPr>
        <w:tc>
          <w:tcPr>
            <w:tcW w:w="1572" w:type="dxa"/>
            <w:shd w:val="clear" w:color="auto" w:fill="F4F7FB"/>
            <w:vAlign w:val="top"/>
          </w:tcPr>
          <w:p>
            <w:pPr>
              <w:pStyle w:val="TableText"/>
              <w:jc w:val="left"/>
            </w:pPr>
            <w:r>
              <w:t xml:space="preserve">Extra large</w:t>
            </w:r>
          </w:p>
        </w:tc>
        <w:tc>
          <w:tcPr>
            <w:tcW w:w="1766" w:type="dxa"/>
            <w:shd w:val="clear" w:color="auto" w:fill="F4F7FB"/>
            <w:vAlign w:val="top"/>
          </w:tcPr>
          <w:p>
            <w:pPr>
              <w:pStyle w:val="TableText"/>
              <w:jc w:val="left"/>
            </w:pPr>
            <w:r>
              <w:t xml:space="preserve">56 px</w:t>
            </w:r>
          </w:p>
        </w:tc>
        <w:tc>
          <w:tcPr>
            <w:tcW w:w="5689" w:type="dxa"/>
            <w:shd w:val="clear" w:color="auto" w:fill="F4F7FB"/>
            <w:vAlign w:val="top"/>
          </w:tcPr>
          <w:p>
            <w:pPr>
              <w:pStyle w:val="TableText"/>
              <w:jc w:val="left"/>
            </w:pPr>
            <w:r>
              <w:t xml:space="preserve">Staff sign-in brand panel</w:t>
            </w:r>
          </w:p>
        </w:tc>
      </w:tr>
    </w:tbl>
    <w:p>
      <w:pPr>
        <w:pStyle w:val="Heading2"/>
      </w:pPr>
      <w:bookmarkStart w:id="16" w:name="_Toc300000012"/>
      <w:r>
        <w:t xml:space="preserve">Co-branding by host</w:t>
      </w:r>
      <w:bookmarkEnd w:id="16"/>
    </w:p>
    <w:p>
      <w:pPr>
        <w:pStyle w:val="FirstParagraph"/>
      </w:pPr>
      <w:r>
        <w:t xml:space="preserve">Inside the VETC app and the Zalo Mini App the app bar shows the wordmark, a multiplication sign and a navy</w:t>
      </w:r>
      <w:r>
        <w:t xml:space="preserve"> </w:t>
      </w:r>
      <w:r>
        <w:t xml:space="preserve">“</w:t>
      </w:r>
      <w:r>
        <w:t xml:space="preserve">VETC</w:t>
      </w:r>
      <w:r>
        <w:t xml:space="preserve">”</w:t>
      </w:r>
      <w:r>
        <w:t xml:space="preserve"> </w:t>
      </w:r>
      <w:r>
        <w:t xml:space="preserve">tag, read as</w:t>
      </w:r>
      <w:r>
        <w:t xml:space="preserve"> </w:t>
      </w:r>
      <w:r>
        <w:t xml:space="preserve">“</w:t>
      </w:r>
      <w:r>
        <w:t xml:space="preserve">TASCO × VETC</w:t>
      </w:r>
      <w:r>
        <w:t xml:space="preserve">”</w:t>
      </w:r>
      <w:r>
        <w:t xml:space="preserve">. In the TASCO app and on the TASCO website the wordmark stands alone. The host also changes the payment wording (TGP-UX-03 describes what changes by host).</w:t>
      </w:r>
    </w:p>
    <w:p>
      <w:pPr>
        <w:pStyle w:val="Heading2"/>
      </w:pPr>
      <w:bookmarkStart w:id="17" w:name="_Toc300000013"/>
      <w:r>
        <w:t xml:space="preserve">Sign-in page</w:t>
      </w:r>
      <w:bookmarkEnd w:id="17"/>
    </w:p>
    <w:p>
      <w:pPr>
        <w:pStyle w:val="FirstParagraph"/>
      </w:pPr>
      <w:r>
        <w:t xml:space="preserve">The staff sign-in page mirrors the website’s split layout. The left part is a brand panel drawn in CSS and SVG, because TASCO’s building photograph is not licensed for this use: a navy-to-teal gradient, the diagonal bands, a faint pattern of glass façade lines and the white wordmark with the line</w:t>
      </w:r>
      <w:r>
        <w:t xml:space="preserve"> </w:t>
      </w:r>
      <w:r>
        <w:t xml:space="preserve">“</w:t>
      </w:r>
      <w:r>
        <w:t xml:space="preserve">Motor insurance growth platform</w:t>
      </w:r>
      <w:r>
        <w:t xml:space="preserve">”</w:t>
      </w:r>
      <w:r>
        <w:t xml:space="preserve">. The right part holds the form on the light page background, with a large navy</w:t>
      </w:r>
      <w:r>
        <w:t xml:space="preserve"> </w:t>
      </w:r>
      <w:r>
        <w:t xml:space="preserve">“</w:t>
      </w:r>
      <w:r>
        <w:t xml:space="preserve">Sign in</w:t>
      </w:r>
      <w:r>
        <w:t xml:space="preserve">”</w:t>
      </w:r>
      <w:r>
        <w:t xml:space="preserve"> </w:t>
      </w:r>
      <w:r>
        <w:t xml:space="preserve">heading, 52 px fields, a full-width action-teal button and the hotline and e-mail at the foot. Below 900 px wide the brand panel is hidden and a small wordmark heads the form.</w:t>
      </w:r>
    </w:p>
    <w:p xmlns:a="http://schemas.openxmlformats.org/drawingml/2006/main" xmlns:pic="http://schemas.openxmlformats.org/drawingml/2006/picture">
      <w:pPr>
        <w:pStyle w:val="Figure"/>
      </w:pPr>
      <w:r>
        <w:drawing>
          <wp:inline>
            <wp:extent cx="5727700" cy="3579812"/>
            <wp:effectExtent b="0" l="0" r="0" t="0"/>
            <wp:docPr descr="Staff sign-in page: brand panel on the left, form on the right" title="" id="5002" name="Picture"/>
            <a:graphic>
              <a:graphicData uri="http://schemas.openxmlformats.org/drawingml/2006/picture">
                <pic:pic>
                  <pic:nvPicPr>
                    <pic:cNvPr descr="/tmp/claude-0/-home-user-TASCO/19e5534d-12b5-5956-9b60-3e77efde0f49/scratchpad/final/shots/login-public-signin.png" id="31" name="Picture"/>
                    <pic:cNvPicPr>
                      <a:picLocks noChangeArrowheads="1" noChangeAspect="1"/>
                    </pic:cNvPicPr>
                  </pic:nvPicPr>
                  <pic:blipFill>
                    <a:blip r:embed="rIdG1"/>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 – Staff sign-in page: brand panel on the left, form on the right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8" w:name="_Toc300000014"/>
      <w:r>
        <w:rPr>
          <w:rStyle w:val="BookTitle"/>
          <w:bCs w:val="0"/>
          <w:i w:val="0"/>
          <w:iCs w:val="0"/>
          <w:spacing w:val="0"/>
        </w:rPr>
        <w:t xml:space="preserve">Colour</w:t>
      </w:r>
      <w:bookmarkEnd w:id="18"/>
    </w:p>
    <w:p>
      <w:pPr>
        <w:pStyle w:val="Heading2"/>
      </w:pPr>
      <w:bookmarkStart w:id="19" w:name="_Toc300000015"/>
      <w:r>
        <w:t xml:space="preserve">The teal rule</w:t>
      </w:r>
      <w:bookmarkEnd w:id="19"/>
    </w:p>
    <w:p>
      <w:pPr>
        <w:pStyle w:val="FirstParagraph"/>
      </w:pPr>
      <w:r>
        <w:t xml:space="preserve">The TASCO brand teal #6CC7C5 is light. White text on it reaches only 1.98:1, far below the 4.5:1 that WCAG 2.2 AA requires for normal text. The platform therefore uses three teals, each for one job.</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123"/>
        <w:gridCol w:w="1079"/>
        <w:gridCol w:w="4466"/>
        <w:gridCol w:w="2359"/>
      </w:tblGrid>
      <w:tr>
        <w:trPr>
          <w:cantSplit/>
          <w:tblHeader/>
        </w:trPr>
        <w:tc>
          <w:tcPr>
            <w:tcW w:w="1123" w:type="dxa"/>
            <w:shd w:val="clear" w:color="auto" w:fill="0F4761"/>
            <w:vAlign w:val="center"/>
          </w:tcPr>
          <w:p>
            <w:pPr>
              <w:pStyle w:val="TableHeading"/>
              <w:jc w:val="left"/>
            </w:pPr>
            <w:r>
              <w:rPr>
                <w:color w:val="FFFFFF"/>
              </w:rPr>
              <w:t xml:space="preserve">Teal</w:t>
            </w:r>
          </w:p>
        </w:tc>
        <w:tc>
          <w:tcPr>
            <w:tcW w:w="1079" w:type="dxa"/>
            <w:shd w:val="clear" w:color="auto" w:fill="0F4761"/>
            <w:vAlign w:val="center"/>
          </w:tcPr>
          <w:p>
            <w:pPr>
              <w:pStyle w:val="TableHeading"/>
              <w:jc w:val="left"/>
            </w:pPr>
            <w:r>
              <w:rPr>
                <w:color w:val="FFFFFF"/>
              </w:rPr>
              <w:t xml:space="preserve">Hex</w:t>
            </w:r>
          </w:p>
        </w:tc>
        <w:tc>
          <w:tcPr>
            <w:tcW w:w="4466" w:type="dxa"/>
            <w:shd w:val="clear" w:color="auto" w:fill="0F4761"/>
            <w:vAlign w:val="center"/>
          </w:tcPr>
          <w:p>
            <w:pPr>
              <w:pStyle w:val="TableHeading"/>
              <w:jc w:val="left"/>
            </w:pPr>
            <w:r>
              <w:rPr>
                <w:color w:val="FFFFFF"/>
              </w:rPr>
              <w:t xml:space="preserve">Job</w:t>
            </w:r>
          </w:p>
        </w:tc>
        <w:tc>
          <w:tcPr>
            <w:tcW w:w="2359" w:type="dxa"/>
            <w:shd w:val="clear" w:color="auto" w:fill="0F4761"/>
            <w:vAlign w:val="center"/>
          </w:tcPr>
          <w:p>
            <w:pPr>
              <w:pStyle w:val="TableHeading"/>
              <w:jc w:val="left"/>
            </w:pPr>
            <w:r>
              <w:rPr>
                <w:color w:val="FFFFFF"/>
              </w:rPr>
              <w:t xml:space="preserve">Contrast</w:t>
            </w:r>
          </w:p>
        </w:tc>
      </w:tr>
      <w:tr>
        <w:trPr>
          <w:cantSplit/>
        </w:trPr>
        <w:tc>
          <w:tcPr>
            <w:tcW w:w="1123" w:type="dxa"/>
            <w:vAlign w:val="top"/>
          </w:tcPr>
          <w:p>
            <w:pPr>
              <w:pStyle w:val="TableText"/>
              <w:jc w:val="left"/>
            </w:pPr>
            <w:r>
              <w:t xml:space="preserve">Brand teal</w:t>
            </w:r>
          </w:p>
        </w:tc>
        <w:tc>
          <w:tcPr>
            <w:tcW w:w="1079" w:type="dxa"/>
            <w:vAlign w:val="top"/>
          </w:tcPr>
          <w:p>
            <w:pPr>
              <w:pStyle w:val="TableText"/>
              <w:jc w:val="left"/>
            </w:pPr>
            <w:r>
              <w:t xml:space="preserve">#6CC7C5</w:t>
            </w:r>
          </w:p>
        </w:tc>
        <w:tc>
          <w:tcPr>
            <w:tcW w:w="4466" w:type="dxa"/>
            <w:vAlign w:val="top"/>
          </w:tcPr>
          <w:p>
            <w:pPr>
              <w:pStyle w:val="TableText"/>
              <w:jc w:val="left"/>
            </w:pPr>
            <w:r>
              <w:t xml:space="preserve">Large surfaces: utility strip, bands, footer, selected states, focus halo. Always with navy text</w:t>
            </w:r>
          </w:p>
        </w:tc>
        <w:tc>
          <w:tcPr>
            <w:tcW w:w="2359" w:type="dxa"/>
            <w:vAlign w:val="top"/>
          </w:tcPr>
          <w:p>
            <w:pPr>
              <w:pStyle w:val="TableText"/>
              <w:jc w:val="left"/>
            </w:pPr>
            <w:r>
              <w:t xml:space="preserve">Navy on it 6.11:1</w:t>
            </w:r>
          </w:p>
        </w:tc>
      </w:tr>
      <w:tr>
        <w:trPr>
          <w:cantSplit/>
        </w:trPr>
        <w:tc>
          <w:tcPr>
            <w:tcW w:w="1123" w:type="dxa"/>
            <w:shd w:val="clear" w:color="auto" w:fill="F4F7FB"/>
            <w:vAlign w:val="top"/>
          </w:tcPr>
          <w:p>
            <w:pPr>
              <w:pStyle w:val="TableText"/>
              <w:jc w:val="left"/>
            </w:pPr>
            <w:r>
              <w:t xml:space="preserve">Action teal</w:t>
            </w:r>
          </w:p>
        </w:tc>
        <w:tc>
          <w:tcPr>
            <w:tcW w:w="1079" w:type="dxa"/>
            <w:shd w:val="clear" w:color="auto" w:fill="F4F7FB"/>
            <w:vAlign w:val="top"/>
          </w:tcPr>
          <w:p>
            <w:pPr>
              <w:pStyle w:val="TableText"/>
              <w:jc w:val="left"/>
            </w:pPr>
            <w:r>
              <w:t xml:space="preserve">#0F8482</w:t>
            </w:r>
          </w:p>
        </w:tc>
        <w:tc>
          <w:tcPr>
            <w:tcW w:w="4466" w:type="dxa"/>
            <w:shd w:val="clear" w:color="auto" w:fill="F4F7FB"/>
            <w:vAlign w:val="top"/>
          </w:tcPr>
          <w:p>
            <w:pPr>
              <w:pStyle w:val="TableText"/>
              <w:jc w:val="left"/>
            </w:pPr>
            <w:r>
              <w:t xml:space="preserve">Filled primary buttons with white text; selected radio and checkbox marks</w:t>
            </w:r>
          </w:p>
        </w:tc>
        <w:tc>
          <w:tcPr>
            <w:tcW w:w="2359" w:type="dxa"/>
            <w:shd w:val="clear" w:color="auto" w:fill="F4F7FB"/>
            <w:vAlign w:val="top"/>
          </w:tcPr>
          <w:p>
            <w:pPr>
              <w:pStyle w:val="TableText"/>
              <w:jc w:val="left"/>
            </w:pPr>
            <w:r>
              <w:t xml:space="preserve">White on it 4.52:1</w:t>
            </w:r>
          </w:p>
        </w:tc>
      </w:tr>
      <w:tr>
        <w:trPr>
          <w:cantSplit/>
        </w:trPr>
        <w:tc>
          <w:tcPr>
            <w:tcW w:w="1123" w:type="dxa"/>
            <w:vAlign w:val="top"/>
          </w:tcPr>
          <w:p>
            <w:pPr>
              <w:pStyle w:val="TableText"/>
              <w:jc w:val="left"/>
            </w:pPr>
            <w:r>
              <w:t xml:space="preserve">Link teal</w:t>
            </w:r>
          </w:p>
        </w:tc>
        <w:tc>
          <w:tcPr>
            <w:tcW w:w="1079" w:type="dxa"/>
            <w:vAlign w:val="top"/>
          </w:tcPr>
          <w:p>
            <w:pPr>
              <w:pStyle w:val="TableText"/>
              <w:jc w:val="left"/>
            </w:pPr>
            <w:r>
              <w:t xml:space="preserve">#0B6B66</w:t>
            </w:r>
          </w:p>
        </w:tc>
        <w:tc>
          <w:tcPr>
            <w:tcW w:w="4466" w:type="dxa"/>
            <w:vAlign w:val="top"/>
          </w:tcPr>
          <w:p>
            <w:pPr>
              <w:pStyle w:val="TableText"/>
              <w:jc w:val="left"/>
            </w:pPr>
            <w:r>
              <w:t xml:space="preserve">Teal text, links, the</w:t>
            </w:r>
            <w:r>
              <w:t xml:space="preserve"> </w:t>
            </w:r>
            <w:r>
              <w:t xml:space="preserve">“</w:t>
            </w:r>
            <w:r>
              <w:t xml:space="preserve">INSURANCE</w:t>
            </w:r>
            <w:r>
              <w:t xml:space="preserve">”</w:t>
            </w:r>
            <w:r>
              <w:t xml:space="preserve"> </w:t>
            </w:r>
            <w:r>
              <w:t xml:space="preserve">line of the wordmark, hover of the action teal</w:t>
            </w:r>
          </w:p>
        </w:tc>
        <w:tc>
          <w:tcPr>
            <w:tcW w:w="2359" w:type="dxa"/>
            <w:vAlign w:val="top"/>
          </w:tcPr>
          <w:p>
            <w:pPr>
              <w:pStyle w:val="TableText"/>
              <w:jc w:val="left"/>
            </w:pPr>
            <w:r>
              <w:t xml:space="preserve">6.35:1 on white, 5.87:1 on the page background</w:t>
            </w:r>
          </w:p>
        </w:tc>
      </w:tr>
    </w:tbl>
    <w:p>
      <w:pPr>
        <w:pStyle w:val="BodyText"/>
        <w:spacing w:before="160"/>
      </w:pPr>
      <w:r>
        <w:t xml:space="preserve">The action teal is the lightest teal on the brand hue (178.7°) that reaches 4.5:1 against white. The rule is written into the header of</w:t>
      </w:r>
      <w:r>
        <w:t xml:space="preserve"> </w:t>
      </w:r>
      <w:r>
        <w:rPr>
          <w:rStyle w:val="CodeChar"/>
        </w:rPr>
        <w:t xml:space="preserve">public/css/tokens.css</w:t>
      </w:r>
      <w:r>
        <w:t xml:space="preserve"> </w:t>
      </w:r>
      <w:r>
        <w:t xml:space="preserve">so that engineers see it where they change colours. Text in brand teal on white is never used.</w:t>
      </w:r>
    </w:p>
    <w:p>
      <w:pPr>
        <w:pStyle w:val="Heading2"/>
      </w:pPr>
      <w:bookmarkStart w:id="20" w:name="_Toc300000016"/>
      <w:r>
        <w:t xml:space="preserve">Brand and interactive tokens</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364"/>
        <w:gridCol w:w="1526"/>
        <w:gridCol w:w="1526"/>
        <w:gridCol w:w="3611"/>
      </w:tblGrid>
      <w:tr>
        <w:trPr>
          <w:cantSplit/>
          <w:tblHeader/>
        </w:trPr>
        <w:tc>
          <w:tcPr>
            <w:tcW w:w="2364" w:type="dxa"/>
            <w:shd w:val="clear" w:color="auto" w:fill="0F4761"/>
            <w:vAlign w:val="center"/>
          </w:tcPr>
          <w:p>
            <w:pPr>
              <w:pStyle w:val="TableHeading"/>
              <w:jc w:val="left"/>
            </w:pPr>
            <w:r>
              <w:rPr>
                <w:color w:val="FFFFFF"/>
              </w:rPr>
              <w:t xml:space="preserve">Token</w:t>
            </w:r>
          </w:p>
        </w:tc>
        <w:tc>
          <w:tcPr>
            <w:tcW w:w="1526" w:type="dxa"/>
            <w:shd w:val="clear" w:color="auto" w:fill="0F4761"/>
            <w:vAlign w:val="center"/>
          </w:tcPr>
          <w:p>
            <w:pPr>
              <w:pStyle w:val="TableHeading"/>
              <w:jc w:val="left"/>
            </w:pPr>
            <w:r>
              <w:rPr>
                <w:color w:val="FFFFFF"/>
              </w:rPr>
              <w:t xml:space="preserve">Light</w:t>
            </w:r>
          </w:p>
        </w:tc>
        <w:tc>
          <w:tcPr>
            <w:tcW w:w="1526" w:type="dxa"/>
            <w:shd w:val="clear" w:color="auto" w:fill="0F4761"/>
            <w:vAlign w:val="center"/>
          </w:tcPr>
          <w:p>
            <w:pPr>
              <w:pStyle w:val="TableHeading"/>
              <w:jc w:val="left"/>
            </w:pPr>
            <w:r>
              <w:rPr>
                <w:color w:val="FFFFFF"/>
              </w:rPr>
              <w:t xml:space="preserve">Dark</w:t>
            </w:r>
          </w:p>
        </w:tc>
        <w:tc>
          <w:tcPr>
            <w:tcW w:w="3611" w:type="dxa"/>
            <w:shd w:val="clear" w:color="auto" w:fill="0F4761"/>
            <w:vAlign w:val="center"/>
          </w:tcPr>
          <w:p>
            <w:pPr>
              <w:pStyle w:val="TableHeading"/>
              <w:jc w:val="left"/>
            </w:pPr>
            <w:r>
              <w:rPr>
                <w:color w:val="FFFFFF"/>
              </w:rPr>
              <w:t xml:space="preserve">Use</w:t>
            </w:r>
          </w:p>
        </w:tc>
      </w:tr>
      <w:tr>
        <w:trPr>
          <w:cantSplit/>
        </w:trPr>
        <w:tc>
          <w:tcPr>
            <w:tcW w:w="2364" w:type="dxa"/>
            <w:vAlign w:val="top"/>
          </w:tcPr>
          <w:p>
            <w:pPr>
              <w:pStyle w:val="TableText"/>
              <w:jc w:val="left"/>
            </w:pPr>
            <w:r>
              <w:rPr>
                <w:rStyle w:val="CodeChar"/>
              </w:rPr>
              <w:t xml:space="preserve">--brand-navy</w:t>
            </w:r>
          </w:p>
        </w:tc>
        <w:tc>
          <w:tcPr>
            <w:tcW w:w="1526" w:type="dxa"/>
            <w:vAlign w:val="top"/>
          </w:tcPr>
          <w:p>
            <w:pPr>
              <w:pStyle w:val="TableText"/>
              <w:jc w:val="left"/>
            </w:pPr>
            <w:r>
              <w:t xml:space="preserve">#213368</w:t>
            </w:r>
          </w:p>
        </w:tc>
        <w:tc>
          <w:tcPr>
            <w:tcW w:w="1526" w:type="dxa"/>
            <w:vAlign w:val="top"/>
          </w:tcPr>
          <w:p>
            <w:pPr>
              <w:pStyle w:val="TableText"/>
              <w:jc w:val="left"/>
            </w:pPr>
            <w:r>
              <w:t xml:space="preserve">#213368</w:t>
            </w:r>
          </w:p>
        </w:tc>
        <w:tc>
          <w:tcPr>
            <w:tcW w:w="3611" w:type="dxa"/>
            <w:vAlign w:val="top"/>
          </w:tcPr>
          <w:p>
            <w:pPr>
              <w:pStyle w:val="TableText"/>
              <w:jc w:val="left"/>
            </w:pPr>
            <w:r>
              <w:t xml:space="preserve">Headings, wordmark, navy surfaces</w:t>
            </w:r>
          </w:p>
        </w:tc>
      </w:tr>
      <w:tr>
        <w:trPr>
          <w:cantSplit/>
        </w:trPr>
        <w:tc>
          <w:tcPr>
            <w:tcW w:w="2364" w:type="dxa"/>
            <w:shd w:val="clear" w:color="auto" w:fill="F4F7FB"/>
            <w:vAlign w:val="top"/>
          </w:tcPr>
          <w:p>
            <w:pPr>
              <w:pStyle w:val="TableText"/>
              <w:jc w:val="left"/>
            </w:pPr>
            <w:r>
              <w:rPr>
                <w:rStyle w:val="CodeChar"/>
              </w:rPr>
              <w:t xml:space="preserve">--brand-teal</w:t>
            </w:r>
          </w:p>
        </w:tc>
        <w:tc>
          <w:tcPr>
            <w:tcW w:w="1526" w:type="dxa"/>
            <w:shd w:val="clear" w:color="auto" w:fill="F4F7FB"/>
            <w:vAlign w:val="top"/>
          </w:tcPr>
          <w:p>
            <w:pPr>
              <w:pStyle w:val="TableText"/>
              <w:jc w:val="left"/>
            </w:pPr>
            <w:r>
              <w:t xml:space="preserve">#6CC7C5</w:t>
            </w:r>
          </w:p>
        </w:tc>
        <w:tc>
          <w:tcPr>
            <w:tcW w:w="1526" w:type="dxa"/>
            <w:shd w:val="clear" w:color="auto" w:fill="F4F7FB"/>
            <w:vAlign w:val="top"/>
          </w:tcPr>
          <w:p>
            <w:pPr>
              <w:pStyle w:val="TableText"/>
              <w:jc w:val="left"/>
            </w:pPr>
            <w:r>
              <w:t xml:space="preserve">#6CC7C5</w:t>
            </w:r>
          </w:p>
        </w:tc>
        <w:tc>
          <w:tcPr>
            <w:tcW w:w="3611" w:type="dxa"/>
            <w:shd w:val="clear" w:color="auto" w:fill="F4F7FB"/>
            <w:vAlign w:val="top"/>
          </w:tcPr>
          <w:p>
            <w:pPr>
              <w:pStyle w:val="TableText"/>
              <w:jc w:val="left"/>
            </w:pPr>
            <w:r>
              <w:t xml:space="preserve">Brand surfaces with navy text</w:t>
            </w:r>
          </w:p>
        </w:tc>
      </w:tr>
      <w:tr>
        <w:trPr>
          <w:cantSplit/>
        </w:trPr>
        <w:tc>
          <w:tcPr>
            <w:tcW w:w="2364" w:type="dxa"/>
            <w:vAlign w:val="top"/>
          </w:tcPr>
          <w:p>
            <w:pPr>
              <w:pStyle w:val="TableText"/>
              <w:jc w:val="left"/>
            </w:pPr>
            <w:r>
              <w:rPr>
                <w:rStyle w:val="CodeChar"/>
              </w:rPr>
              <w:t xml:space="preserve">--primary</w:t>
            </w:r>
          </w:p>
        </w:tc>
        <w:tc>
          <w:tcPr>
            <w:tcW w:w="1526" w:type="dxa"/>
            <w:vAlign w:val="top"/>
          </w:tcPr>
          <w:p>
            <w:pPr>
              <w:pStyle w:val="TableText"/>
              <w:jc w:val="left"/>
            </w:pPr>
            <w:r>
              <w:t xml:space="preserve">#0F8482</w:t>
            </w:r>
          </w:p>
        </w:tc>
        <w:tc>
          <w:tcPr>
            <w:tcW w:w="1526" w:type="dxa"/>
            <w:vAlign w:val="top"/>
          </w:tcPr>
          <w:p>
            <w:pPr>
              <w:pStyle w:val="TableText"/>
              <w:jc w:val="left"/>
            </w:pPr>
            <w:r>
              <w:t xml:space="preserve">#6CC7C5</w:t>
            </w:r>
          </w:p>
        </w:tc>
        <w:tc>
          <w:tcPr>
            <w:tcW w:w="3611" w:type="dxa"/>
            <w:vAlign w:val="top"/>
          </w:tcPr>
          <w:p>
            <w:pPr>
              <w:pStyle w:val="TableText"/>
              <w:jc w:val="left"/>
            </w:pPr>
            <w:r>
              <w:t xml:space="preserve">Primary button fill</w:t>
            </w:r>
          </w:p>
        </w:tc>
      </w:tr>
      <w:tr>
        <w:trPr>
          <w:cantSplit/>
        </w:trPr>
        <w:tc>
          <w:tcPr>
            <w:tcW w:w="2364" w:type="dxa"/>
            <w:shd w:val="clear" w:color="auto" w:fill="F4F7FB"/>
            <w:vAlign w:val="top"/>
          </w:tcPr>
          <w:p>
            <w:pPr>
              <w:pStyle w:val="TableText"/>
              <w:jc w:val="left"/>
            </w:pPr>
            <w:r>
              <w:rPr>
                <w:rStyle w:val="CodeChar"/>
              </w:rPr>
              <w:t xml:space="preserve">--primary-contrast</w:t>
            </w:r>
          </w:p>
        </w:tc>
        <w:tc>
          <w:tcPr>
            <w:tcW w:w="1526" w:type="dxa"/>
            <w:shd w:val="clear" w:color="auto" w:fill="F4F7FB"/>
            <w:vAlign w:val="top"/>
          </w:tcPr>
          <w:p>
            <w:pPr>
              <w:pStyle w:val="TableText"/>
              <w:jc w:val="left"/>
            </w:pPr>
            <w:r>
              <w:t xml:space="preserve">#FFFFFF</w:t>
            </w:r>
          </w:p>
        </w:tc>
        <w:tc>
          <w:tcPr>
            <w:tcW w:w="1526" w:type="dxa"/>
            <w:shd w:val="clear" w:color="auto" w:fill="F4F7FB"/>
            <w:vAlign w:val="top"/>
          </w:tcPr>
          <w:p>
            <w:pPr>
              <w:pStyle w:val="TableText"/>
              <w:jc w:val="left"/>
            </w:pPr>
            <w:r>
              <w:t xml:space="preserve">#0E1A3D</w:t>
            </w:r>
          </w:p>
        </w:tc>
        <w:tc>
          <w:tcPr>
            <w:tcW w:w="3611" w:type="dxa"/>
            <w:shd w:val="clear" w:color="auto" w:fill="F4F7FB"/>
            <w:vAlign w:val="top"/>
          </w:tcPr>
          <w:p>
            <w:pPr>
              <w:pStyle w:val="TableText"/>
              <w:jc w:val="left"/>
            </w:pPr>
            <w:r>
              <w:t xml:space="preserve">Text on the primary fill</w:t>
            </w:r>
          </w:p>
        </w:tc>
      </w:tr>
      <w:tr>
        <w:trPr>
          <w:cantSplit/>
        </w:trPr>
        <w:tc>
          <w:tcPr>
            <w:tcW w:w="2364" w:type="dxa"/>
            <w:vAlign w:val="top"/>
          </w:tcPr>
          <w:p>
            <w:pPr>
              <w:pStyle w:val="TableText"/>
              <w:jc w:val="left"/>
            </w:pPr>
            <w:r>
              <w:rPr>
                <w:rStyle w:val="CodeChar"/>
              </w:rPr>
              <w:t xml:space="preserve">--primary-hover</w:t>
            </w:r>
          </w:p>
        </w:tc>
        <w:tc>
          <w:tcPr>
            <w:tcW w:w="1526" w:type="dxa"/>
            <w:vAlign w:val="top"/>
          </w:tcPr>
          <w:p>
            <w:pPr>
              <w:pStyle w:val="TableText"/>
              <w:jc w:val="left"/>
            </w:pPr>
            <w:r>
              <w:t xml:space="preserve">#0B6B66</w:t>
            </w:r>
          </w:p>
        </w:tc>
        <w:tc>
          <w:tcPr>
            <w:tcW w:w="1526" w:type="dxa"/>
            <w:vAlign w:val="top"/>
          </w:tcPr>
          <w:p>
            <w:pPr>
              <w:pStyle w:val="TableText"/>
              <w:jc w:val="left"/>
            </w:pPr>
            <w:r>
              <w:t xml:space="preserve">#8AD5D3</w:t>
            </w:r>
          </w:p>
        </w:tc>
        <w:tc>
          <w:tcPr>
            <w:tcW w:w="3611" w:type="dxa"/>
            <w:vAlign w:val="top"/>
          </w:tcPr>
          <w:p>
            <w:pPr>
              <w:pStyle w:val="TableText"/>
              <w:jc w:val="left"/>
            </w:pPr>
            <w:r>
              <w:t xml:space="preserve">Primary button hover</w:t>
            </w:r>
          </w:p>
        </w:tc>
      </w:tr>
      <w:tr>
        <w:trPr>
          <w:cantSplit/>
        </w:trPr>
        <w:tc>
          <w:tcPr>
            <w:tcW w:w="2364" w:type="dxa"/>
            <w:shd w:val="clear" w:color="auto" w:fill="F4F7FB"/>
            <w:vAlign w:val="top"/>
          </w:tcPr>
          <w:p>
            <w:pPr>
              <w:pStyle w:val="TableText"/>
              <w:jc w:val="left"/>
            </w:pPr>
            <w:r>
              <w:rPr>
                <w:rStyle w:val="CodeChar"/>
              </w:rPr>
              <w:t xml:space="preserve">--link</w:t>
            </w:r>
          </w:p>
        </w:tc>
        <w:tc>
          <w:tcPr>
            <w:tcW w:w="1526" w:type="dxa"/>
            <w:shd w:val="clear" w:color="auto" w:fill="F4F7FB"/>
            <w:vAlign w:val="top"/>
          </w:tcPr>
          <w:p>
            <w:pPr>
              <w:pStyle w:val="TableText"/>
              <w:jc w:val="left"/>
            </w:pPr>
            <w:r>
              <w:t xml:space="preserve">#0B6B66</w:t>
            </w:r>
          </w:p>
        </w:tc>
        <w:tc>
          <w:tcPr>
            <w:tcW w:w="1526" w:type="dxa"/>
            <w:shd w:val="clear" w:color="auto" w:fill="F4F7FB"/>
            <w:vAlign w:val="top"/>
          </w:tcPr>
          <w:p>
            <w:pPr>
              <w:pStyle w:val="TableText"/>
              <w:jc w:val="left"/>
            </w:pPr>
            <w:r>
              <w:t xml:space="preserve">#7FDCD8</w:t>
            </w:r>
          </w:p>
        </w:tc>
        <w:tc>
          <w:tcPr>
            <w:tcW w:w="3611" w:type="dxa"/>
            <w:shd w:val="clear" w:color="auto" w:fill="F4F7FB"/>
            <w:vAlign w:val="top"/>
          </w:tcPr>
          <w:p>
            <w:pPr>
              <w:pStyle w:val="TableText"/>
              <w:jc w:val="left"/>
            </w:pPr>
            <w:r>
              <w:t xml:space="preserve">Links and teal text</w:t>
            </w:r>
          </w:p>
        </w:tc>
      </w:tr>
      <w:tr>
        <w:trPr>
          <w:cantSplit/>
        </w:trPr>
        <w:tc>
          <w:tcPr>
            <w:tcW w:w="2364" w:type="dxa"/>
            <w:vAlign w:val="top"/>
          </w:tcPr>
          <w:p>
            <w:pPr>
              <w:pStyle w:val="TableText"/>
              <w:jc w:val="left"/>
            </w:pPr>
            <w:r>
              <w:rPr>
                <w:rStyle w:val="CodeChar"/>
              </w:rPr>
              <w:t xml:space="preserve">--nav-active-bg</w:t>
            </w:r>
          </w:p>
        </w:tc>
        <w:tc>
          <w:tcPr>
            <w:tcW w:w="1526" w:type="dxa"/>
            <w:vAlign w:val="top"/>
          </w:tcPr>
          <w:p>
            <w:pPr>
              <w:pStyle w:val="TableText"/>
              <w:jc w:val="left"/>
            </w:pPr>
            <w:r>
              <w:t xml:space="preserve">#6CC7C5 at 18 %</w:t>
            </w:r>
          </w:p>
        </w:tc>
        <w:tc>
          <w:tcPr>
            <w:tcW w:w="1526" w:type="dxa"/>
            <w:vAlign w:val="top"/>
          </w:tcPr>
          <w:p>
            <w:pPr>
              <w:pStyle w:val="TableText"/>
              <w:jc w:val="left"/>
            </w:pPr>
            <w:r>
              <w:t xml:space="preserve">#6CC7C5 at 16 %</w:t>
            </w:r>
          </w:p>
        </w:tc>
        <w:tc>
          <w:tcPr>
            <w:tcW w:w="3611" w:type="dxa"/>
            <w:vAlign w:val="top"/>
          </w:tcPr>
          <w:p>
            <w:pPr>
              <w:pStyle w:val="TableText"/>
              <w:jc w:val="left"/>
            </w:pPr>
            <w:r>
              <w:t xml:space="preserve">Active sidebar item, active tab icon</w:t>
            </w:r>
          </w:p>
        </w:tc>
      </w:tr>
      <w:tr>
        <w:trPr>
          <w:cantSplit/>
        </w:trPr>
        <w:tc>
          <w:tcPr>
            <w:tcW w:w="2364" w:type="dxa"/>
            <w:shd w:val="clear" w:color="auto" w:fill="F4F7FB"/>
            <w:vAlign w:val="top"/>
          </w:tcPr>
          <w:p>
            <w:pPr>
              <w:pStyle w:val="TableText"/>
              <w:jc w:val="left"/>
            </w:pPr>
            <w:r>
              <w:rPr>
                <w:rStyle w:val="CodeChar"/>
              </w:rPr>
              <w:t xml:space="preserve">--focus</w:t>
            </w:r>
          </w:p>
        </w:tc>
        <w:tc>
          <w:tcPr>
            <w:tcW w:w="1526" w:type="dxa"/>
            <w:shd w:val="clear" w:color="auto" w:fill="F4F7FB"/>
            <w:vAlign w:val="top"/>
          </w:tcPr>
          <w:p>
            <w:pPr>
              <w:pStyle w:val="TableText"/>
              <w:jc w:val="left"/>
            </w:pPr>
            <w:r>
              <w:t xml:space="preserve">#0F8482</w:t>
            </w:r>
          </w:p>
        </w:tc>
        <w:tc>
          <w:tcPr>
            <w:tcW w:w="1526" w:type="dxa"/>
            <w:shd w:val="clear" w:color="auto" w:fill="F4F7FB"/>
            <w:vAlign w:val="top"/>
          </w:tcPr>
          <w:p>
            <w:pPr>
              <w:pStyle w:val="TableText"/>
              <w:jc w:val="left"/>
            </w:pPr>
            <w:r>
              <w:t xml:space="preserve">#8AD5D3</w:t>
            </w:r>
          </w:p>
        </w:tc>
        <w:tc>
          <w:tcPr>
            <w:tcW w:w="3611" w:type="dxa"/>
            <w:shd w:val="clear" w:color="auto" w:fill="F4F7FB"/>
            <w:vAlign w:val="top"/>
          </w:tcPr>
          <w:p>
            <w:pPr>
              <w:pStyle w:val="TableText"/>
              <w:jc w:val="left"/>
            </w:pPr>
            <w:r>
              <w:t xml:space="preserve">Focus outline</w:t>
            </w:r>
          </w:p>
        </w:tc>
      </w:tr>
    </w:tbl>
    <w:p>
      <w:pPr>
        <w:pStyle w:val="BodyText"/>
        <w:spacing w:before="160"/>
      </w:pPr>
      <w:r>
        <w:t xml:space="preserve">Secondary buttons have a navy border and navy text (a light-teal border in the dark theme). The focus ring is a 3 px light-teal halo with a 1 px action-teal line inside it, so it shows on white, grey and teal backgrounds alike.</w:t>
      </w:r>
    </w:p>
    <w:p>
      <w:pPr>
        <w:pStyle w:val="Heading2"/>
      </w:pPr>
      <w:bookmarkStart w:id="21" w:name="_Toc300000017"/>
      <w:r>
        <w:t xml:space="preserve">Text and surfaces</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10"/>
        <w:gridCol w:w="1091"/>
        <w:gridCol w:w="1091"/>
        <w:gridCol w:w="2823"/>
        <w:gridCol w:w="2012"/>
      </w:tblGrid>
      <w:tr>
        <w:trPr>
          <w:cantSplit/>
          <w:tblHeader/>
        </w:trPr>
        <w:tc>
          <w:tcPr>
            <w:tcW w:w="2010" w:type="dxa"/>
            <w:shd w:val="clear" w:color="auto" w:fill="0F4761"/>
            <w:vAlign w:val="center"/>
          </w:tcPr>
          <w:p>
            <w:pPr>
              <w:pStyle w:val="TableHeading"/>
              <w:jc w:val="left"/>
            </w:pPr>
            <w:r>
              <w:rPr>
                <w:color w:val="FFFFFF"/>
              </w:rPr>
              <w:t xml:space="preserve">Token</w:t>
            </w:r>
          </w:p>
        </w:tc>
        <w:tc>
          <w:tcPr>
            <w:tcW w:w="1091" w:type="dxa"/>
            <w:shd w:val="clear" w:color="auto" w:fill="0F4761"/>
            <w:vAlign w:val="center"/>
          </w:tcPr>
          <w:p>
            <w:pPr>
              <w:pStyle w:val="TableHeading"/>
              <w:jc w:val="left"/>
            </w:pPr>
            <w:r>
              <w:rPr>
                <w:color w:val="FFFFFF"/>
              </w:rPr>
              <w:t xml:space="preserve">Light</w:t>
            </w:r>
          </w:p>
        </w:tc>
        <w:tc>
          <w:tcPr>
            <w:tcW w:w="1091" w:type="dxa"/>
            <w:shd w:val="clear" w:color="auto" w:fill="0F4761"/>
            <w:vAlign w:val="center"/>
          </w:tcPr>
          <w:p>
            <w:pPr>
              <w:pStyle w:val="TableHeading"/>
              <w:jc w:val="left"/>
            </w:pPr>
            <w:r>
              <w:rPr>
                <w:color w:val="FFFFFF"/>
              </w:rPr>
              <w:t xml:space="preserve">Dark</w:t>
            </w:r>
          </w:p>
        </w:tc>
        <w:tc>
          <w:tcPr>
            <w:tcW w:w="2823" w:type="dxa"/>
            <w:shd w:val="clear" w:color="auto" w:fill="0F4761"/>
            <w:vAlign w:val="center"/>
          </w:tcPr>
          <w:p>
            <w:pPr>
              <w:pStyle w:val="TableHeading"/>
              <w:jc w:val="left"/>
            </w:pPr>
            <w:r>
              <w:rPr>
                <w:color w:val="FFFFFF"/>
              </w:rPr>
              <w:t xml:space="preserve">Use</w:t>
            </w:r>
          </w:p>
        </w:tc>
        <w:tc>
          <w:tcPr>
            <w:tcW w:w="2012" w:type="dxa"/>
            <w:shd w:val="clear" w:color="auto" w:fill="0F4761"/>
            <w:vAlign w:val="center"/>
          </w:tcPr>
          <w:p>
            <w:pPr>
              <w:pStyle w:val="TableHeading"/>
              <w:jc w:val="left"/>
            </w:pPr>
            <w:r>
              <w:rPr>
                <w:color w:val="FFFFFF"/>
              </w:rPr>
              <w:t xml:space="preserve">Contrast (light)</w:t>
            </w:r>
          </w:p>
        </w:tc>
      </w:tr>
      <w:tr>
        <w:trPr>
          <w:cantSplit/>
        </w:trPr>
        <w:tc>
          <w:tcPr>
            <w:tcW w:w="2010" w:type="dxa"/>
            <w:vAlign w:val="top"/>
          </w:tcPr>
          <w:p>
            <w:pPr>
              <w:pStyle w:val="TableText"/>
              <w:jc w:val="left"/>
            </w:pPr>
            <w:r>
              <w:rPr>
                <w:rStyle w:val="CodeChar"/>
              </w:rPr>
              <w:t xml:space="preserve">--bg</w:t>
            </w:r>
          </w:p>
        </w:tc>
        <w:tc>
          <w:tcPr>
            <w:tcW w:w="1091" w:type="dxa"/>
            <w:vAlign w:val="top"/>
          </w:tcPr>
          <w:p>
            <w:pPr>
              <w:pStyle w:val="TableText"/>
              <w:jc w:val="left"/>
            </w:pPr>
            <w:r>
              <w:t xml:space="preserve">#F5F6F8</w:t>
            </w:r>
          </w:p>
        </w:tc>
        <w:tc>
          <w:tcPr>
            <w:tcW w:w="1091" w:type="dxa"/>
            <w:vAlign w:val="top"/>
          </w:tcPr>
          <w:p>
            <w:pPr>
              <w:pStyle w:val="TableText"/>
              <w:jc w:val="left"/>
            </w:pPr>
            <w:r>
              <w:t xml:space="preserve">#0B1430</w:t>
            </w:r>
          </w:p>
        </w:tc>
        <w:tc>
          <w:tcPr>
            <w:tcW w:w="2823" w:type="dxa"/>
            <w:vAlign w:val="top"/>
          </w:tcPr>
          <w:p>
            <w:pPr>
              <w:pStyle w:val="TableText"/>
              <w:jc w:val="left"/>
            </w:pPr>
            <w:r>
              <w:t xml:space="preserve">Page background</w:t>
            </w:r>
          </w:p>
        </w:tc>
        <w:tc>
          <w:tcPr>
            <w:tcW w:w="2012" w:type="dxa"/>
            <w:vAlign w:val="top"/>
          </w:tcPr>
          <w:p>
            <w:pPr>
              <w:pStyle w:val="TableText"/>
            </w:pPr>
          </w:p>
        </w:tc>
      </w:tr>
      <w:tr>
        <w:trPr>
          <w:cantSplit/>
        </w:trPr>
        <w:tc>
          <w:tcPr>
            <w:tcW w:w="2010" w:type="dxa"/>
            <w:shd w:val="clear" w:color="auto" w:fill="F4F7FB"/>
            <w:vAlign w:val="top"/>
          </w:tcPr>
          <w:p>
            <w:pPr>
              <w:pStyle w:val="TableText"/>
              <w:jc w:val="left"/>
            </w:pPr>
            <w:r>
              <w:rPr>
                <w:rStyle w:val="CodeChar"/>
              </w:rPr>
              <w:t xml:space="preserve">--surface</w:t>
            </w:r>
          </w:p>
        </w:tc>
        <w:tc>
          <w:tcPr>
            <w:tcW w:w="1091" w:type="dxa"/>
            <w:shd w:val="clear" w:color="auto" w:fill="F4F7FB"/>
            <w:vAlign w:val="top"/>
          </w:tcPr>
          <w:p>
            <w:pPr>
              <w:pStyle w:val="TableText"/>
              <w:jc w:val="left"/>
            </w:pPr>
            <w:r>
              <w:t xml:space="preserve">#FFFFFF</w:t>
            </w:r>
          </w:p>
        </w:tc>
        <w:tc>
          <w:tcPr>
            <w:tcW w:w="1091" w:type="dxa"/>
            <w:shd w:val="clear" w:color="auto" w:fill="F4F7FB"/>
            <w:vAlign w:val="top"/>
          </w:tcPr>
          <w:p>
            <w:pPr>
              <w:pStyle w:val="TableText"/>
              <w:jc w:val="left"/>
            </w:pPr>
            <w:r>
              <w:t xml:space="preserve">#111D3F</w:t>
            </w:r>
          </w:p>
        </w:tc>
        <w:tc>
          <w:tcPr>
            <w:tcW w:w="2823" w:type="dxa"/>
            <w:shd w:val="clear" w:color="auto" w:fill="F4F7FB"/>
            <w:vAlign w:val="top"/>
          </w:tcPr>
          <w:p>
            <w:pPr>
              <w:pStyle w:val="TableText"/>
              <w:jc w:val="left"/>
            </w:pPr>
            <w:r>
              <w:t xml:space="preserve">Cards, drawers, dialogs</w:t>
            </w:r>
          </w:p>
        </w:tc>
        <w:tc>
          <w:tcPr>
            <w:tcW w:w="2012" w:type="dxa"/>
            <w:shd w:val="clear" w:color="auto" w:fill="F4F7FB"/>
            <w:vAlign w:val="top"/>
          </w:tcPr>
          <w:p>
            <w:pPr>
              <w:pStyle w:val="TableText"/>
            </w:pPr>
          </w:p>
        </w:tc>
      </w:tr>
      <w:tr>
        <w:trPr>
          <w:cantSplit/>
        </w:trPr>
        <w:tc>
          <w:tcPr>
            <w:tcW w:w="2010" w:type="dxa"/>
            <w:vAlign w:val="top"/>
          </w:tcPr>
          <w:p>
            <w:pPr>
              <w:pStyle w:val="TableText"/>
              <w:jc w:val="left"/>
            </w:pPr>
            <w:r>
              <w:rPr>
                <w:rStyle w:val="CodeChar"/>
              </w:rPr>
              <w:t xml:space="preserve">--surface-2</w:t>
            </w:r>
          </w:p>
        </w:tc>
        <w:tc>
          <w:tcPr>
            <w:tcW w:w="1091" w:type="dxa"/>
            <w:vAlign w:val="top"/>
          </w:tcPr>
          <w:p>
            <w:pPr>
              <w:pStyle w:val="TableText"/>
              <w:jc w:val="left"/>
            </w:pPr>
            <w:r>
              <w:t xml:space="preserve">#F8F9FB</w:t>
            </w:r>
          </w:p>
        </w:tc>
        <w:tc>
          <w:tcPr>
            <w:tcW w:w="1091" w:type="dxa"/>
            <w:vAlign w:val="top"/>
          </w:tcPr>
          <w:p>
            <w:pPr>
              <w:pStyle w:val="TableText"/>
              <w:jc w:val="left"/>
            </w:pPr>
            <w:r>
              <w:t xml:space="preserve">#15234A</w:t>
            </w:r>
          </w:p>
        </w:tc>
        <w:tc>
          <w:tcPr>
            <w:tcW w:w="2823" w:type="dxa"/>
            <w:vAlign w:val="top"/>
          </w:tcPr>
          <w:p>
            <w:pPr>
              <w:pStyle w:val="TableText"/>
              <w:jc w:val="left"/>
            </w:pPr>
            <w:r>
              <w:t xml:space="preserve">Table headers, subtle panels</w:t>
            </w:r>
          </w:p>
        </w:tc>
        <w:tc>
          <w:tcPr>
            <w:tcW w:w="2012" w:type="dxa"/>
            <w:vAlign w:val="top"/>
          </w:tcPr>
          <w:p>
            <w:pPr>
              <w:pStyle w:val="TableText"/>
            </w:pPr>
          </w:p>
        </w:tc>
      </w:tr>
      <w:tr>
        <w:trPr>
          <w:cantSplit/>
        </w:trPr>
        <w:tc>
          <w:tcPr>
            <w:tcW w:w="2010" w:type="dxa"/>
            <w:shd w:val="clear" w:color="auto" w:fill="F4F7FB"/>
            <w:vAlign w:val="top"/>
          </w:tcPr>
          <w:p>
            <w:pPr>
              <w:pStyle w:val="TableText"/>
              <w:jc w:val="left"/>
            </w:pPr>
            <w:r>
              <w:rPr>
                <w:rStyle w:val="CodeChar"/>
              </w:rPr>
              <w:t xml:space="preserve">--text</w:t>
            </w:r>
          </w:p>
        </w:tc>
        <w:tc>
          <w:tcPr>
            <w:tcW w:w="1091" w:type="dxa"/>
            <w:shd w:val="clear" w:color="auto" w:fill="F4F7FB"/>
            <w:vAlign w:val="top"/>
          </w:tcPr>
          <w:p>
            <w:pPr>
              <w:pStyle w:val="TableText"/>
              <w:jc w:val="left"/>
            </w:pPr>
            <w:r>
              <w:t xml:space="preserve">#101828</w:t>
            </w:r>
          </w:p>
        </w:tc>
        <w:tc>
          <w:tcPr>
            <w:tcW w:w="1091" w:type="dxa"/>
            <w:shd w:val="clear" w:color="auto" w:fill="F4F7FB"/>
            <w:vAlign w:val="top"/>
          </w:tcPr>
          <w:p>
            <w:pPr>
              <w:pStyle w:val="TableText"/>
              <w:jc w:val="left"/>
            </w:pPr>
            <w:r>
              <w:t xml:space="preserve">#E8ECF4</w:t>
            </w:r>
          </w:p>
        </w:tc>
        <w:tc>
          <w:tcPr>
            <w:tcW w:w="2823" w:type="dxa"/>
            <w:shd w:val="clear" w:color="auto" w:fill="F4F7FB"/>
            <w:vAlign w:val="top"/>
          </w:tcPr>
          <w:p>
            <w:pPr>
              <w:pStyle w:val="TableText"/>
              <w:jc w:val="left"/>
            </w:pPr>
            <w:r>
              <w:t xml:space="preserve">Body text</w:t>
            </w:r>
          </w:p>
        </w:tc>
        <w:tc>
          <w:tcPr>
            <w:tcW w:w="2012" w:type="dxa"/>
            <w:shd w:val="clear" w:color="auto" w:fill="F4F7FB"/>
            <w:vAlign w:val="top"/>
          </w:tcPr>
          <w:p>
            <w:pPr>
              <w:pStyle w:val="TableText"/>
              <w:jc w:val="left"/>
            </w:pPr>
            <w:r>
              <w:t xml:space="preserve">17.75:1 on white</w:t>
            </w:r>
          </w:p>
        </w:tc>
      </w:tr>
      <w:tr>
        <w:trPr>
          <w:cantSplit/>
        </w:trPr>
        <w:tc>
          <w:tcPr>
            <w:tcW w:w="2010" w:type="dxa"/>
            <w:vAlign w:val="top"/>
          </w:tcPr>
          <w:p>
            <w:pPr>
              <w:pStyle w:val="TableText"/>
              <w:jc w:val="left"/>
            </w:pPr>
            <w:r>
              <w:rPr>
                <w:rStyle w:val="CodeChar"/>
              </w:rPr>
              <w:t xml:space="preserve">--text-muted</w:t>
            </w:r>
          </w:p>
        </w:tc>
        <w:tc>
          <w:tcPr>
            <w:tcW w:w="1091" w:type="dxa"/>
            <w:vAlign w:val="top"/>
          </w:tcPr>
          <w:p>
            <w:pPr>
              <w:pStyle w:val="TableText"/>
              <w:jc w:val="left"/>
            </w:pPr>
            <w:r>
              <w:t xml:space="preserve">#475467</w:t>
            </w:r>
          </w:p>
        </w:tc>
        <w:tc>
          <w:tcPr>
            <w:tcW w:w="1091" w:type="dxa"/>
            <w:vAlign w:val="top"/>
          </w:tcPr>
          <w:p>
            <w:pPr>
              <w:pStyle w:val="TableText"/>
              <w:jc w:val="left"/>
            </w:pPr>
            <w:r>
              <w:t xml:space="preserve">#AEB9D0</w:t>
            </w:r>
          </w:p>
        </w:tc>
        <w:tc>
          <w:tcPr>
            <w:tcW w:w="2823" w:type="dxa"/>
            <w:vAlign w:val="top"/>
          </w:tcPr>
          <w:p>
            <w:pPr>
              <w:pStyle w:val="TableText"/>
              <w:jc w:val="left"/>
            </w:pPr>
            <w:r>
              <w:t xml:space="preserve">Secondary text, labels</w:t>
            </w:r>
          </w:p>
        </w:tc>
        <w:tc>
          <w:tcPr>
            <w:tcW w:w="2012" w:type="dxa"/>
            <w:vAlign w:val="top"/>
          </w:tcPr>
          <w:p>
            <w:pPr>
              <w:pStyle w:val="TableText"/>
              <w:jc w:val="left"/>
            </w:pPr>
            <w:r>
              <w:t xml:space="preserve">7.69:1 on white</w:t>
            </w:r>
          </w:p>
        </w:tc>
      </w:tr>
      <w:tr>
        <w:trPr>
          <w:cantSplit/>
        </w:trPr>
        <w:tc>
          <w:tcPr>
            <w:tcW w:w="2010" w:type="dxa"/>
            <w:shd w:val="clear" w:color="auto" w:fill="F4F7FB"/>
            <w:vAlign w:val="top"/>
          </w:tcPr>
          <w:p>
            <w:pPr>
              <w:pStyle w:val="TableText"/>
              <w:jc w:val="left"/>
            </w:pPr>
            <w:r>
              <w:rPr>
                <w:rStyle w:val="CodeChar"/>
              </w:rPr>
              <w:t xml:space="preserve">--text-subtle</w:t>
            </w:r>
          </w:p>
        </w:tc>
        <w:tc>
          <w:tcPr>
            <w:tcW w:w="1091" w:type="dxa"/>
            <w:shd w:val="clear" w:color="auto" w:fill="F4F7FB"/>
            <w:vAlign w:val="top"/>
          </w:tcPr>
          <w:p>
            <w:pPr>
              <w:pStyle w:val="TableText"/>
              <w:jc w:val="left"/>
            </w:pPr>
            <w:r>
              <w:t xml:space="preserve">#667085</w:t>
            </w:r>
          </w:p>
        </w:tc>
        <w:tc>
          <w:tcPr>
            <w:tcW w:w="1091" w:type="dxa"/>
            <w:shd w:val="clear" w:color="auto" w:fill="F4F7FB"/>
            <w:vAlign w:val="top"/>
          </w:tcPr>
          <w:p>
            <w:pPr>
              <w:pStyle w:val="TableText"/>
              <w:jc w:val="left"/>
            </w:pPr>
            <w:r>
              <w:t xml:space="preserve">#8F9CB8</w:t>
            </w:r>
          </w:p>
        </w:tc>
        <w:tc>
          <w:tcPr>
            <w:tcW w:w="2823" w:type="dxa"/>
            <w:shd w:val="clear" w:color="auto" w:fill="F4F7FB"/>
            <w:vAlign w:val="top"/>
          </w:tcPr>
          <w:p>
            <w:pPr>
              <w:pStyle w:val="TableText"/>
              <w:jc w:val="left"/>
            </w:pPr>
            <w:r>
              <w:t xml:space="preserve">Meta text, placeholders</w:t>
            </w:r>
          </w:p>
        </w:tc>
        <w:tc>
          <w:tcPr>
            <w:tcW w:w="2012" w:type="dxa"/>
            <w:shd w:val="clear" w:color="auto" w:fill="F4F7FB"/>
            <w:vAlign w:val="top"/>
          </w:tcPr>
          <w:p>
            <w:pPr>
              <w:pStyle w:val="TableText"/>
              <w:jc w:val="left"/>
            </w:pPr>
            <w:r>
              <w:t xml:space="preserve">4.97:1 on white, 4.60:1 on the page</w:t>
            </w:r>
          </w:p>
        </w:tc>
      </w:tr>
      <w:tr>
        <w:trPr>
          <w:cantSplit/>
        </w:trPr>
        <w:tc>
          <w:tcPr>
            <w:tcW w:w="2010" w:type="dxa"/>
            <w:vAlign w:val="top"/>
          </w:tcPr>
          <w:p>
            <w:pPr>
              <w:pStyle w:val="TableText"/>
              <w:jc w:val="left"/>
            </w:pPr>
            <w:r>
              <w:rPr>
                <w:rStyle w:val="CodeChar"/>
              </w:rPr>
              <w:t xml:space="preserve">--heading</w:t>
            </w:r>
          </w:p>
        </w:tc>
        <w:tc>
          <w:tcPr>
            <w:tcW w:w="1091" w:type="dxa"/>
            <w:vAlign w:val="top"/>
          </w:tcPr>
          <w:p>
            <w:pPr>
              <w:pStyle w:val="TableText"/>
              <w:jc w:val="left"/>
            </w:pPr>
            <w:r>
              <w:t xml:space="preserve">#213368</w:t>
            </w:r>
          </w:p>
        </w:tc>
        <w:tc>
          <w:tcPr>
            <w:tcW w:w="1091" w:type="dxa"/>
            <w:vAlign w:val="top"/>
          </w:tcPr>
          <w:p>
            <w:pPr>
              <w:pStyle w:val="TableText"/>
              <w:jc w:val="left"/>
            </w:pPr>
            <w:r>
              <w:t xml:space="preserve">#EEF1F8</w:t>
            </w:r>
          </w:p>
        </w:tc>
        <w:tc>
          <w:tcPr>
            <w:tcW w:w="2823" w:type="dxa"/>
            <w:vAlign w:val="top"/>
          </w:tcPr>
          <w:p>
            <w:pPr>
              <w:pStyle w:val="TableText"/>
              <w:jc w:val="left"/>
            </w:pPr>
            <w:r>
              <w:t xml:space="preserve">Headings</w:t>
            </w:r>
          </w:p>
        </w:tc>
        <w:tc>
          <w:tcPr>
            <w:tcW w:w="2012" w:type="dxa"/>
            <w:vAlign w:val="top"/>
          </w:tcPr>
          <w:p>
            <w:pPr>
              <w:pStyle w:val="TableText"/>
              <w:jc w:val="left"/>
            </w:pPr>
            <w:r>
              <w:t xml:space="preserve">12.08:1 on white</w:t>
            </w:r>
          </w:p>
        </w:tc>
      </w:tr>
      <w:tr>
        <w:trPr>
          <w:cantSplit/>
        </w:trPr>
        <w:tc>
          <w:tcPr>
            <w:tcW w:w="2010" w:type="dxa"/>
            <w:shd w:val="clear" w:color="auto" w:fill="F4F7FB"/>
            <w:vAlign w:val="top"/>
          </w:tcPr>
          <w:p>
            <w:pPr>
              <w:pStyle w:val="TableText"/>
              <w:jc w:val="left"/>
            </w:pPr>
            <w:r>
              <w:rPr>
                <w:rStyle w:val="CodeChar"/>
              </w:rPr>
              <w:t xml:space="preserve">--border</w:t>
            </w:r>
          </w:p>
        </w:tc>
        <w:tc>
          <w:tcPr>
            <w:tcW w:w="1091" w:type="dxa"/>
            <w:shd w:val="clear" w:color="auto" w:fill="F4F7FB"/>
            <w:vAlign w:val="top"/>
          </w:tcPr>
          <w:p>
            <w:pPr>
              <w:pStyle w:val="TableText"/>
              <w:jc w:val="left"/>
            </w:pPr>
            <w:r>
              <w:t xml:space="preserve">#E4E7EC</w:t>
            </w:r>
          </w:p>
        </w:tc>
        <w:tc>
          <w:tcPr>
            <w:tcW w:w="1091" w:type="dxa"/>
            <w:shd w:val="clear" w:color="auto" w:fill="F4F7FB"/>
            <w:vAlign w:val="top"/>
          </w:tcPr>
          <w:p>
            <w:pPr>
              <w:pStyle w:val="TableText"/>
              <w:jc w:val="left"/>
            </w:pPr>
            <w:r>
              <w:t xml:space="preserve">#26386B</w:t>
            </w:r>
          </w:p>
        </w:tc>
        <w:tc>
          <w:tcPr>
            <w:tcW w:w="2823" w:type="dxa"/>
            <w:shd w:val="clear" w:color="auto" w:fill="F4F7FB"/>
            <w:vAlign w:val="top"/>
          </w:tcPr>
          <w:p>
            <w:pPr>
              <w:pStyle w:val="TableText"/>
              <w:jc w:val="left"/>
            </w:pPr>
            <w:r>
              <w:t xml:space="preserve">Card and table borders</w:t>
            </w:r>
          </w:p>
        </w:tc>
        <w:tc>
          <w:tcPr>
            <w:tcW w:w="2012" w:type="dxa"/>
            <w:shd w:val="clear" w:color="auto" w:fill="F4F7FB"/>
            <w:vAlign w:val="top"/>
          </w:tcPr>
          <w:p>
            <w:pPr>
              <w:pStyle w:val="TableText"/>
            </w:pPr>
          </w:p>
        </w:tc>
      </w:tr>
      <w:tr>
        <w:trPr>
          <w:cantSplit/>
        </w:trPr>
        <w:tc>
          <w:tcPr>
            <w:tcW w:w="2010" w:type="dxa"/>
            <w:vAlign w:val="top"/>
          </w:tcPr>
          <w:p>
            <w:pPr>
              <w:pStyle w:val="TableText"/>
              <w:jc w:val="left"/>
            </w:pPr>
            <w:r>
              <w:rPr>
                <w:rStyle w:val="CodeChar"/>
              </w:rPr>
              <w:t xml:space="preserve">--border-strong</w:t>
            </w:r>
          </w:p>
        </w:tc>
        <w:tc>
          <w:tcPr>
            <w:tcW w:w="1091" w:type="dxa"/>
            <w:vAlign w:val="top"/>
          </w:tcPr>
          <w:p>
            <w:pPr>
              <w:pStyle w:val="TableText"/>
              <w:jc w:val="left"/>
            </w:pPr>
            <w:r>
              <w:t xml:space="preserve">#D0D5DD</w:t>
            </w:r>
          </w:p>
        </w:tc>
        <w:tc>
          <w:tcPr>
            <w:tcW w:w="1091" w:type="dxa"/>
            <w:vAlign w:val="top"/>
          </w:tcPr>
          <w:p>
            <w:pPr>
              <w:pStyle w:val="TableText"/>
              <w:jc w:val="left"/>
            </w:pPr>
            <w:r>
              <w:t xml:space="preserve">#34497F</w:t>
            </w:r>
          </w:p>
        </w:tc>
        <w:tc>
          <w:tcPr>
            <w:tcW w:w="2823" w:type="dxa"/>
            <w:vAlign w:val="top"/>
          </w:tcPr>
          <w:p>
            <w:pPr>
              <w:pStyle w:val="TableText"/>
              <w:jc w:val="left"/>
            </w:pPr>
            <w:r>
              <w:t xml:space="preserve">Button and chip borders, dividers</w:t>
            </w:r>
          </w:p>
        </w:tc>
        <w:tc>
          <w:tcPr>
            <w:tcW w:w="2012" w:type="dxa"/>
            <w:vAlign w:val="top"/>
          </w:tcPr>
          <w:p>
            <w:pPr>
              <w:pStyle w:val="TableText"/>
            </w:pPr>
          </w:p>
        </w:tc>
      </w:tr>
      <w:tr>
        <w:trPr>
          <w:cantSplit/>
        </w:trPr>
        <w:tc>
          <w:tcPr>
            <w:tcW w:w="2010" w:type="dxa"/>
            <w:shd w:val="clear" w:color="auto" w:fill="F4F7FB"/>
            <w:vAlign w:val="top"/>
          </w:tcPr>
          <w:p>
            <w:pPr>
              <w:pStyle w:val="TableText"/>
              <w:jc w:val="left"/>
            </w:pPr>
            <w:r>
              <w:rPr>
                <w:rStyle w:val="CodeChar"/>
              </w:rPr>
              <w:t xml:space="preserve">--border-input</w:t>
            </w:r>
          </w:p>
        </w:tc>
        <w:tc>
          <w:tcPr>
            <w:tcW w:w="1091" w:type="dxa"/>
            <w:shd w:val="clear" w:color="auto" w:fill="F4F7FB"/>
            <w:vAlign w:val="top"/>
          </w:tcPr>
          <w:p>
            <w:pPr>
              <w:pStyle w:val="TableText"/>
              <w:jc w:val="left"/>
            </w:pPr>
            <w:r>
              <w:t xml:space="preserve">#8A94A6</w:t>
            </w:r>
          </w:p>
        </w:tc>
        <w:tc>
          <w:tcPr>
            <w:tcW w:w="1091" w:type="dxa"/>
            <w:shd w:val="clear" w:color="auto" w:fill="F4F7FB"/>
            <w:vAlign w:val="top"/>
          </w:tcPr>
          <w:p>
            <w:pPr>
              <w:pStyle w:val="TableText"/>
              <w:jc w:val="left"/>
            </w:pPr>
            <w:r>
              <w:t xml:space="preserve">#6A7FB3</w:t>
            </w:r>
          </w:p>
        </w:tc>
        <w:tc>
          <w:tcPr>
            <w:tcW w:w="2823" w:type="dxa"/>
            <w:shd w:val="clear" w:color="auto" w:fill="F4F7FB"/>
            <w:vAlign w:val="top"/>
          </w:tcPr>
          <w:p>
            <w:pPr>
              <w:pStyle w:val="TableText"/>
              <w:jc w:val="left"/>
            </w:pPr>
            <w:r>
              <w:t xml:space="preserve">Form-field borders, 3.06:1 on white</w:t>
            </w:r>
          </w:p>
        </w:tc>
        <w:tc>
          <w:tcPr>
            <w:tcW w:w="2012" w:type="dxa"/>
            <w:shd w:val="clear" w:color="auto" w:fill="F4F7FB"/>
            <w:vAlign w:val="top"/>
          </w:tcPr>
          <w:p>
            <w:pPr>
              <w:pStyle w:val="TableText"/>
            </w:pPr>
          </w:p>
        </w:tc>
      </w:tr>
    </w:tbl>
    <w:p>
      <w:pPr>
        <w:pStyle w:val="Heading2"/>
      </w:pPr>
      <w:bookmarkStart w:id="22" w:name="_Toc300000018"/>
      <w:r>
        <w:t xml:space="preserve">Semantic colours</w:t>
      </w:r>
      <w:bookmarkEnd w:id="22"/>
    </w:p>
    <w:p>
      <w:pPr>
        <w:pStyle w:val="FirstParagraph"/>
      </w:pPr>
      <w:r>
        <w:t xml:space="preserve">Semantic colours carry meaning in chips, banners and toasts. They always come with a word and usually an icon, never colour alone.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38"/>
        <w:gridCol w:w="1098"/>
        <w:gridCol w:w="1460"/>
        <w:gridCol w:w="3715"/>
        <w:gridCol w:w="1216"/>
      </w:tblGrid>
      <w:tr>
        <w:trPr>
          <w:cantSplit/>
          <w:tblHeader/>
        </w:trPr>
        <w:tc>
          <w:tcPr>
            <w:tcW w:w="1538" w:type="dxa"/>
            <w:shd w:val="clear" w:color="auto" w:fill="0F4761"/>
            <w:vAlign w:val="center"/>
          </w:tcPr>
          <w:p>
            <w:pPr>
              <w:pStyle w:val="TableHeading"/>
              <w:jc w:val="left"/>
            </w:pPr>
            <w:r>
              <w:rPr>
                <w:color w:val="FFFFFF"/>
              </w:rPr>
              <w:t xml:space="preserve">Tone</w:t>
            </w:r>
          </w:p>
        </w:tc>
        <w:tc>
          <w:tcPr>
            <w:tcW w:w="1098" w:type="dxa"/>
            <w:shd w:val="clear" w:color="auto" w:fill="0F4761"/>
            <w:vAlign w:val="center"/>
          </w:tcPr>
          <w:p>
            <w:pPr>
              <w:pStyle w:val="TableHeading"/>
              <w:jc w:val="left"/>
            </w:pPr>
            <w:r>
              <w:rPr>
                <w:color w:val="FFFFFF"/>
              </w:rPr>
              <w:t xml:space="preserve">Text</w:t>
            </w:r>
          </w:p>
        </w:tc>
        <w:tc>
          <w:tcPr>
            <w:tcW w:w="1460" w:type="dxa"/>
            <w:shd w:val="clear" w:color="auto" w:fill="0F4761"/>
            <w:vAlign w:val="center"/>
          </w:tcPr>
          <w:p>
            <w:pPr>
              <w:pStyle w:val="TableHeading"/>
              <w:jc w:val="left"/>
            </w:pPr>
            <w:r>
              <w:rPr>
                <w:color w:val="FFFFFF"/>
              </w:rPr>
              <w:t xml:space="preserve">Background</w:t>
            </w:r>
          </w:p>
        </w:tc>
        <w:tc>
          <w:tcPr>
            <w:tcW w:w="3715" w:type="dxa"/>
            <w:shd w:val="clear" w:color="auto" w:fill="0F4761"/>
            <w:vAlign w:val="center"/>
          </w:tcPr>
          <w:p>
            <w:pPr>
              <w:pStyle w:val="TableHeading"/>
              <w:jc w:val="left"/>
            </w:pPr>
            <w:r>
              <w:rPr>
                <w:color w:val="FFFFFF"/>
              </w:rPr>
              <w:t xml:space="preserve">Used for</w:t>
            </w:r>
          </w:p>
        </w:tc>
        <w:tc>
          <w:tcPr>
            <w:tcW w:w="1216" w:type="dxa"/>
            <w:shd w:val="clear" w:color="auto" w:fill="0F4761"/>
            <w:vAlign w:val="center"/>
          </w:tcPr>
          <w:p>
            <w:pPr>
              <w:pStyle w:val="TableHeading"/>
              <w:jc w:val="left"/>
            </w:pPr>
            <w:r>
              <w:rPr>
                <w:color w:val="FFFFFF"/>
              </w:rPr>
              <w:t xml:space="preserve">Contrast</w:t>
            </w:r>
          </w:p>
        </w:tc>
      </w:tr>
      <w:tr>
        <w:trPr>
          <w:cantSplit/>
        </w:trPr>
        <w:tc>
          <w:tcPr>
            <w:tcW w:w="1538" w:type="dxa"/>
            <w:vAlign w:val="top"/>
          </w:tcPr>
          <w:p>
            <w:pPr>
              <w:pStyle w:val="TableText"/>
              <w:jc w:val="left"/>
            </w:pPr>
            <w:r>
              <w:t xml:space="preserve">Success</w:t>
            </w:r>
          </w:p>
        </w:tc>
        <w:tc>
          <w:tcPr>
            <w:tcW w:w="1098" w:type="dxa"/>
            <w:vAlign w:val="top"/>
          </w:tcPr>
          <w:p>
            <w:pPr>
              <w:pStyle w:val="TableText"/>
              <w:jc w:val="left"/>
            </w:pPr>
            <w:r>
              <w:t xml:space="preserve">#067647</w:t>
            </w:r>
          </w:p>
        </w:tc>
        <w:tc>
          <w:tcPr>
            <w:tcW w:w="1460" w:type="dxa"/>
            <w:vAlign w:val="top"/>
          </w:tcPr>
          <w:p>
            <w:pPr>
              <w:pStyle w:val="TableText"/>
              <w:jc w:val="left"/>
            </w:pPr>
            <w:r>
              <w:t xml:space="preserve">#ECFDF3</w:t>
            </w:r>
          </w:p>
        </w:tc>
        <w:tc>
          <w:tcPr>
            <w:tcW w:w="3715" w:type="dxa"/>
            <w:vAlign w:val="top"/>
          </w:tcPr>
          <w:p>
            <w:pPr>
              <w:pStyle w:val="TableText"/>
              <w:jc w:val="left"/>
            </w:pPr>
            <w:r>
              <w:t xml:space="preserve">Active, approved, paid, won, on track</w:t>
            </w:r>
          </w:p>
        </w:tc>
        <w:tc>
          <w:tcPr>
            <w:tcW w:w="1216" w:type="dxa"/>
            <w:vAlign w:val="top"/>
          </w:tcPr>
          <w:p>
            <w:pPr>
              <w:pStyle w:val="TableText"/>
              <w:jc w:val="left"/>
            </w:pPr>
            <w:r>
              <w:t xml:space="preserve">5.40:1</w:t>
            </w:r>
          </w:p>
        </w:tc>
      </w:tr>
      <w:tr>
        <w:trPr>
          <w:cantSplit/>
        </w:trPr>
        <w:tc>
          <w:tcPr>
            <w:tcW w:w="1538" w:type="dxa"/>
            <w:shd w:val="clear" w:color="auto" w:fill="F4F7FB"/>
            <w:vAlign w:val="top"/>
          </w:tcPr>
          <w:p>
            <w:pPr>
              <w:pStyle w:val="TableText"/>
              <w:jc w:val="left"/>
            </w:pPr>
            <w:r>
              <w:t xml:space="preserve">Warning</w:t>
            </w:r>
          </w:p>
        </w:tc>
        <w:tc>
          <w:tcPr>
            <w:tcW w:w="1098" w:type="dxa"/>
            <w:shd w:val="clear" w:color="auto" w:fill="F4F7FB"/>
            <w:vAlign w:val="top"/>
          </w:tcPr>
          <w:p>
            <w:pPr>
              <w:pStyle w:val="TableText"/>
              <w:jc w:val="left"/>
            </w:pPr>
            <w:r>
              <w:t xml:space="preserve">#93370D</w:t>
            </w:r>
          </w:p>
        </w:tc>
        <w:tc>
          <w:tcPr>
            <w:tcW w:w="1460" w:type="dxa"/>
            <w:shd w:val="clear" w:color="auto" w:fill="F4F7FB"/>
            <w:vAlign w:val="top"/>
          </w:tcPr>
          <w:p>
            <w:pPr>
              <w:pStyle w:val="TableText"/>
              <w:jc w:val="left"/>
            </w:pPr>
            <w:r>
              <w:t xml:space="preserve">#FFFAEB</w:t>
            </w:r>
          </w:p>
        </w:tc>
        <w:tc>
          <w:tcPr>
            <w:tcW w:w="3715" w:type="dxa"/>
            <w:shd w:val="clear" w:color="auto" w:fill="F4F7FB"/>
            <w:vAlign w:val="top"/>
          </w:tcPr>
          <w:p>
            <w:pPr>
              <w:pStyle w:val="TableText"/>
              <w:jc w:val="left"/>
            </w:pPr>
            <w:r>
              <w:t xml:space="preserve">Awaiting approval, callback, due soon</w:t>
            </w:r>
          </w:p>
        </w:tc>
        <w:tc>
          <w:tcPr>
            <w:tcW w:w="1216" w:type="dxa"/>
            <w:shd w:val="clear" w:color="auto" w:fill="F4F7FB"/>
            <w:vAlign w:val="top"/>
          </w:tcPr>
          <w:p>
            <w:pPr>
              <w:pStyle w:val="TableText"/>
              <w:jc w:val="left"/>
            </w:pPr>
            <w:r>
              <w:t xml:space="preserve">7.21:1</w:t>
            </w:r>
          </w:p>
        </w:tc>
      </w:tr>
      <w:tr>
        <w:trPr>
          <w:cantSplit/>
        </w:trPr>
        <w:tc>
          <w:tcPr>
            <w:tcW w:w="1538" w:type="dxa"/>
            <w:vAlign w:val="top"/>
          </w:tcPr>
          <w:p>
            <w:pPr>
              <w:pStyle w:val="TableText"/>
              <w:jc w:val="left"/>
            </w:pPr>
            <w:r>
              <w:t xml:space="preserve">Danger</w:t>
            </w:r>
          </w:p>
        </w:tc>
        <w:tc>
          <w:tcPr>
            <w:tcW w:w="1098" w:type="dxa"/>
            <w:vAlign w:val="top"/>
          </w:tcPr>
          <w:p>
            <w:pPr>
              <w:pStyle w:val="TableText"/>
              <w:jc w:val="left"/>
            </w:pPr>
            <w:r>
              <w:t xml:space="preserve">#B42318</w:t>
            </w:r>
          </w:p>
        </w:tc>
        <w:tc>
          <w:tcPr>
            <w:tcW w:w="1460" w:type="dxa"/>
            <w:vAlign w:val="top"/>
          </w:tcPr>
          <w:p>
            <w:pPr>
              <w:pStyle w:val="TableText"/>
              <w:jc w:val="left"/>
            </w:pPr>
            <w:r>
              <w:t xml:space="preserve">#FEF3F2</w:t>
            </w:r>
          </w:p>
        </w:tc>
        <w:tc>
          <w:tcPr>
            <w:tcW w:w="3715" w:type="dxa"/>
            <w:vAlign w:val="top"/>
          </w:tcPr>
          <w:p>
            <w:pPr>
              <w:pStyle w:val="TableText"/>
              <w:jc w:val="left"/>
            </w:pPr>
            <w:r>
              <w:t xml:space="preserve">Rejected, lost, failed, breached</w:t>
            </w:r>
          </w:p>
        </w:tc>
        <w:tc>
          <w:tcPr>
            <w:tcW w:w="1216" w:type="dxa"/>
            <w:vAlign w:val="top"/>
          </w:tcPr>
          <w:p>
            <w:pPr>
              <w:pStyle w:val="TableText"/>
              <w:jc w:val="left"/>
            </w:pPr>
            <w:r>
              <w:t xml:space="preserve">6.05:1</w:t>
            </w:r>
          </w:p>
        </w:tc>
      </w:tr>
      <w:tr>
        <w:trPr>
          <w:cantSplit/>
        </w:trPr>
        <w:tc>
          <w:tcPr>
            <w:tcW w:w="1538" w:type="dxa"/>
            <w:shd w:val="clear" w:color="auto" w:fill="F4F7FB"/>
            <w:vAlign w:val="top"/>
          </w:tcPr>
          <w:p>
            <w:pPr>
              <w:pStyle w:val="TableText"/>
              <w:jc w:val="left"/>
            </w:pPr>
            <w:r>
              <w:t xml:space="preserve">Information</w:t>
            </w:r>
          </w:p>
        </w:tc>
        <w:tc>
          <w:tcPr>
            <w:tcW w:w="1098" w:type="dxa"/>
            <w:shd w:val="clear" w:color="auto" w:fill="F4F7FB"/>
            <w:vAlign w:val="top"/>
          </w:tcPr>
          <w:p>
            <w:pPr>
              <w:pStyle w:val="TableText"/>
              <w:jc w:val="left"/>
            </w:pPr>
            <w:r>
              <w:t xml:space="preserve">#1D4ED8</w:t>
            </w:r>
          </w:p>
        </w:tc>
        <w:tc>
          <w:tcPr>
            <w:tcW w:w="1460" w:type="dxa"/>
            <w:shd w:val="clear" w:color="auto" w:fill="F4F7FB"/>
            <w:vAlign w:val="top"/>
          </w:tcPr>
          <w:p>
            <w:pPr>
              <w:pStyle w:val="TableText"/>
              <w:jc w:val="left"/>
            </w:pPr>
            <w:r>
              <w:t xml:space="preserve">#EFF4FF</w:t>
            </w:r>
          </w:p>
        </w:tc>
        <w:tc>
          <w:tcPr>
            <w:tcW w:w="3715" w:type="dxa"/>
            <w:shd w:val="clear" w:color="auto" w:fill="F4F7FB"/>
            <w:vAlign w:val="top"/>
          </w:tcPr>
          <w:p>
            <w:pPr>
              <w:pStyle w:val="TableText"/>
              <w:jc w:val="left"/>
            </w:pPr>
            <w:r>
              <w:t xml:space="preserve">Submitted, in progress, scheduled</w:t>
            </w:r>
          </w:p>
        </w:tc>
        <w:tc>
          <w:tcPr>
            <w:tcW w:w="1216" w:type="dxa"/>
            <w:shd w:val="clear" w:color="auto" w:fill="F4F7FB"/>
            <w:vAlign w:val="top"/>
          </w:tcPr>
          <w:p>
            <w:pPr>
              <w:pStyle w:val="TableText"/>
              <w:jc w:val="left"/>
            </w:pPr>
            <w:r>
              <w:t xml:space="preserve">6.08:1</w:t>
            </w:r>
          </w:p>
        </w:tc>
      </w:tr>
      <w:tr>
        <w:trPr>
          <w:cantSplit/>
        </w:trPr>
        <w:tc>
          <w:tcPr>
            <w:tcW w:w="1538" w:type="dxa"/>
            <w:vAlign w:val="top"/>
          </w:tcPr>
          <w:p>
            <w:pPr>
              <w:pStyle w:val="TableText"/>
              <w:jc w:val="left"/>
            </w:pPr>
            <w:r>
              <w:t xml:space="preserve">Neutral</w:t>
            </w:r>
          </w:p>
        </w:tc>
        <w:tc>
          <w:tcPr>
            <w:tcW w:w="1098" w:type="dxa"/>
            <w:vAlign w:val="top"/>
          </w:tcPr>
          <w:p>
            <w:pPr>
              <w:pStyle w:val="TableText"/>
              <w:jc w:val="left"/>
            </w:pPr>
            <w:r>
              <w:t xml:space="preserve">#344054</w:t>
            </w:r>
          </w:p>
        </w:tc>
        <w:tc>
          <w:tcPr>
            <w:tcW w:w="1460" w:type="dxa"/>
            <w:vAlign w:val="top"/>
          </w:tcPr>
          <w:p>
            <w:pPr>
              <w:pStyle w:val="TableText"/>
              <w:jc w:val="left"/>
            </w:pPr>
            <w:r>
              <w:t xml:space="preserve">#F2F4F7</w:t>
            </w:r>
          </w:p>
        </w:tc>
        <w:tc>
          <w:tcPr>
            <w:tcW w:w="3715" w:type="dxa"/>
            <w:vAlign w:val="top"/>
          </w:tcPr>
          <w:p>
            <w:pPr>
              <w:pStyle w:val="TableText"/>
              <w:jc w:val="left"/>
            </w:pPr>
            <w:r>
              <w:t xml:space="preserve">Draft, closed, skipped</w:t>
            </w:r>
          </w:p>
        </w:tc>
        <w:tc>
          <w:tcPr>
            <w:tcW w:w="1216" w:type="dxa"/>
            <w:vAlign w:val="top"/>
          </w:tcPr>
          <w:p>
            <w:pPr>
              <w:pStyle w:val="TableText"/>
              <w:jc w:val="left"/>
            </w:pPr>
            <w:r>
              <w:t xml:space="preserve">9.49:1</w:t>
            </w:r>
          </w:p>
        </w:tc>
      </w:tr>
    </w:tbl>
    <w:p>
      <w:pPr>
        <w:pStyle w:val="BodyText"/>
        <w:spacing w:before="160"/>
      </w:pPr>
      <w:r>
        <w:t xml:space="preserve">In the dark theme the same tones use light text on deep backgrounds (for example success #6CE9A6 on #0D2A1E, 10.13:1). Lead tiers reuse the tones: Hot in danger red, Warm in warning amber and Nurture in grey.</w:t>
      </w:r>
    </w:p>
    <w:p>
      <w:pPr>
        <w:pStyle w:val="Heading2"/>
      </w:pPr>
      <w:bookmarkStart w:id="23" w:name="_Toc300000019"/>
      <w:r>
        <w:t xml:space="preserve">Chart palette</w:t>
      </w:r>
      <w:bookmarkEnd w:id="23"/>
    </w:p>
    <w:p>
      <w:pPr>
        <w:pStyle w:val="FirstParagraph"/>
      </w:pPr>
      <w:r>
        <w:t xml:space="preserve">Charts use the brand colours first, then a grey and two semantic accents. Series keep the same colour across every chart.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04"/>
        <w:gridCol w:w="4735"/>
        <w:gridCol w:w="2288"/>
      </w:tblGrid>
      <w:tr>
        <w:trPr>
          <w:cantSplit/>
          <w:tblHeader/>
        </w:trPr>
        <w:tc>
          <w:tcPr>
            <w:tcW w:w="2004" w:type="dxa"/>
            <w:shd w:val="clear" w:color="auto" w:fill="0F4761"/>
            <w:vAlign w:val="center"/>
          </w:tcPr>
          <w:p>
            <w:pPr>
              <w:pStyle w:val="TableHeading"/>
              <w:jc w:val="left"/>
            </w:pPr>
            <w:r>
              <w:rPr>
                <w:color w:val="FFFFFF"/>
              </w:rPr>
              <w:t xml:space="preserve">Series</w:t>
            </w:r>
          </w:p>
        </w:tc>
        <w:tc>
          <w:tcPr>
            <w:tcW w:w="4735" w:type="dxa"/>
            <w:shd w:val="clear" w:color="auto" w:fill="0F4761"/>
            <w:vAlign w:val="center"/>
          </w:tcPr>
          <w:p>
            <w:pPr>
              <w:pStyle w:val="TableHeading"/>
              <w:jc w:val="left"/>
            </w:pPr>
            <w:r>
              <w:rPr>
                <w:color w:val="FFFFFF"/>
              </w:rPr>
              <w:t xml:space="preserve">Light</w:t>
            </w:r>
          </w:p>
        </w:tc>
        <w:tc>
          <w:tcPr>
            <w:tcW w:w="2288" w:type="dxa"/>
            <w:shd w:val="clear" w:color="auto" w:fill="0F4761"/>
            <w:vAlign w:val="center"/>
          </w:tcPr>
          <w:p>
            <w:pPr>
              <w:pStyle w:val="TableHeading"/>
              <w:jc w:val="left"/>
            </w:pPr>
            <w:r>
              <w:rPr>
                <w:color w:val="FFFFFF"/>
              </w:rPr>
              <w:t xml:space="preserve">Dark</w:t>
            </w:r>
          </w:p>
        </w:tc>
      </w:tr>
      <w:tr>
        <w:trPr>
          <w:cantSplit/>
        </w:trPr>
        <w:tc>
          <w:tcPr>
            <w:tcW w:w="2004" w:type="dxa"/>
            <w:vAlign w:val="top"/>
          </w:tcPr>
          <w:p>
            <w:pPr>
              <w:pStyle w:val="TableText"/>
              <w:jc w:val="left"/>
            </w:pPr>
            <w:r>
              <w:t xml:space="preserve">1</w:t>
            </w:r>
          </w:p>
        </w:tc>
        <w:tc>
          <w:tcPr>
            <w:tcW w:w="4735" w:type="dxa"/>
            <w:vAlign w:val="top"/>
          </w:tcPr>
          <w:p>
            <w:pPr>
              <w:pStyle w:val="TableText"/>
              <w:jc w:val="left"/>
            </w:pPr>
            <w:r>
              <w:t xml:space="preserve">#213368 navy</w:t>
            </w:r>
          </w:p>
        </w:tc>
        <w:tc>
          <w:tcPr>
            <w:tcW w:w="2288" w:type="dxa"/>
            <w:vAlign w:val="top"/>
          </w:tcPr>
          <w:p>
            <w:pPr>
              <w:pStyle w:val="TableText"/>
              <w:jc w:val="left"/>
            </w:pPr>
            <w:r>
              <w:t xml:space="preserve">#9DB0F0</w:t>
            </w:r>
          </w:p>
        </w:tc>
      </w:tr>
      <w:tr>
        <w:trPr>
          <w:cantSplit/>
        </w:trPr>
        <w:tc>
          <w:tcPr>
            <w:tcW w:w="2004" w:type="dxa"/>
            <w:shd w:val="clear" w:color="auto" w:fill="F4F7FB"/>
            <w:vAlign w:val="top"/>
          </w:tcPr>
          <w:p>
            <w:pPr>
              <w:pStyle w:val="TableText"/>
              <w:jc w:val="left"/>
            </w:pPr>
            <w:r>
              <w:t xml:space="preserve">2</w:t>
            </w:r>
          </w:p>
        </w:tc>
        <w:tc>
          <w:tcPr>
            <w:tcW w:w="4735" w:type="dxa"/>
            <w:shd w:val="clear" w:color="auto" w:fill="F4F7FB"/>
            <w:vAlign w:val="top"/>
          </w:tcPr>
          <w:p>
            <w:pPr>
              <w:pStyle w:val="TableText"/>
              <w:jc w:val="left"/>
            </w:pPr>
            <w:r>
              <w:t xml:space="preserve">#0F8482 action teal</w:t>
            </w:r>
          </w:p>
        </w:tc>
        <w:tc>
          <w:tcPr>
            <w:tcW w:w="2288" w:type="dxa"/>
            <w:shd w:val="clear" w:color="auto" w:fill="F4F7FB"/>
            <w:vAlign w:val="top"/>
          </w:tcPr>
          <w:p>
            <w:pPr>
              <w:pStyle w:val="TableText"/>
              <w:jc w:val="left"/>
            </w:pPr>
            <w:r>
              <w:t xml:space="preserve">#6CC7C5</w:t>
            </w:r>
          </w:p>
        </w:tc>
      </w:tr>
      <w:tr>
        <w:trPr>
          <w:cantSplit/>
        </w:trPr>
        <w:tc>
          <w:tcPr>
            <w:tcW w:w="2004" w:type="dxa"/>
            <w:vAlign w:val="top"/>
          </w:tcPr>
          <w:p>
            <w:pPr>
              <w:pStyle w:val="TableText"/>
              <w:jc w:val="left"/>
            </w:pPr>
            <w:r>
              <w:t xml:space="preserve">3</w:t>
            </w:r>
          </w:p>
        </w:tc>
        <w:tc>
          <w:tcPr>
            <w:tcW w:w="4735" w:type="dxa"/>
            <w:vAlign w:val="top"/>
          </w:tcPr>
          <w:p>
            <w:pPr>
              <w:pStyle w:val="TableText"/>
              <w:jc w:val="left"/>
            </w:pPr>
            <w:r>
              <w:t xml:space="preserve">#6CC7C5 brand teal</w:t>
            </w:r>
          </w:p>
        </w:tc>
        <w:tc>
          <w:tcPr>
            <w:tcW w:w="2288" w:type="dxa"/>
            <w:vAlign w:val="top"/>
          </w:tcPr>
          <w:p>
            <w:pPr>
              <w:pStyle w:val="TableText"/>
              <w:jc w:val="left"/>
            </w:pPr>
            <w:r>
              <w:t xml:space="preserve">#B4E6E4</w:t>
            </w:r>
          </w:p>
        </w:tc>
      </w:tr>
      <w:tr>
        <w:trPr>
          <w:cantSplit/>
        </w:trPr>
        <w:tc>
          <w:tcPr>
            <w:tcW w:w="2004" w:type="dxa"/>
            <w:shd w:val="clear" w:color="auto" w:fill="F4F7FB"/>
            <w:vAlign w:val="top"/>
          </w:tcPr>
          <w:p>
            <w:pPr>
              <w:pStyle w:val="TableText"/>
              <w:jc w:val="left"/>
            </w:pPr>
            <w:r>
              <w:t xml:space="preserve">4</w:t>
            </w:r>
          </w:p>
        </w:tc>
        <w:tc>
          <w:tcPr>
            <w:tcW w:w="4735" w:type="dxa"/>
            <w:shd w:val="clear" w:color="auto" w:fill="F4F7FB"/>
            <w:vAlign w:val="top"/>
          </w:tcPr>
          <w:p>
            <w:pPr>
              <w:pStyle w:val="TableText"/>
              <w:jc w:val="left"/>
            </w:pPr>
            <w:r>
              <w:t xml:space="preserve">#667085 grey</w:t>
            </w:r>
          </w:p>
        </w:tc>
        <w:tc>
          <w:tcPr>
            <w:tcW w:w="2288" w:type="dxa"/>
            <w:shd w:val="clear" w:color="auto" w:fill="F4F7FB"/>
            <w:vAlign w:val="top"/>
          </w:tcPr>
          <w:p>
            <w:pPr>
              <w:pStyle w:val="TableText"/>
              <w:jc w:val="left"/>
            </w:pPr>
            <w:r>
              <w:t xml:space="preserve">#98A2B3</w:t>
            </w:r>
          </w:p>
        </w:tc>
      </w:tr>
      <w:tr>
        <w:trPr>
          <w:cantSplit/>
        </w:trPr>
        <w:tc>
          <w:tcPr>
            <w:tcW w:w="2004" w:type="dxa"/>
            <w:vAlign w:val="top"/>
          </w:tcPr>
          <w:p>
            <w:pPr>
              <w:pStyle w:val="TableText"/>
              <w:jc w:val="left"/>
            </w:pPr>
            <w:r>
              <w:t xml:space="preserve">5</w:t>
            </w:r>
          </w:p>
        </w:tc>
        <w:tc>
          <w:tcPr>
            <w:tcW w:w="4735" w:type="dxa"/>
            <w:vAlign w:val="top"/>
          </w:tcPr>
          <w:p>
            <w:pPr>
              <w:pStyle w:val="TableText"/>
              <w:jc w:val="left"/>
            </w:pPr>
            <w:r>
              <w:t xml:space="preserve">#DC6803 amber</w:t>
            </w:r>
          </w:p>
        </w:tc>
        <w:tc>
          <w:tcPr>
            <w:tcW w:w="2288" w:type="dxa"/>
            <w:vAlign w:val="top"/>
          </w:tcPr>
          <w:p>
            <w:pPr>
              <w:pStyle w:val="TableText"/>
              <w:jc w:val="left"/>
            </w:pPr>
            <w:r>
              <w:t xml:space="preserve">#FDB022</w:t>
            </w:r>
          </w:p>
        </w:tc>
      </w:tr>
      <w:tr>
        <w:trPr>
          <w:cantSplit/>
        </w:trPr>
        <w:tc>
          <w:tcPr>
            <w:tcW w:w="2004" w:type="dxa"/>
            <w:shd w:val="clear" w:color="auto" w:fill="F4F7FB"/>
            <w:vAlign w:val="top"/>
          </w:tcPr>
          <w:p>
            <w:pPr>
              <w:pStyle w:val="TableText"/>
              <w:jc w:val="left"/>
            </w:pPr>
            <w:r>
              <w:t xml:space="preserve">6</w:t>
            </w:r>
          </w:p>
        </w:tc>
        <w:tc>
          <w:tcPr>
            <w:tcW w:w="4735" w:type="dxa"/>
            <w:shd w:val="clear" w:color="auto" w:fill="F4F7FB"/>
            <w:vAlign w:val="top"/>
          </w:tcPr>
          <w:p>
            <w:pPr>
              <w:pStyle w:val="TableText"/>
              <w:jc w:val="left"/>
            </w:pPr>
            <w:r>
              <w:t xml:space="preserve">#C01048 rose</w:t>
            </w:r>
          </w:p>
        </w:tc>
        <w:tc>
          <w:tcPr>
            <w:tcW w:w="2288" w:type="dxa"/>
            <w:shd w:val="clear" w:color="auto" w:fill="F4F7FB"/>
            <w:vAlign w:val="top"/>
          </w:tcPr>
          <w:p>
            <w:pPr>
              <w:pStyle w:val="TableText"/>
              <w:jc w:val="left"/>
            </w:pPr>
            <w:r>
              <w:t xml:space="preserve">#F670A7</w:t>
            </w:r>
          </w:p>
        </w:tc>
      </w:tr>
    </w:tbl>
    <w:p>
      <w:pPr>
        <w:pStyle w:val="BodyText"/>
        <w:spacing w:before="160"/>
      </w:pPr>
      <w:r>
        <w:t xml:space="preserve">Series 3 is light against white (1.98:1). Every chart therefore also prints its values in the legend and offers</w:t>
      </w:r>
      <w:r>
        <w:t xml:space="preserve"> </w:t>
      </w:r>
      <w:r>
        <w:t xml:space="preserve">“</w:t>
      </w:r>
      <w:r>
        <w:t xml:space="preserve">Show as table</w:t>
      </w:r>
      <w:r>
        <w:t xml:space="preserve">”</w:t>
      </w:r>
      <w:r>
        <w:t xml:space="preserve">, so no reading depends on telling the light teal from the background.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Typography</w:t>
      </w:r>
      <w:bookmarkEnd w:id="24"/>
    </w:p>
    <w:p>
      <w:pPr>
        <w:pStyle w:val="Heading2"/>
      </w:pPr>
      <w:bookmarkStart w:id="25" w:name="_Toc300000021"/>
      <w:r>
        <w:t xml:space="preserve">Typefaces</w:t>
      </w:r>
      <w:bookmarkEnd w:id="25"/>
    </w:p>
    <w:p>
      <w:pPr>
        <w:pStyle w:val="FirstParagraph"/>
      </w:pPr>
      <w:r>
        <w:t xml:space="preserve">Two typefaces are self-hosted under</w:t>
      </w:r>
      <w:r>
        <w:t xml:space="preserve"> </w:t>
      </w:r>
      <w:r>
        <w:rPr>
          <w:rStyle w:val="CodeChar"/>
        </w:rPr>
        <w:t xml:space="preserve">public/fonts</w:t>
      </w:r>
      <w:r>
        <w:t xml:space="preserve">, each with the Vietnamese, Latin and Latin Extended subsets, so that diacritics render in the same face as the rest of the word. Both are under the SIL OFL, and the licence files sit beside the fonts.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16"/>
        <w:gridCol w:w="1798"/>
        <w:gridCol w:w="6013"/>
      </w:tblGrid>
      <w:tr>
        <w:trPr>
          <w:cantSplit/>
          <w:tblHeader/>
        </w:trPr>
        <w:tc>
          <w:tcPr>
            <w:tcW w:w="1216" w:type="dxa"/>
            <w:shd w:val="clear" w:color="auto" w:fill="0F4761"/>
            <w:vAlign w:val="center"/>
          </w:tcPr>
          <w:p>
            <w:pPr>
              <w:pStyle w:val="TableHeading"/>
              <w:jc w:val="left"/>
            </w:pPr>
            <w:r>
              <w:rPr>
                <w:color w:val="FFFFFF"/>
              </w:rPr>
              <w:t xml:space="preserve">Typeface</w:t>
            </w:r>
          </w:p>
        </w:tc>
        <w:tc>
          <w:tcPr>
            <w:tcW w:w="1798" w:type="dxa"/>
            <w:shd w:val="clear" w:color="auto" w:fill="0F4761"/>
            <w:vAlign w:val="center"/>
          </w:tcPr>
          <w:p>
            <w:pPr>
              <w:pStyle w:val="TableHeading"/>
              <w:jc w:val="left"/>
            </w:pPr>
            <w:r>
              <w:rPr>
                <w:color w:val="FFFFFF"/>
              </w:rPr>
              <w:t xml:space="preserve">Weights</w:t>
            </w:r>
          </w:p>
        </w:tc>
        <w:tc>
          <w:tcPr>
            <w:tcW w:w="6013" w:type="dxa"/>
            <w:shd w:val="clear" w:color="auto" w:fill="0F4761"/>
            <w:vAlign w:val="center"/>
          </w:tcPr>
          <w:p>
            <w:pPr>
              <w:pStyle w:val="TableHeading"/>
              <w:jc w:val="left"/>
            </w:pPr>
            <w:r>
              <w:rPr>
                <w:color w:val="FFFFFF"/>
              </w:rPr>
              <w:t xml:space="preserve">Used for</w:t>
            </w:r>
          </w:p>
        </w:tc>
      </w:tr>
      <w:tr>
        <w:trPr>
          <w:cantSplit/>
        </w:trPr>
        <w:tc>
          <w:tcPr>
            <w:tcW w:w="1216" w:type="dxa"/>
            <w:vAlign w:val="top"/>
          </w:tcPr>
          <w:p>
            <w:pPr>
              <w:pStyle w:val="TableText"/>
              <w:jc w:val="left"/>
            </w:pPr>
            <w:r>
              <w:t xml:space="preserve">Lexend</w:t>
            </w:r>
          </w:p>
        </w:tc>
        <w:tc>
          <w:tcPr>
            <w:tcW w:w="1798" w:type="dxa"/>
            <w:vAlign w:val="top"/>
          </w:tcPr>
          <w:p>
            <w:pPr>
              <w:pStyle w:val="TableText"/>
              <w:jc w:val="left"/>
            </w:pPr>
            <w:r>
              <w:t xml:space="preserve">300, 400, 500, 600, 700</w:t>
            </w:r>
          </w:p>
        </w:tc>
        <w:tc>
          <w:tcPr>
            <w:tcW w:w="6013" w:type="dxa"/>
            <w:vAlign w:val="top"/>
          </w:tcPr>
          <w:p>
            <w:pPr>
              <w:pStyle w:val="TableText"/>
              <w:jc w:val="left"/>
            </w:pPr>
            <w:r>
              <w:t xml:space="preserve">Headings, navigation, buttons, tabs, KPI values, the utility strip, the whole customer app and the sign-in page</w:t>
            </w:r>
          </w:p>
        </w:tc>
      </w:tr>
      <w:tr>
        <w:trPr>
          <w:cantSplit/>
        </w:trPr>
        <w:tc>
          <w:tcPr>
            <w:tcW w:w="1216" w:type="dxa"/>
            <w:shd w:val="clear" w:color="auto" w:fill="F4F7FB"/>
            <w:vAlign w:val="top"/>
          </w:tcPr>
          <w:p>
            <w:pPr>
              <w:pStyle w:val="TableText"/>
              <w:jc w:val="left"/>
            </w:pPr>
            <w:r>
              <w:t xml:space="preserve">Inter</w:t>
            </w:r>
          </w:p>
        </w:tc>
        <w:tc>
          <w:tcPr>
            <w:tcW w:w="1798" w:type="dxa"/>
            <w:shd w:val="clear" w:color="auto" w:fill="F4F7FB"/>
            <w:vAlign w:val="top"/>
          </w:tcPr>
          <w:p>
            <w:pPr>
              <w:pStyle w:val="TableText"/>
              <w:jc w:val="left"/>
            </w:pPr>
            <w:r>
              <w:t xml:space="preserve">400, 500, 600, 700</w:t>
            </w:r>
          </w:p>
        </w:tc>
        <w:tc>
          <w:tcPr>
            <w:tcW w:w="6013" w:type="dxa"/>
            <w:shd w:val="clear" w:color="auto" w:fill="F4F7FB"/>
            <w:vAlign w:val="top"/>
          </w:tcPr>
          <w:p>
            <w:pPr>
              <w:pStyle w:val="TableText"/>
              <w:jc w:val="left"/>
            </w:pPr>
            <w:r>
              <w:t xml:space="preserve">Table cells, row actions, form input text, toolbars, small meta text and chart labels</w:t>
            </w:r>
          </w:p>
        </w:tc>
      </w:tr>
    </w:tbl>
    <w:p>
      <w:pPr>
        <w:pStyle w:val="BodyText"/>
        <w:spacing w:before="160"/>
      </w:pPr>
      <w:r>
        <w:t xml:space="preserve">Lexend is the closest open typeface to the wide geometric face on baohiemtasco.vn. It is too wide for dense tables, so data stays in Inter, which keeps more columns readable at 1280 px. Inside the customer app, form inputs also use Inter so that typed plates and numbers read clearly.</w:t>
      </w:r>
    </w:p>
    <w:p>
      <w:pPr>
        <w:pStyle w:val="Heading2"/>
      </w:pPr>
      <w:bookmarkStart w:id="26" w:name="_Toc300000022"/>
      <w:r>
        <w:t xml:space="preserve">Type scale</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26"/>
        <w:gridCol w:w="939"/>
        <w:gridCol w:w="6862"/>
      </w:tblGrid>
      <w:tr>
        <w:trPr>
          <w:cantSplit/>
          <w:tblHeader/>
        </w:trPr>
        <w:tc>
          <w:tcPr>
            <w:tcW w:w="1226" w:type="dxa"/>
            <w:shd w:val="clear" w:color="auto" w:fill="0F4761"/>
            <w:vAlign w:val="center"/>
          </w:tcPr>
          <w:p>
            <w:pPr>
              <w:pStyle w:val="TableHeading"/>
              <w:jc w:val="left"/>
            </w:pPr>
            <w:r>
              <w:rPr>
                <w:color w:val="FFFFFF"/>
              </w:rPr>
              <w:t xml:space="preserve">Token</w:t>
            </w:r>
          </w:p>
        </w:tc>
        <w:tc>
          <w:tcPr>
            <w:tcW w:w="939" w:type="dxa"/>
            <w:shd w:val="clear" w:color="auto" w:fill="0F4761"/>
            <w:vAlign w:val="center"/>
          </w:tcPr>
          <w:p>
            <w:pPr>
              <w:pStyle w:val="TableHeading"/>
              <w:jc w:val="left"/>
            </w:pPr>
            <w:r>
              <w:rPr>
                <w:color w:val="FFFFFF"/>
              </w:rPr>
              <w:t xml:space="preserve">Size</w:t>
            </w:r>
          </w:p>
        </w:tc>
        <w:tc>
          <w:tcPr>
            <w:tcW w:w="6862" w:type="dxa"/>
            <w:shd w:val="clear" w:color="auto" w:fill="0F4761"/>
            <w:vAlign w:val="center"/>
          </w:tcPr>
          <w:p>
            <w:pPr>
              <w:pStyle w:val="TableHeading"/>
              <w:jc w:val="left"/>
            </w:pPr>
            <w:r>
              <w:rPr>
                <w:color w:val="FFFFFF"/>
              </w:rPr>
              <w:t xml:space="preserve">Typical use</w:t>
            </w:r>
          </w:p>
        </w:tc>
      </w:tr>
      <w:tr>
        <w:trPr>
          <w:cantSplit/>
        </w:trPr>
        <w:tc>
          <w:tcPr>
            <w:tcW w:w="1226" w:type="dxa"/>
            <w:vAlign w:val="top"/>
          </w:tcPr>
          <w:p>
            <w:pPr>
              <w:pStyle w:val="TableText"/>
              <w:jc w:val="left"/>
            </w:pPr>
            <w:r>
              <w:rPr>
                <w:rStyle w:val="CodeChar"/>
              </w:rPr>
              <w:t xml:space="preserve">--fs-11</w:t>
            </w:r>
          </w:p>
        </w:tc>
        <w:tc>
          <w:tcPr>
            <w:tcW w:w="939" w:type="dxa"/>
            <w:vAlign w:val="top"/>
          </w:tcPr>
          <w:p>
            <w:pPr>
              <w:pStyle w:val="TableText"/>
              <w:jc w:val="left"/>
            </w:pPr>
            <w:r>
              <w:t xml:space="preserve">11 px</w:t>
            </w:r>
          </w:p>
        </w:tc>
        <w:tc>
          <w:tcPr>
            <w:tcW w:w="6862" w:type="dxa"/>
            <w:vAlign w:val="top"/>
          </w:tcPr>
          <w:p>
            <w:pPr>
              <w:pStyle w:val="TableText"/>
              <w:jc w:val="left"/>
            </w:pPr>
            <w:r>
              <w:t xml:space="preserve">Collapsed-sidebar badges, chart axis labels</w:t>
            </w:r>
          </w:p>
        </w:tc>
      </w:tr>
      <w:tr>
        <w:trPr>
          <w:cantSplit/>
        </w:trPr>
        <w:tc>
          <w:tcPr>
            <w:tcW w:w="1226" w:type="dxa"/>
            <w:shd w:val="clear" w:color="auto" w:fill="F4F7FB"/>
            <w:vAlign w:val="top"/>
          </w:tcPr>
          <w:p>
            <w:pPr>
              <w:pStyle w:val="TableText"/>
              <w:jc w:val="left"/>
            </w:pPr>
            <w:r>
              <w:rPr>
                <w:rStyle w:val="CodeChar"/>
              </w:rPr>
              <w:t xml:space="preserve">--fs-12</w:t>
            </w:r>
          </w:p>
        </w:tc>
        <w:tc>
          <w:tcPr>
            <w:tcW w:w="939" w:type="dxa"/>
            <w:shd w:val="clear" w:color="auto" w:fill="F4F7FB"/>
            <w:vAlign w:val="top"/>
          </w:tcPr>
          <w:p>
            <w:pPr>
              <w:pStyle w:val="TableText"/>
              <w:jc w:val="left"/>
            </w:pPr>
            <w:r>
              <w:t xml:space="preserve">12 px</w:t>
            </w:r>
          </w:p>
        </w:tc>
        <w:tc>
          <w:tcPr>
            <w:tcW w:w="6862" w:type="dxa"/>
            <w:shd w:val="clear" w:color="auto" w:fill="F4F7FB"/>
            <w:vAlign w:val="top"/>
          </w:tcPr>
          <w:p>
            <w:pPr>
              <w:pStyle w:val="TableText"/>
              <w:jc w:val="left"/>
            </w:pPr>
            <w:r>
              <w:t xml:space="preserve">Table headers, chips, meta text</w:t>
            </w:r>
          </w:p>
        </w:tc>
      </w:tr>
      <w:tr>
        <w:trPr>
          <w:cantSplit/>
        </w:trPr>
        <w:tc>
          <w:tcPr>
            <w:tcW w:w="1226" w:type="dxa"/>
            <w:vAlign w:val="top"/>
          </w:tcPr>
          <w:p>
            <w:pPr>
              <w:pStyle w:val="TableText"/>
              <w:jc w:val="left"/>
            </w:pPr>
            <w:r>
              <w:rPr>
                <w:rStyle w:val="CodeChar"/>
              </w:rPr>
              <w:t xml:space="preserve">--fs-13</w:t>
            </w:r>
          </w:p>
        </w:tc>
        <w:tc>
          <w:tcPr>
            <w:tcW w:w="939" w:type="dxa"/>
            <w:vAlign w:val="top"/>
          </w:tcPr>
          <w:p>
            <w:pPr>
              <w:pStyle w:val="TableText"/>
              <w:jc w:val="left"/>
            </w:pPr>
            <w:r>
              <w:t xml:space="preserve">13 px</w:t>
            </w:r>
          </w:p>
        </w:tc>
        <w:tc>
          <w:tcPr>
            <w:tcW w:w="6862" w:type="dxa"/>
            <w:vAlign w:val="top"/>
          </w:tcPr>
          <w:p>
            <w:pPr>
              <w:pStyle w:val="TableText"/>
              <w:jc w:val="left"/>
            </w:pPr>
            <w:r>
              <w:t xml:space="preserve">Secondary text, small buttons, utility strip, toolbars</w:t>
            </w:r>
          </w:p>
        </w:tc>
      </w:tr>
      <w:tr>
        <w:trPr>
          <w:cantSplit/>
        </w:trPr>
        <w:tc>
          <w:tcPr>
            <w:tcW w:w="1226" w:type="dxa"/>
            <w:shd w:val="clear" w:color="auto" w:fill="F4F7FB"/>
            <w:vAlign w:val="top"/>
          </w:tcPr>
          <w:p>
            <w:pPr>
              <w:pStyle w:val="TableText"/>
              <w:jc w:val="left"/>
            </w:pPr>
            <w:r>
              <w:rPr>
                <w:rStyle w:val="CodeChar"/>
              </w:rPr>
              <w:t xml:space="preserve">--fs-14</w:t>
            </w:r>
          </w:p>
        </w:tc>
        <w:tc>
          <w:tcPr>
            <w:tcW w:w="939" w:type="dxa"/>
            <w:shd w:val="clear" w:color="auto" w:fill="F4F7FB"/>
            <w:vAlign w:val="top"/>
          </w:tcPr>
          <w:p>
            <w:pPr>
              <w:pStyle w:val="TableText"/>
              <w:jc w:val="left"/>
            </w:pPr>
            <w:r>
              <w:t xml:space="preserve">14 px</w:t>
            </w:r>
          </w:p>
        </w:tc>
        <w:tc>
          <w:tcPr>
            <w:tcW w:w="6862" w:type="dxa"/>
            <w:shd w:val="clear" w:color="auto" w:fill="F4F7FB"/>
            <w:vAlign w:val="top"/>
          </w:tcPr>
          <w:p>
            <w:pPr>
              <w:pStyle w:val="TableText"/>
              <w:jc w:val="left"/>
            </w:pPr>
            <w:r>
              <w:t xml:space="preserve">Console body text, buttons, navigation, tabs</w:t>
            </w:r>
          </w:p>
        </w:tc>
      </w:tr>
      <w:tr>
        <w:trPr>
          <w:cantSplit/>
        </w:trPr>
        <w:tc>
          <w:tcPr>
            <w:tcW w:w="1226" w:type="dxa"/>
            <w:vAlign w:val="top"/>
          </w:tcPr>
          <w:p>
            <w:pPr>
              <w:pStyle w:val="TableText"/>
              <w:jc w:val="left"/>
            </w:pPr>
            <w:r>
              <w:rPr>
                <w:rStyle w:val="CodeChar"/>
              </w:rPr>
              <w:t xml:space="preserve">--fs-16</w:t>
            </w:r>
          </w:p>
        </w:tc>
        <w:tc>
          <w:tcPr>
            <w:tcW w:w="939" w:type="dxa"/>
            <w:vAlign w:val="top"/>
          </w:tcPr>
          <w:p>
            <w:pPr>
              <w:pStyle w:val="TableText"/>
              <w:jc w:val="left"/>
            </w:pPr>
            <w:r>
              <w:t xml:space="preserve">16 px</w:t>
            </w:r>
          </w:p>
        </w:tc>
        <w:tc>
          <w:tcPr>
            <w:tcW w:w="6862" w:type="dxa"/>
            <w:vAlign w:val="top"/>
          </w:tcPr>
          <w:p>
            <w:pPr>
              <w:pStyle w:val="TableText"/>
              <w:jc w:val="left"/>
            </w:pPr>
            <w:r>
              <w:t xml:space="preserve">Card and drawer titles; customer app body text</w:t>
            </w:r>
          </w:p>
        </w:tc>
      </w:tr>
      <w:tr>
        <w:trPr>
          <w:cantSplit/>
        </w:trPr>
        <w:tc>
          <w:tcPr>
            <w:tcW w:w="1226" w:type="dxa"/>
            <w:shd w:val="clear" w:color="auto" w:fill="F4F7FB"/>
            <w:vAlign w:val="top"/>
          </w:tcPr>
          <w:p>
            <w:pPr>
              <w:pStyle w:val="TableText"/>
              <w:jc w:val="left"/>
            </w:pPr>
            <w:r>
              <w:rPr>
                <w:rStyle w:val="CodeChar"/>
              </w:rPr>
              <w:t xml:space="preserve">--fs-20</w:t>
            </w:r>
          </w:p>
        </w:tc>
        <w:tc>
          <w:tcPr>
            <w:tcW w:w="939" w:type="dxa"/>
            <w:shd w:val="clear" w:color="auto" w:fill="F4F7FB"/>
            <w:vAlign w:val="top"/>
          </w:tcPr>
          <w:p>
            <w:pPr>
              <w:pStyle w:val="TableText"/>
              <w:jc w:val="left"/>
            </w:pPr>
            <w:r>
              <w:t xml:space="preserve">20 px</w:t>
            </w:r>
          </w:p>
        </w:tc>
        <w:tc>
          <w:tcPr>
            <w:tcW w:w="6862" w:type="dxa"/>
            <w:shd w:val="clear" w:color="auto" w:fill="F4F7FB"/>
            <w:vAlign w:val="top"/>
          </w:tcPr>
          <w:p>
            <w:pPr>
              <w:pStyle w:val="TableText"/>
              <w:jc w:val="left"/>
            </w:pPr>
            <w:r>
              <w:t xml:space="preserve">Section titles; quote form title in the customer app</w:t>
            </w:r>
          </w:p>
        </w:tc>
      </w:tr>
      <w:tr>
        <w:trPr>
          <w:cantSplit/>
        </w:trPr>
        <w:tc>
          <w:tcPr>
            <w:tcW w:w="1226" w:type="dxa"/>
            <w:vAlign w:val="top"/>
          </w:tcPr>
          <w:p>
            <w:pPr>
              <w:pStyle w:val="TableText"/>
              <w:jc w:val="left"/>
            </w:pPr>
            <w:r>
              <w:rPr>
                <w:rStyle w:val="CodeChar"/>
              </w:rPr>
              <w:t xml:space="preserve">--fs-24</w:t>
            </w:r>
          </w:p>
        </w:tc>
        <w:tc>
          <w:tcPr>
            <w:tcW w:w="939" w:type="dxa"/>
            <w:vAlign w:val="top"/>
          </w:tcPr>
          <w:p>
            <w:pPr>
              <w:pStyle w:val="TableText"/>
              <w:jc w:val="left"/>
            </w:pPr>
            <w:r>
              <w:t xml:space="preserve">24 px</w:t>
            </w:r>
          </w:p>
        </w:tc>
        <w:tc>
          <w:tcPr>
            <w:tcW w:w="6862" w:type="dxa"/>
            <w:vAlign w:val="top"/>
          </w:tcPr>
          <w:p>
            <w:pPr>
              <w:pStyle w:val="TableText"/>
              <w:jc w:val="left"/>
            </w:pPr>
            <w:r>
              <w:t xml:space="preserve">Page titles (H1) and KPI values</w:t>
            </w:r>
          </w:p>
        </w:tc>
      </w:tr>
      <w:tr>
        <w:trPr>
          <w:cantSplit/>
        </w:trPr>
        <w:tc>
          <w:tcPr>
            <w:tcW w:w="1226" w:type="dxa"/>
            <w:shd w:val="clear" w:color="auto" w:fill="F4F7FB"/>
            <w:vAlign w:val="top"/>
          </w:tcPr>
          <w:p>
            <w:pPr>
              <w:pStyle w:val="TableText"/>
              <w:jc w:val="left"/>
            </w:pPr>
            <w:r>
              <w:rPr>
                <w:rStyle w:val="CodeChar"/>
              </w:rPr>
              <w:t xml:space="preserve">--fs-30</w:t>
            </w:r>
          </w:p>
        </w:tc>
        <w:tc>
          <w:tcPr>
            <w:tcW w:w="939" w:type="dxa"/>
            <w:shd w:val="clear" w:color="auto" w:fill="F4F7FB"/>
            <w:vAlign w:val="top"/>
          </w:tcPr>
          <w:p>
            <w:pPr>
              <w:pStyle w:val="TableText"/>
              <w:jc w:val="left"/>
            </w:pPr>
            <w:r>
              <w:t xml:space="preserve">30 px</w:t>
            </w:r>
          </w:p>
        </w:tc>
        <w:tc>
          <w:tcPr>
            <w:tcW w:w="6862" w:type="dxa"/>
            <w:shd w:val="clear" w:color="auto" w:fill="F4F7FB"/>
            <w:vAlign w:val="top"/>
          </w:tcPr>
          <w:p>
            <w:pPr>
              <w:pStyle w:val="TableText"/>
              <w:jc w:val="left"/>
            </w:pPr>
            <w:r>
              <w:t xml:space="preserve">Sign-in title on small screens</w:t>
            </w:r>
          </w:p>
        </w:tc>
      </w:tr>
    </w:tbl>
    <w:p>
      <w:pPr>
        <w:pStyle w:val="BodyText"/>
        <w:spacing w:before="160"/>
      </w:pPr>
      <w:r>
        <w:t xml:space="preserve">The staff sign-in title is 36 px. Line height is 1.5 for text and 1.25 for headings. Numbers in tables, KPI tiles and amounts use tabular figures so that columns align.</w:t>
      </w:r>
    </w:p>
    <w:p>
      <w:pPr>
        <w:pStyle w:val="Heading2"/>
      </w:pPr>
      <w:bookmarkStart w:id="27" w:name="_Toc300000023"/>
      <w:r>
        <w:t xml:space="preserve">Headings</w:t>
      </w:r>
      <w:bookmarkEnd w:id="27"/>
    </w:p>
    <w:p>
      <w:pPr>
        <w:pStyle w:val="FirstParagraph"/>
      </w:pPr>
      <w:r>
        <w:t xml:space="preserve">Page titles are Lexend 600 in navy with a 32 × 3 px brand-teal accent line under them. Card, drawer and dialog titles are Lexend 500 at 16 px. There is one H1 per page, and the router moves focus to it after every navigation.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8" w:name="_Toc300000024"/>
      <w:r>
        <w:rPr>
          <w:rStyle w:val="BookTitle"/>
          <w:bCs w:val="0"/>
          <w:i w:val="0"/>
          <w:iCs w:val="0"/>
          <w:spacing w:val="0"/>
        </w:rPr>
        <w:t xml:space="preserve">Spacing, layout and size</w:t>
      </w:r>
      <w:bookmarkEnd w:id="28"/>
    </w:p>
    <w:p>
      <w:pPr>
        <w:pStyle w:val="Heading2"/>
      </w:pPr>
      <w:bookmarkStart w:id="29" w:name="_Toc300000025"/>
      <w:r>
        <w:t xml:space="preserve">Spacing</w:t>
      </w:r>
      <w:bookmarkEnd w:id="29"/>
    </w:p>
    <w:p>
      <w:pPr>
        <w:pStyle w:val="FirstParagraph"/>
      </w:pPr>
      <w:r>
        <w:t xml:space="preserve">Spacing follows a 4-point scale: 4, 8, 12, 16, 24, 32, 48 and 64 px (</w:t>
      </w:r>
      <w:r>
        <w:rPr>
          <w:rStyle w:val="CodeChar"/>
        </w:rPr>
        <w:t xml:space="preserve">--sp-1</w:t>
      </w:r>
      <w:r>
        <w:t xml:space="preserve"> </w:t>
      </w:r>
      <w:r>
        <w:t xml:space="preserve">to</w:t>
      </w:r>
      <w:r>
        <w:t xml:space="preserve"> </w:t>
      </w:r>
      <w:r>
        <w:rPr>
          <w:rStyle w:val="CodeChar"/>
        </w:rPr>
        <w:t xml:space="preserve">--sp-8</w:t>
      </w:r>
      <w:r>
        <w:t xml:space="preserve">). Cards have 24 px padding, card headers 16 × 24 px, and the gap between cards and grid columns is 24 px. In the customer app the side gutter is 16 px and the gap between cards 16 px.</w:t>
      </w:r>
    </w:p>
    <w:p>
      <w:pPr>
        <w:pStyle w:val="Heading2"/>
      </w:pPr>
      <w:bookmarkStart w:id="30" w:name="_Toc300000026"/>
      <w:r>
        <w:t xml:space="preserve">Grid</w:t>
      </w:r>
      <w:bookmarkEnd w:id="30"/>
    </w:p>
    <w:p>
      <w:pPr>
        <w:pStyle w:val="FirstParagraph"/>
      </w:pPr>
      <w:r>
        <w:t xml:space="preserve">Console pages use a 12-column grid with 24 px gutters and a main area that stops growing at 1,680 px. Common splits are 8 + 4 (list and side panel) and 6 + 6. Below 1,024 px every column becomes full width. KPI strips fill the row with tiles at least 200 px wide.</w:t>
      </w:r>
    </w:p>
    <w:p>
      <w:pPr>
        <w:pStyle w:val="BodyText"/>
      </w:pPr>
      <w:r>
        <w:t xml:space="preserve">The customer app is a single column at most 480 px wide, centred on larger screens.</w:t>
      </w:r>
    </w:p>
    <w:p>
      <w:pPr>
        <w:pStyle w:val="Heading2"/>
      </w:pPr>
      <w:bookmarkStart w:id="31" w:name="_Toc300000027"/>
      <w:r>
        <w:t xml:space="preserve">Control sizes</w:t>
      </w:r>
      <w:bookmarkEnd w:id="3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160"/>
        <w:gridCol w:w="2528"/>
        <w:gridCol w:w="2339"/>
      </w:tblGrid>
      <w:tr>
        <w:trPr>
          <w:cantSplit/>
          <w:tblHeader/>
        </w:trPr>
        <w:tc>
          <w:tcPr>
            <w:tcW w:w="4160" w:type="dxa"/>
            <w:shd w:val="clear" w:color="auto" w:fill="0F4761"/>
            <w:vAlign w:val="center"/>
          </w:tcPr>
          <w:p>
            <w:pPr>
              <w:pStyle w:val="TableHeading"/>
              <w:jc w:val="left"/>
            </w:pPr>
            <w:r>
              <w:rPr>
                <w:color w:val="FFFFFF"/>
              </w:rPr>
              <w:t xml:space="preserve">Control</w:t>
            </w:r>
          </w:p>
        </w:tc>
        <w:tc>
          <w:tcPr>
            <w:tcW w:w="2528" w:type="dxa"/>
            <w:shd w:val="clear" w:color="auto" w:fill="0F4761"/>
            <w:vAlign w:val="center"/>
          </w:tcPr>
          <w:p>
            <w:pPr>
              <w:pStyle w:val="TableHeading"/>
              <w:jc w:val="left"/>
            </w:pPr>
            <w:r>
              <w:rPr>
                <w:color w:val="FFFFFF"/>
              </w:rPr>
              <w:t xml:space="preserve">Console</w:t>
            </w:r>
          </w:p>
        </w:tc>
        <w:tc>
          <w:tcPr>
            <w:tcW w:w="2339" w:type="dxa"/>
            <w:shd w:val="clear" w:color="auto" w:fill="0F4761"/>
            <w:vAlign w:val="center"/>
          </w:tcPr>
          <w:p>
            <w:pPr>
              <w:pStyle w:val="TableHeading"/>
              <w:jc w:val="left"/>
            </w:pPr>
            <w:r>
              <w:rPr>
                <w:color w:val="FFFFFF"/>
              </w:rPr>
              <w:t xml:space="preserve">Customer app and sign-in</w:t>
            </w:r>
          </w:p>
        </w:tc>
      </w:tr>
      <w:tr>
        <w:trPr>
          <w:cantSplit/>
        </w:trPr>
        <w:tc>
          <w:tcPr>
            <w:tcW w:w="4160" w:type="dxa"/>
            <w:vAlign w:val="top"/>
          </w:tcPr>
          <w:p>
            <w:pPr>
              <w:pStyle w:val="TableText"/>
              <w:jc w:val="left"/>
            </w:pPr>
            <w:r>
              <w:t xml:space="preserve">Buttons and inputs</w:t>
            </w:r>
          </w:p>
        </w:tc>
        <w:tc>
          <w:tcPr>
            <w:tcW w:w="2528" w:type="dxa"/>
            <w:vAlign w:val="top"/>
          </w:tcPr>
          <w:p>
            <w:pPr>
              <w:pStyle w:val="TableText"/>
              <w:jc w:val="left"/>
            </w:pPr>
            <w:r>
              <w:t xml:space="preserve">44 px</w:t>
            </w:r>
          </w:p>
        </w:tc>
        <w:tc>
          <w:tcPr>
            <w:tcW w:w="2339" w:type="dxa"/>
            <w:vAlign w:val="top"/>
          </w:tcPr>
          <w:p>
            <w:pPr>
              <w:pStyle w:val="TableText"/>
              <w:jc w:val="left"/>
            </w:pPr>
            <w:r>
              <w:t xml:space="preserve">52 px</w:t>
            </w:r>
          </w:p>
        </w:tc>
      </w:tr>
      <w:tr>
        <w:trPr>
          <w:cantSplit/>
        </w:trPr>
        <w:tc>
          <w:tcPr>
            <w:tcW w:w="4160" w:type="dxa"/>
            <w:shd w:val="clear" w:color="auto" w:fill="F4F7FB"/>
            <w:vAlign w:val="top"/>
          </w:tcPr>
          <w:p>
            <w:pPr>
              <w:pStyle w:val="TableText"/>
              <w:jc w:val="left"/>
            </w:pPr>
            <w:r>
              <w:t xml:space="preserve">Small buttons, table toolbar inputs</w:t>
            </w:r>
          </w:p>
        </w:tc>
        <w:tc>
          <w:tcPr>
            <w:tcW w:w="2528" w:type="dxa"/>
            <w:shd w:val="clear" w:color="auto" w:fill="F4F7FB"/>
            <w:vAlign w:val="top"/>
          </w:tcPr>
          <w:p>
            <w:pPr>
              <w:pStyle w:val="TableText"/>
              <w:jc w:val="left"/>
            </w:pPr>
            <w:r>
              <w:t xml:space="preserve">32 px</w:t>
            </w:r>
          </w:p>
        </w:tc>
        <w:tc>
          <w:tcPr>
            <w:tcW w:w="2339" w:type="dxa"/>
            <w:shd w:val="clear" w:color="auto" w:fill="F4F7FB"/>
            <w:vAlign w:val="top"/>
          </w:tcPr>
          <w:p>
            <w:pPr>
              <w:pStyle w:val="TableText"/>
              <w:jc w:val="left"/>
            </w:pPr>
            <w:r>
              <w:t xml:space="preserve">40 px</w:t>
            </w:r>
          </w:p>
        </w:tc>
      </w:tr>
      <w:tr>
        <w:trPr>
          <w:cantSplit/>
        </w:trPr>
        <w:tc>
          <w:tcPr>
            <w:tcW w:w="4160" w:type="dxa"/>
            <w:vAlign w:val="top"/>
          </w:tcPr>
          <w:p>
            <w:pPr>
              <w:pStyle w:val="TableText"/>
              <w:jc w:val="left"/>
            </w:pPr>
            <w:r>
              <w:t xml:space="preserve">Large button</w:t>
            </w:r>
          </w:p>
        </w:tc>
        <w:tc>
          <w:tcPr>
            <w:tcW w:w="2528" w:type="dxa"/>
            <w:vAlign w:val="top"/>
          </w:tcPr>
          <w:p>
            <w:pPr>
              <w:pStyle w:val="TableText"/>
              <w:jc w:val="left"/>
            </w:pPr>
            <w:r>
              <w:t xml:space="preserve">48 px</w:t>
            </w:r>
          </w:p>
        </w:tc>
        <w:tc>
          <w:tcPr>
            <w:tcW w:w="2339" w:type="dxa"/>
            <w:vAlign w:val="top"/>
          </w:tcPr>
          <w:p>
            <w:pPr>
              <w:pStyle w:val="TableText"/>
              <w:jc w:val="left"/>
            </w:pPr>
            <w:r>
              <w:t xml:space="preserve">52 px</w:t>
            </w:r>
          </w:p>
        </w:tc>
      </w:tr>
      <w:tr>
        <w:trPr>
          <w:cantSplit/>
        </w:trPr>
        <w:tc>
          <w:tcPr>
            <w:tcW w:w="4160" w:type="dxa"/>
            <w:shd w:val="clear" w:color="auto" w:fill="F4F7FB"/>
            <w:vAlign w:val="top"/>
          </w:tcPr>
          <w:p>
            <w:pPr>
              <w:pStyle w:val="TableText"/>
              <w:jc w:val="left"/>
            </w:pPr>
            <w:r>
              <w:t xml:space="preserve">Icon button</w:t>
            </w:r>
          </w:p>
        </w:tc>
        <w:tc>
          <w:tcPr>
            <w:tcW w:w="2528" w:type="dxa"/>
            <w:shd w:val="clear" w:color="auto" w:fill="F4F7FB"/>
            <w:vAlign w:val="top"/>
          </w:tcPr>
          <w:p>
            <w:pPr>
              <w:pStyle w:val="TableText"/>
              <w:jc w:val="left"/>
            </w:pPr>
            <w:r>
              <w:t xml:space="preserve">44 × 44 px</w:t>
            </w:r>
          </w:p>
        </w:tc>
        <w:tc>
          <w:tcPr>
            <w:tcW w:w="2339" w:type="dxa"/>
            <w:shd w:val="clear" w:color="auto" w:fill="F4F7FB"/>
            <w:vAlign w:val="top"/>
          </w:tcPr>
          <w:p>
            <w:pPr>
              <w:pStyle w:val="TableText"/>
              <w:jc w:val="left"/>
            </w:pPr>
            <w:r>
              <w:t xml:space="preserve">44 × 44 px</w:t>
            </w:r>
          </w:p>
        </w:tc>
      </w:tr>
      <w:tr>
        <w:trPr>
          <w:cantSplit/>
        </w:trPr>
        <w:tc>
          <w:tcPr>
            <w:tcW w:w="4160" w:type="dxa"/>
            <w:vAlign w:val="top"/>
          </w:tcPr>
          <w:p>
            <w:pPr>
              <w:pStyle w:val="TableText"/>
              <w:jc w:val="left"/>
            </w:pPr>
            <w:r>
              <w:t xml:space="preserve">Touch target minimum</w:t>
            </w:r>
          </w:p>
        </w:tc>
        <w:tc>
          <w:tcPr>
            <w:tcW w:w="2528" w:type="dxa"/>
            <w:vAlign w:val="top"/>
          </w:tcPr>
          <w:p>
            <w:pPr>
              <w:pStyle w:val="TableText"/>
              <w:jc w:val="left"/>
            </w:pPr>
            <w:r>
              <w:t xml:space="preserve">24 × 24 px with spacing</w:t>
            </w:r>
          </w:p>
        </w:tc>
        <w:tc>
          <w:tcPr>
            <w:tcW w:w="2339" w:type="dxa"/>
            <w:vAlign w:val="top"/>
          </w:tcPr>
          <w:p>
            <w:pPr>
              <w:pStyle w:val="TableText"/>
              <w:jc w:val="left"/>
            </w:pPr>
            <w:r>
              <w:t xml:space="preserve">44 × 44 px</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Radius, elevation and motion</w:t>
      </w:r>
      <w:bookmarkEnd w:id="3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51"/>
        <w:gridCol w:w="1018"/>
        <w:gridCol w:w="5558"/>
      </w:tblGrid>
      <w:tr>
        <w:trPr>
          <w:cantSplit/>
          <w:tblHeader/>
        </w:trPr>
        <w:tc>
          <w:tcPr>
            <w:tcW w:w="2451" w:type="dxa"/>
            <w:shd w:val="clear" w:color="auto" w:fill="0F4761"/>
            <w:vAlign w:val="center"/>
          </w:tcPr>
          <w:p>
            <w:pPr>
              <w:pStyle w:val="TableHeading"/>
              <w:jc w:val="left"/>
            </w:pPr>
            <w:r>
              <w:rPr>
                <w:color w:val="FFFFFF"/>
              </w:rPr>
              <w:t xml:space="preserve">Token</w:t>
            </w:r>
          </w:p>
        </w:tc>
        <w:tc>
          <w:tcPr>
            <w:tcW w:w="1018" w:type="dxa"/>
            <w:shd w:val="clear" w:color="auto" w:fill="0F4761"/>
            <w:vAlign w:val="center"/>
          </w:tcPr>
          <w:p>
            <w:pPr>
              <w:pStyle w:val="TableHeading"/>
              <w:jc w:val="left"/>
            </w:pPr>
            <w:r>
              <w:rPr>
                <w:color w:val="FFFFFF"/>
              </w:rPr>
              <w:t xml:space="preserve">Value</w:t>
            </w:r>
          </w:p>
        </w:tc>
        <w:tc>
          <w:tcPr>
            <w:tcW w:w="5558" w:type="dxa"/>
            <w:shd w:val="clear" w:color="auto" w:fill="0F4761"/>
            <w:vAlign w:val="center"/>
          </w:tcPr>
          <w:p>
            <w:pPr>
              <w:pStyle w:val="TableHeading"/>
              <w:jc w:val="left"/>
            </w:pPr>
            <w:r>
              <w:rPr>
                <w:color w:val="FFFFFF"/>
              </w:rPr>
              <w:t xml:space="preserve">Use</w:t>
            </w:r>
          </w:p>
        </w:tc>
      </w:tr>
      <w:tr>
        <w:trPr>
          <w:cantSplit/>
        </w:trPr>
        <w:tc>
          <w:tcPr>
            <w:tcW w:w="2451" w:type="dxa"/>
            <w:vAlign w:val="top"/>
          </w:tcPr>
          <w:p>
            <w:pPr>
              <w:pStyle w:val="TableText"/>
              <w:jc w:val="left"/>
            </w:pPr>
            <w:r>
              <w:rPr>
                <w:rStyle w:val="CodeChar"/>
              </w:rPr>
              <w:t xml:space="preserve">--radius-sm</w:t>
            </w:r>
          </w:p>
        </w:tc>
        <w:tc>
          <w:tcPr>
            <w:tcW w:w="1018" w:type="dxa"/>
            <w:vAlign w:val="top"/>
          </w:tcPr>
          <w:p>
            <w:pPr>
              <w:pStyle w:val="TableText"/>
              <w:jc w:val="left"/>
            </w:pPr>
            <w:r>
              <w:t xml:space="preserve">6 px</w:t>
            </w:r>
          </w:p>
        </w:tc>
        <w:tc>
          <w:tcPr>
            <w:tcW w:w="5558" w:type="dxa"/>
            <w:vAlign w:val="top"/>
          </w:tcPr>
          <w:p>
            <w:pPr>
              <w:pStyle w:val="TableText"/>
              <w:jc w:val="left"/>
            </w:pPr>
            <w:r>
              <w:t xml:space="preserve">Chips inside controls, tooltips</w:t>
            </w:r>
          </w:p>
        </w:tc>
      </w:tr>
      <w:tr>
        <w:trPr>
          <w:cantSplit/>
        </w:trPr>
        <w:tc>
          <w:tcPr>
            <w:tcW w:w="2451" w:type="dxa"/>
            <w:shd w:val="clear" w:color="auto" w:fill="F4F7FB"/>
            <w:vAlign w:val="top"/>
          </w:tcPr>
          <w:p>
            <w:pPr>
              <w:pStyle w:val="TableText"/>
              <w:jc w:val="left"/>
            </w:pPr>
            <w:r>
              <w:rPr>
                <w:rStyle w:val="CodeChar"/>
              </w:rPr>
              <w:t xml:space="preserve">--radius</w:t>
            </w:r>
          </w:p>
        </w:tc>
        <w:tc>
          <w:tcPr>
            <w:tcW w:w="1018" w:type="dxa"/>
            <w:shd w:val="clear" w:color="auto" w:fill="F4F7FB"/>
            <w:vAlign w:val="top"/>
          </w:tcPr>
          <w:p>
            <w:pPr>
              <w:pStyle w:val="TableText"/>
              <w:jc w:val="left"/>
            </w:pPr>
            <w:r>
              <w:t xml:space="preserve">8 px</w:t>
            </w:r>
          </w:p>
        </w:tc>
        <w:tc>
          <w:tcPr>
            <w:tcW w:w="5558" w:type="dxa"/>
            <w:shd w:val="clear" w:color="auto" w:fill="F4F7FB"/>
            <w:vAlign w:val="top"/>
          </w:tcPr>
          <w:p>
            <w:pPr>
              <w:pStyle w:val="TableText"/>
              <w:jc w:val="left"/>
            </w:pPr>
            <w:r>
              <w:t xml:space="preserve">Buttons, inputs, selects</w:t>
            </w:r>
          </w:p>
        </w:tc>
      </w:tr>
      <w:tr>
        <w:trPr>
          <w:cantSplit/>
        </w:trPr>
        <w:tc>
          <w:tcPr>
            <w:tcW w:w="2451" w:type="dxa"/>
            <w:vAlign w:val="top"/>
          </w:tcPr>
          <w:p>
            <w:pPr>
              <w:pStyle w:val="TableText"/>
              <w:jc w:val="left"/>
            </w:pPr>
            <w:r>
              <w:rPr>
                <w:rStyle w:val="CodeChar"/>
              </w:rPr>
              <w:t xml:space="preserve">--radius-card</w:t>
            </w:r>
          </w:p>
        </w:tc>
        <w:tc>
          <w:tcPr>
            <w:tcW w:w="1018" w:type="dxa"/>
            <w:vAlign w:val="top"/>
          </w:tcPr>
          <w:p>
            <w:pPr>
              <w:pStyle w:val="TableText"/>
              <w:jc w:val="left"/>
            </w:pPr>
            <w:r>
              <w:t xml:space="preserve">12 px</w:t>
            </w:r>
          </w:p>
        </w:tc>
        <w:tc>
          <w:tcPr>
            <w:tcW w:w="5558" w:type="dxa"/>
            <w:vAlign w:val="top"/>
          </w:tcPr>
          <w:p>
            <w:pPr>
              <w:pStyle w:val="TableText"/>
              <w:jc w:val="left"/>
            </w:pPr>
            <w:r>
              <w:t xml:space="preserve">Console cards, KPI tiles, dialogs</w:t>
            </w:r>
          </w:p>
        </w:tc>
      </w:tr>
      <w:tr>
        <w:trPr>
          <w:cantSplit/>
        </w:trPr>
        <w:tc>
          <w:tcPr>
            <w:tcW w:w="2451" w:type="dxa"/>
            <w:shd w:val="clear" w:color="auto" w:fill="F4F7FB"/>
            <w:vAlign w:val="top"/>
          </w:tcPr>
          <w:p>
            <w:pPr>
              <w:pStyle w:val="TableText"/>
              <w:jc w:val="left"/>
            </w:pPr>
            <w:r>
              <w:rPr>
                <w:rStyle w:val="CodeChar"/>
              </w:rPr>
              <w:t xml:space="preserve">--radius-card-lg</w:t>
            </w:r>
          </w:p>
        </w:tc>
        <w:tc>
          <w:tcPr>
            <w:tcW w:w="1018" w:type="dxa"/>
            <w:shd w:val="clear" w:color="auto" w:fill="F4F7FB"/>
            <w:vAlign w:val="top"/>
          </w:tcPr>
          <w:p>
            <w:pPr>
              <w:pStyle w:val="TableText"/>
              <w:jc w:val="left"/>
            </w:pPr>
            <w:r>
              <w:t xml:space="preserve">16 px</w:t>
            </w:r>
          </w:p>
        </w:tc>
        <w:tc>
          <w:tcPr>
            <w:tcW w:w="5558" w:type="dxa"/>
            <w:shd w:val="clear" w:color="auto" w:fill="F4F7FB"/>
            <w:vAlign w:val="top"/>
          </w:tcPr>
          <w:p>
            <w:pPr>
              <w:pStyle w:val="TableText"/>
              <w:jc w:val="left"/>
            </w:pPr>
            <w:r>
              <w:t xml:space="preserve">Customer app cards, sign-in card</w:t>
            </w:r>
          </w:p>
        </w:tc>
      </w:tr>
      <w:tr>
        <w:trPr>
          <w:cantSplit/>
        </w:trPr>
        <w:tc>
          <w:tcPr>
            <w:tcW w:w="2451" w:type="dxa"/>
            <w:vAlign w:val="top"/>
          </w:tcPr>
          <w:p>
            <w:pPr>
              <w:pStyle w:val="TableText"/>
              <w:jc w:val="left"/>
            </w:pPr>
            <w:r>
              <w:rPr>
                <w:rStyle w:val="CodeChar"/>
              </w:rPr>
              <w:t xml:space="preserve">--radius-pill</w:t>
            </w:r>
          </w:p>
        </w:tc>
        <w:tc>
          <w:tcPr>
            <w:tcW w:w="1018" w:type="dxa"/>
            <w:vAlign w:val="top"/>
          </w:tcPr>
          <w:p>
            <w:pPr>
              <w:pStyle w:val="TableText"/>
              <w:jc w:val="left"/>
            </w:pPr>
            <w:r>
              <w:t xml:space="preserve">999 px</w:t>
            </w:r>
          </w:p>
        </w:tc>
        <w:tc>
          <w:tcPr>
            <w:tcW w:w="5558" w:type="dxa"/>
            <w:vAlign w:val="top"/>
          </w:tcPr>
          <w:p>
            <w:pPr>
              <w:pStyle w:val="TableText"/>
              <w:jc w:val="left"/>
            </w:pPr>
            <w:r>
              <w:t xml:space="preserve">Filter chips, status chips, global search</w:t>
            </w:r>
          </w:p>
        </w:tc>
      </w:tr>
    </w:tbl>
    <w:p>
      <w:pPr>
        <w:pStyle w:val="BodyText"/>
        <w:spacing w:before="160"/>
      </w:pPr>
      <w:r>
        <w:t xml:space="preserve">Elevation is quiet. Console cards carry a 1 px shadow (</w:t>
      </w:r>
      <w:r>
        <w:rPr>
          <w:rStyle w:val="CodeChar"/>
        </w:rPr>
        <w:t xml:space="preserve">--shadow-xs</w:t>
      </w:r>
      <w:r>
        <w:t xml:space="preserve">) and rely on their border. Raised brand cards, such as the sign-in card and the customer quote form, use a soft navy shadow (0 8 px 24 px at 8 % navy). Drawers, menus and dialogs use the larger shadows. Layers are ordered sticky header, sidebar, top bar, menus, drawer, dialog, toast, tooltip.</w:t>
      </w:r>
    </w:p>
    <w:p>
      <w:pPr>
        <w:pStyle w:val="BodyText"/>
      </w:pPr>
      <w:r>
        <w:t xml:space="preserve">Motion is short: 120 ms for hovers, 180 ms for menus and 260 ms for drawers and sheets, all on one easing curve. When the user’s system asks for reduced motion, every duration drops to zero and loading shimmer stops.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3" w:name="_Toc300000029"/>
      <w:r>
        <w:rPr>
          <w:rStyle w:val="BookTitle"/>
          <w:bCs w:val="0"/>
          <w:i w:val="0"/>
          <w:iCs w:val="0"/>
          <w:spacing w:val="0"/>
        </w:rPr>
        <w:t xml:space="preserve">Iconography</w:t>
      </w:r>
      <w:bookmarkEnd w:id="33"/>
    </w:p>
    <w:p>
      <w:pPr>
        <w:pStyle w:val="FirstParagraph"/>
      </w:pPr>
      <w:r>
        <w:t xml:space="preserve">Icons come from Lucide, an open-source outline set under the ISC licence, vendored as a small module (</w:t>
      </w:r>
      <w:r>
        <w:rPr>
          <w:rStyle w:val="CodeChar"/>
        </w:rPr>
        <w:t xml:space="preserve">public/js/shared/icons.js</w:t>
      </w:r>
      <w:r>
        <w:t xml:space="preserve">, about 110 icons) and drawn as inline SVG. Nothing loads from a third-party server, which keeps the strict CSP intact.</w:t>
      </w:r>
    </w:p>
    <w:p>
      <w:pPr>
        <w:pStyle w:val="Compact"/>
        <w:numPr>
          <w:ilvl w:val="0"/>
          <w:numId w:val="1001"/>
        </w:numPr>
      </w:pPr>
      <w:r>
        <w:t xml:space="preserve">Grid of 24, stroke 1.75, round joins, drawn in the current text colour.</w:t>
      </w:r>
    </w:p>
    <w:p>
      <w:pPr>
        <w:pStyle w:val="Compact"/>
        <w:numPr>
          <w:ilvl w:val="0"/>
          <w:numId w:val="1001"/>
        </w:numPr>
      </w:pPr>
      <w:r>
        <w:t xml:space="preserve">18 px in navigation and buttons, 14 to 16 px in chips and tables, 20 to 24 px in the customer app.</w:t>
      </w:r>
    </w:p>
    <w:p>
      <w:pPr>
        <w:pStyle w:val="Compact"/>
        <w:numPr>
          <w:ilvl w:val="0"/>
          <w:numId w:val="1001"/>
        </w:numPr>
      </w:pPr>
      <w:r>
        <w:t xml:space="preserve">Decorative by default (hidden from screen readers). An icon that carries meaning on its own, such as an icon-only button, gets a text label.</w:t>
      </w:r>
    </w:p>
    <w:p>
      <w:pPr>
        <w:pStyle w:val="Compact"/>
        <w:numPr>
          <w:ilvl w:val="0"/>
          <w:numId w:val="1001"/>
        </w:numPr>
      </w:pPr>
      <w:r>
        <w:t xml:space="preserve">No emoji and no text glyphs (☎, ★, ◐, ?) as icons anywhere.</w:t>
      </w:r>
    </w:p>
    <w:p>
      <w:pPr>
        <w:pStyle w:val="FirstParagraph"/>
      </w:pPr>
      <w:r>
        <w:t xml:space="preserve">The same icon always means the same thing: shield-check for TNDS and claims, users for leads and seat accident cover, inbox for the telesales inbox, scale for business rules and the regulated price, history for audit, headset for customer support.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4" w:name="_Toc300000030"/>
      <w:r>
        <w:rPr>
          <w:rStyle w:val="BookTitle"/>
          <w:bCs w:val="0"/>
          <w:i w:val="0"/>
          <w:iCs w:val="0"/>
          <w:spacing w:val="0"/>
        </w:rPr>
        <w:t xml:space="preserve">Console components</w:t>
      </w:r>
      <w:bookmarkEnd w:id="34"/>
    </w:p>
    <w:p>
      <w:pPr>
        <w:pStyle w:val="FirstParagraph"/>
      </w:pPr>
      <w:r>
        <w:t xml:space="preserve">All console components live in</w:t>
      </w:r>
      <w:r>
        <w:t xml:space="preserve"> </w:t>
      </w:r>
      <w:r>
        <w:rPr>
          <w:rStyle w:val="CodeChar"/>
        </w:rPr>
        <w:t xml:space="preserve">public/js/console/ui.js</w:t>
      </w:r>
      <w:r>
        <w:t xml:space="preserve"> </w:t>
      </w:r>
      <w:r>
        <w:t xml:space="preserve">with styles in</w:t>
      </w:r>
      <w:r>
        <w:t xml:space="preserve"> </w:t>
      </w:r>
      <w:r>
        <w:rPr>
          <w:rStyle w:val="CodeChar"/>
        </w:rPr>
        <w:t xml:space="preserve">public/css/components.css</w:t>
      </w:r>
      <w:r>
        <w:t xml:space="preserve">. They build the page with safe DOM helpers only, never with injected HTML. The engineering reference with code examples is kept with the source; this chapter gives the design and usage rules.</w:t>
      </w:r>
    </w:p>
    <w:p>
      <w:pPr>
        <w:pStyle w:val="Heading2"/>
      </w:pPr>
      <w:bookmarkStart w:id="35" w:name="_Toc300000031"/>
      <w:r>
        <w:t xml:space="preserve">Anatomy of a console page</w:t>
      </w:r>
      <w:bookmarkEnd w:id="35"/>
    </w:p>
    <w:p>
      <w:pPr>
        <w:pStyle w:val="FirstParagraph"/>
      </w:pPr>
      <w:r>
        <w:t xml:space="preserve">Every console page shares one frame and one page template.</w:t>
      </w:r>
    </w:p>
    <w:p xmlns:a="http://schemas.openxmlformats.org/drawingml/2006/main" xmlns:pic="http://schemas.openxmlformats.org/drawingml/2006/picture">
      <w:pPr>
        <w:pStyle w:val="Figure"/>
      </w:pPr>
      <w:r>
        <w:drawing>
          <wp:inline>
            <wp:extent cx="5727700" cy="3579812"/>
            <wp:effectExtent b="0" l="0" r="0" t="0"/>
            <wp:docPr descr="Anatomy of a console page (claims queue)" title="" id="5003" name="Picture"/>
            <a:graphic>
              <a:graphicData uri="http://schemas.openxmlformats.org/drawingml/2006/picture">
                <pic:pic>
                  <pic:nvPicPr>
                    <pic:cNvPr descr="/tmp/claude-0/-home-user-TASCO/19e5534d-12b5-5956-9b60-3e77efde0f49/scratchpad/docsrc/docs/ux/img/anatomy-console-shell.png" id="52" name="Picture"/>
                    <pic:cNvPicPr>
                      <a:picLocks noChangeArrowheads="1" noChangeAspect="1"/>
                    </pic:cNvPicPr>
                  </pic:nvPicPr>
                  <pic:blipFill>
                    <a:blip r:embed="rIdG2"/>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 – Anatomy of a console page (claims queue)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2031"/>
        <w:gridCol w:w="6390"/>
      </w:tblGrid>
      <w:tr>
        <w:trPr>
          <w:cantSplit/>
          <w:tblHeader/>
        </w:trPr>
        <w:tc>
          <w:tcPr>
            <w:tcW w:w="606" w:type="dxa"/>
            <w:shd w:val="clear" w:color="auto" w:fill="0F4761"/>
            <w:vAlign w:val="center"/>
          </w:tcPr>
          <w:p>
            <w:pPr>
              <w:pStyle w:val="TableHeading"/>
              <w:jc w:val="left"/>
            </w:pPr>
            <w:r>
              <w:rPr>
                <w:color w:val="FFFFFF"/>
              </w:rPr>
              <w:t xml:space="preserve">No.</w:t>
            </w:r>
          </w:p>
        </w:tc>
        <w:tc>
          <w:tcPr>
            <w:tcW w:w="2031" w:type="dxa"/>
            <w:shd w:val="clear" w:color="auto" w:fill="0F4761"/>
            <w:vAlign w:val="center"/>
          </w:tcPr>
          <w:p>
            <w:pPr>
              <w:pStyle w:val="TableHeading"/>
              <w:jc w:val="left"/>
            </w:pPr>
            <w:r>
              <w:rPr>
                <w:color w:val="FFFFFF"/>
              </w:rPr>
              <w:t xml:space="preserve">Element</w:t>
            </w:r>
          </w:p>
        </w:tc>
        <w:tc>
          <w:tcPr>
            <w:tcW w:w="6390" w:type="dxa"/>
            <w:shd w:val="clear" w:color="auto" w:fill="0F4761"/>
            <w:vAlign w:val="center"/>
          </w:tcPr>
          <w:p>
            <w:pPr>
              <w:pStyle w:val="TableHeading"/>
              <w:jc w:val="left"/>
            </w:pPr>
            <w:r>
              <w:rPr>
                <w:color w:val="FFFFFF"/>
              </w:rPr>
              <w:t xml:space="preserve">Rule</w:t>
            </w:r>
          </w:p>
        </w:tc>
      </w:tr>
      <w:tr>
        <w:trPr>
          <w:cantSplit/>
        </w:trPr>
        <w:tc>
          <w:tcPr>
            <w:tcW w:w="606" w:type="dxa"/>
            <w:vAlign w:val="top"/>
          </w:tcPr>
          <w:p>
            <w:pPr>
              <w:pStyle w:val="TableText"/>
              <w:jc w:val="left"/>
            </w:pPr>
            <w:r>
              <w:t xml:space="preserve">1</w:t>
            </w:r>
          </w:p>
        </w:tc>
        <w:tc>
          <w:tcPr>
            <w:tcW w:w="2031" w:type="dxa"/>
            <w:vAlign w:val="top"/>
          </w:tcPr>
          <w:p>
            <w:pPr>
              <w:pStyle w:val="TableText"/>
              <w:jc w:val="left"/>
            </w:pPr>
            <w:r>
              <w:t xml:space="preserve">Utility strip</w:t>
            </w:r>
          </w:p>
        </w:tc>
        <w:tc>
          <w:tcPr>
            <w:tcW w:w="6390" w:type="dxa"/>
            <w:vAlign w:val="top"/>
          </w:tcPr>
          <w:p>
            <w:pPr>
              <w:pStyle w:val="TableText"/>
              <w:jc w:val="left"/>
            </w:pPr>
            <w:r>
              <w:t xml:space="preserve">Brand teal with navy text: hotline, UAT badge in the test environment, EN / VI switch and user menu</w:t>
            </w:r>
          </w:p>
        </w:tc>
      </w:tr>
      <w:tr>
        <w:trPr>
          <w:cantSplit/>
        </w:trPr>
        <w:tc>
          <w:tcPr>
            <w:tcW w:w="606" w:type="dxa"/>
            <w:shd w:val="clear" w:color="auto" w:fill="F4F7FB"/>
            <w:vAlign w:val="top"/>
          </w:tcPr>
          <w:p>
            <w:pPr>
              <w:pStyle w:val="TableText"/>
              <w:jc w:val="left"/>
            </w:pPr>
            <w:r>
              <w:t xml:space="preserve">2</w:t>
            </w:r>
          </w:p>
        </w:tc>
        <w:tc>
          <w:tcPr>
            <w:tcW w:w="2031" w:type="dxa"/>
            <w:shd w:val="clear" w:color="auto" w:fill="F4F7FB"/>
            <w:vAlign w:val="top"/>
          </w:tcPr>
          <w:p>
            <w:pPr>
              <w:pStyle w:val="TableText"/>
              <w:jc w:val="left"/>
            </w:pPr>
            <w:r>
              <w:t xml:space="preserve">Sidebar</w:t>
            </w:r>
          </w:p>
        </w:tc>
        <w:tc>
          <w:tcPr>
            <w:tcW w:w="6390" w:type="dxa"/>
            <w:shd w:val="clear" w:color="auto" w:fill="F4F7FB"/>
            <w:vAlign w:val="top"/>
          </w:tcPr>
          <w:p>
            <w:pPr>
              <w:pStyle w:val="TableText"/>
              <w:jc w:val="left"/>
            </w:pPr>
            <w:r>
              <w:t xml:space="preserve">Wordmark, then grouped pages for the role only; active item in light teal with a 3 px teal bar</w:t>
            </w:r>
          </w:p>
        </w:tc>
      </w:tr>
      <w:tr>
        <w:trPr>
          <w:cantSplit/>
        </w:trPr>
        <w:tc>
          <w:tcPr>
            <w:tcW w:w="606" w:type="dxa"/>
            <w:vAlign w:val="top"/>
          </w:tcPr>
          <w:p>
            <w:pPr>
              <w:pStyle w:val="TableText"/>
              <w:jc w:val="left"/>
            </w:pPr>
            <w:r>
              <w:t xml:space="preserve">3</w:t>
            </w:r>
          </w:p>
        </w:tc>
        <w:tc>
          <w:tcPr>
            <w:tcW w:w="2031" w:type="dxa"/>
            <w:vAlign w:val="top"/>
          </w:tcPr>
          <w:p>
            <w:pPr>
              <w:pStyle w:val="TableText"/>
              <w:jc w:val="left"/>
            </w:pPr>
            <w:r>
              <w:t xml:space="preserve">Breadcrumb</w:t>
            </w:r>
          </w:p>
        </w:tc>
        <w:tc>
          <w:tcPr>
            <w:tcW w:w="6390" w:type="dxa"/>
            <w:vAlign w:val="top"/>
          </w:tcPr>
          <w:p>
            <w:pPr>
              <w:pStyle w:val="TableText"/>
              <w:jc w:val="left"/>
            </w:pPr>
            <w:r>
              <w:t xml:space="preserve">Group and page, for example</w:t>
            </w:r>
            <w:r>
              <w:t xml:space="preserve"> </w:t>
            </w:r>
            <w:r>
              <w:t xml:space="preserve">“</w:t>
            </w:r>
            <w:r>
              <w:t xml:space="preserve">Serve › Claims</w:t>
            </w:r>
            <w:r>
              <w:t xml:space="preserve">”</w:t>
            </w:r>
            <w:r>
              <w:t xml:space="preserve">; detail pages add the record</w:t>
            </w:r>
          </w:p>
        </w:tc>
      </w:tr>
      <w:tr>
        <w:trPr>
          <w:cantSplit/>
        </w:trPr>
        <w:tc>
          <w:tcPr>
            <w:tcW w:w="606" w:type="dxa"/>
            <w:shd w:val="clear" w:color="auto" w:fill="F4F7FB"/>
            <w:vAlign w:val="top"/>
          </w:tcPr>
          <w:p>
            <w:pPr>
              <w:pStyle w:val="TableText"/>
              <w:jc w:val="left"/>
            </w:pPr>
            <w:r>
              <w:t xml:space="preserve">4</w:t>
            </w:r>
          </w:p>
        </w:tc>
        <w:tc>
          <w:tcPr>
            <w:tcW w:w="2031" w:type="dxa"/>
            <w:shd w:val="clear" w:color="auto" w:fill="F4F7FB"/>
            <w:vAlign w:val="top"/>
          </w:tcPr>
          <w:p>
            <w:pPr>
              <w:pStyle w:val="TableText"/>
              <w:jc w:val="left"/>
            </w:pPr>
            <w:r>
              <w:t xml:space="preserve">Global search</w:t>
            </w:r>
          </w:p>
        </w:tc>
        <w:tc>
          <w:tcPr>
            <w:tcW w:w="6390" w:type="dxa"/>
            <w:shd w:val="clear" w:color="auto" w:fill="F4F7FB"/>
            <w:vAlign w:val="top"/>
          </w:tcPr>
          <w:p>
            <w:pPr>
              <w:pStyle w:val="TableText"/>
              <w:jc w:val="left"/>
            </w:pPr>
            <w:r>
              <w:t xml:space="preserve">White pill; plate or phone, opens Customer 360</w:t>
            </w:r>
          </w:p>
        </w:tc>
      </w:tr>
      <w:tr>
        <w:trPr>
          <w:cantSplit/>
        </w:trPr>
        <w:tc>
          <w:tcPr>
            <w:tcW w:w="606" w:type="dxa"/>
            <w:vAlign w:val="top"/>
          </w:tcPr>
          <w:p>
            <w:pPr>
              <w:pStyle w:val="TableText"/>
              <w:jc w:val="left"/>
            </w:pPr>
            <w:r>
              <w:t xml:space="preserve">5</w:t>
            </w:r>
          </w:p>
        </w:tc>
        <w:tc>
          <w:tcPr>
            <w:tcW w:w="2031" w:type="dxa"/>
            <w:vAlign w:val="top"/>
          </w:tcPr>
          <w:p>
            <w:pPr>
              <w:pStyle w:val="TableText"/>
              <w:jc w:val="left"/>
            </w:pPr>
            <w:r>
              <w:t xml:space="preserve">Notifications and Help</w:t>
            </w:r>
          </w:p>
        </w:tc>
        <w:tc>
          <w:tcPr>
            <w:tcW w:w="6390" w:type="dxa"/>
            <w:vAlign w:val="top"/>
          </w:tcPr>
          <w:p>
            <w:pPr>
              <w:pStyle w:val="TableText"/>
              <w:jc w:val="left"/>
            </w:pPr>
            <w:r>
              <w:t xml:space="preserve">Bell with a count, contextual help panel</w:t>
            </w:r>
          </w:p>
        </w:tc>
      </w:tr>
      <w:tr>
        <w:trPr>
          <w:cantSplit/>
        </w:trPr>
        <w:tc>
          <w:tcPr>
            <w:tcW w:w="606" w:type="dxa"/>
            <w:shd w:val="clear" w:color="auto" w:fill="F4F7FB"/>
            <w:vAlign w:val="top"/>
          </w:tcPr>
          <w:p>
            <w:pPr>
              <w:pStyle w:val="TableText"/>
              <w:jc w:val="left"/>
            </w:pPr>
            <w:r>
              <w:t xml:space="preserve">6</w:t>
            </w:r>
          </w:p>
        </w:tc>
        <w:tc>
          <w:tcPr>
            <w:tcW w:w="2031" w:type="dxa"/>
            <w:shd w:val="clear" w:color="auto" w:fill="F4F7FB"/>
            <w:vAlign w:val="top"/>
          </w:tcPr>
          <w:p>
            <w:pPr>
              <w:pStyle w:val="TableText"/>
              <w:jc w:val="left"/>
            </w:pPr>
            <w:r>
              <w:t xml:space="preserve">Page header</w:t>
            </w:r>
          </w:p>
        </w:tc>
        <w:tc>
          <w:tcPr>
            <w:tcW w:w="6390" w:type="dxa"/>
            <w:shd w:val="clear" w:color="auto" w:fill="F4F7FB"/>
            <w:vAlign w:val="top"/>
          </w:tcPr>
          <w:p>
            <w:pPr>
              <w:pStyle w:val="TableText"/>
              <w:jc w:val="left"/>
            </w:pPr>
            <w:r>
              <w:t xml:space="preserve">H1 with teal accent, optional subtitle of one short line, primary actions on the right</w:t>
            </w:r>
          </w:p>
        </w:tc>
      </w:tr>
      <w:tr>
        <w:trPr>
          <w:cantSplit/>
        </w:trPr>
        <w:tc>
          <w:tcPr>
            <w:tcW w:w="606" w:type="dxa"/>
            <w:vAlign w:val="top"/>
          </w:tcPr>
          <w:p>
            <w:pPr>
              <w:pStyle w:val="TableText"/>
              <w:jc w:val="left"/>
            </w:pPr>
            <w:r>
              <w:t xml:space="preserve">7</w:t>
            </w:r>
          </w:p>
        </w:tc>
        <w:tc>
          <w:tcPr>
            <w:tcW w:w="2031" w:type="dxa"/>
            <w:vAlign w:val="top"/>
          </w:tcPr>
          <w:p>
            <w:pPr>
              <w:pStyle w:val="TableText"/>
              <w:jc w:val="left"/>
            </w:pPr>
            <w:r>
              <w:t xml:space="preserve">KPI strip</w:t>
            </w:r>
          </w:p>
        </w:tc>
        <w:tc>
          <w:tcPr>
            <w:tcW w:w="6390" w:type="dxa"/>
            <w:vAlign w:val="top"/>
          </w:tcPr>
          <w:p>
            <w:pPr>
              <w:pStyle w:val="TableText"/>
              <w:jc w:val="left"/>
            </w:pPr>
            <w:r>
              <w:t xml:space="preserve">Up to five tiles; a tile that filters the list below is a button</w:t>
            </w:r>
          </w:p>
        </w:tc>
      </w:tr>
      <w:tr>
        <w:trPr>
          <w:cantSplit/>
        </w:trPr>
        <w:tc>
          <w:tcPr>
            <w:tcW w:w="606" w:type="dxa"/>
            <w:shd w:val="clear" w:color="auto" w:fill="F4F7FB"/>
            <w:vAlign w:val="top"/>
          </w:tcPr>
          <w:p>
            <w:pPr>
              <w:pStyle w:val="TableText"/>
              <w:jc w:val="left"/>
            </w:pPr>
            <w:r>
              <w:t xml:space="preserve">8</w:t>
            </w:r>
          </w:p>
        </w:tc>
        <w:tc>
          <w:tcPr>
            <w:tcW w:w="2031" w:type="dxa"/>
            <w:shd w:val="clear" w:color="auto" w:fill="F4F7FB"/>
            <w:vAlign w:val="top"/>
          </w:tcPr>
          <w:p>
            <w:pPr>
              <w:pStyle w:val="TableText"/>
              <w:jc w:val="left"/>
            </w:pPr>
            <w:r>
              <w:t xml:space="preserve">Table toolbar</w:t>
            </w:r>
          </w:p>
        </w:tc>
        <w:tc>
          <w:tcPr>
            <w:tcW w:w="6390" w:type="dxa"/>
            <w:shd w:val="clear" w:color="auto" w:fill="F4F7FB"/>
            <w:vAlign w:val="top"/>
          </w:tcPr>
          <w:p>
            <w:pPr>
              <w:pStyle w:val="TableText"/>
              <w:jc w:val="left"/>
            </w:pPr>
            <w:r>
              <w:t xml:space="preserve">Search, filter chips with counts, export on the right</w:t>
            </w:r>
          </w:p>
        </w:tc>
      </w:tr>
      <w:tr>
        <w:trPr>
          <w:cantSplit/>
        </w:trPr>
        <w:tc>
          <w:tcPr>
            <w:tcW w:w="606" w:type="dxa"/>
            <w:vAlign w:val="top"/>
          </w:tcPr>
          <w:p>
            <w:pPr>
              <w:pStyle w:val="TableText"/>
              <w:jc w:val="left"/>
            </w:pPr>
            <w:r>
              <w:t xml:space="preserve">9</w:t>
            </w:r>
          </w:p>
        </w:tc>
        <w:tc>
          <w:tcPr>
            <w:tcW w:w="2031" w:type="dxa"/>
            <w:vAlign w:val="top"/>
          </w:tcPr>
          <w:p>
            <w:pPr>
              <w:pStyle w:val="TableText"/>
              <w:jc w:val="left"/>
            </w:pPr>
            <w:r>
              <w:t xml:space="preserve">Status and SLA chips</w:t>
            </w:r>
          </w:p>
        </w:tc>
        <w:tc>
          <w:tcPr>
            <w:tcW w:w="6390" w:type="dxa"/>
            <w:vAlign w:val="top"/>
          </w:tcPr>
          <w:p>
            <w:pPr>
              <w:pStyle w:val="TableText"/>
              <w:jc w:val="left"/>
            </w:pPr>
            <w:r>
              <w:t xml:space="preserve">Status shown once; deadline as On track, Due soon or Breached with time left</w:t>
            </w:r>
          </w:p>
        </w:tc>
      </w:tr>
      <w:tr>
        <w:trPr>
          <w:cantSplit/>
        </w:trPr>
        <w:tc>
          <w:tcPr>
            <w:tcW w:w="606" w:type="dxa"/>
            <w:shd w:val="clear" w:color="auto" w:fill="F4F7FB"/>
            <w:vAlign w:val="top"/>
          </w:tcPr>
          <w:p>
            <w:pPr>
              <w:pStyle w:val="TableText"/>
              <w:jc w:val="left"/>
            </w:pPr>
            <w:r>
              <w:t xml:space="preserve">10</w:t>
            </w:r>
          </w:p>
        </w:tc>
        <w:tc>
          <w:tcPr>
            <w:tcW w:w="2031" w:type="dxa"/>
            <w:shd w:val="clear" w:color="auto" w:fill="F4F7FB"/>
            <w:vAlign w:val="top"/>
          </w:tcPr>
          <w:p>
            <w:pPr>
              <w:pStyle w:val="TableText"/>
              <w:jc w:val="left"/>
            </w:pPr>
            <w:r>
              <w:t xml:space="preserve">Row actions</w:t>
            </w:r>
          </w:p>
        </w:tc>
        <w:tc>
          <w:tcPr>
            <w:tcW w:w="6390" w:type="dxa"/>
            <w:shd w:val="clear" w:color="auto" w:fill="F4F7FB"/>
            <w:vAlign w:val="top"/>
          </w:tcPr>
          <w:p>
            <w:pPr>
              <w:pStyle w:val="TableText"/>
              <w:jc w:val="left"/>
            </w:pPr>
            <w:r>
              <w:t xml:space="preserve">One verb button of fixed width, then the ⋯ menu</w:t>
            </w:r>
          </w:p>
        </w:tc>
      </w:tr>
    </w:tbl>
    <w:p>
      <w:pPr>
        <w:pStyle w:val="Heading2"/>
      </w:pPr>
      <w:bookmarkStart w:id="36" w:name="_Toc300000032"/>
      <w:r>
        <w:t xml:space="preserve">Buttons</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48"/>
        <w:gridCol w:w="2662"/>
        <w:gridCol w:w="5017"/>
      </w:tblGrid>
      <w:tr>
        <w:trPr>
          <w:cantSplit/>
          <w:tblHeader/>
        </w:trPr>
        <w:tc>
          <w:tcPr>
            <w:tcW w:w="1348" w:type="dxa"/>
            <w:shd w:val="clear" w:color="auto" w:fill="0F4761"/>
            <w:vAlign w:val="center"/>
          </w:tcPr>
          <w:p>
            <w:pPr>
              <w:pStyle w:val="TableHeading"/>
              <w:jc w:val="left"/>
            </w:pPr>
            <w:r>
              <w:rPr>
                <w:color w:val="FFFFFF"/>
              </w:rPr>
              <w:t xml:space="preserve">Variant</w:t>
            </w:r>
          </w:p>
        </w:tc>
        <w:tc>
          <w:tcPr>
            <w:tcW w:w="2662" w:type="dxa"/>
            <w:shd w:val="clear" w:color="auto" w:fill="0F4761"/>
            <w:vAlign w:val="center"/>
          </w:tcPr>
          <w:p>
            <w:pPr>
              <w:pStyle w:val="TableHeading"/>
              <w:jc w:val="left"/>
            </w:pPr>
            <w:r>
              <w:rPr>
                <w:color w:val="FFFFFF"/>
              </w:rPr>
              <w:t xml:space="preserve">Look</w:t>
            </w:r>
          </w:p>
        </w:tc>
        <w:tc>
          <w:tcPr>
            <w:tcW w:w="5017" w:type="dxa"/>
            <w:shd w:val="clear" w:color="auto" w:fill="0F4761"/>
            <w:vAlign w:val="center"/>
          </w:tcPr>
          <w:p>
            <w:pPr>
              <w:pStyle w:val="TableHeading"/>
              <w:jc w:val="left"/>
            </w:pPr>
            <w:r>
              <w:rPr>
                <w:color w:val="FFFFFF"/>
              </w:rPr>
              <w:t xml:space="preserve">Use</w:t>
            </w:r>
          </w:p>
        </w:tc>
      </w:tr>
      <w:tr>
        <w:trPr>
          <w:cantSplit/>
        </w:trPr>
        <w:tc>
          <w:tcPr>
            <w:tcW w:w="1348" w:type="dxa"/>
            <w:vAlign w:val="top"/>
          </w:tcPr>
          <w:p>
            <w:pPr>
              <w:pStyle w:val="TableText"/>
              <w:jc w:val="left"/>
            </w:pPr>
            <w:r>
              <w:t xml:space="preserve">Primary</w:t>
            </w:r>
          </w:p>
        </w:tc>
        <w:tc>
          <w:tcPr>
            <w:tcW w:w="2662" w:type="dxa"/>
            <w:vAlign w:val="top"/>
          </w:tcPr>
          <w:p>
            <w:pPr>
              <w:pStyle w:val="TableText"/>
              <w:jc w:val="left"/>
            </w:pPr>
            <w:r>
              <w:t xml:space="preserve">Action teal fill, white text</w:t>
            </w:r>
          </w:p>
        </w:tc>
        <w:tc>
          <w:tcPr>
            <w:tcW w:w="5017" w:type="dxa"/>
            <w:vAlign w:val="top"/>
          </w:tcPr>
          <w:p>
            <w:pPr>
              <w:pStyle w:val="TableText"/>
              <w:jc w:val="left"/>
            </w:pPr>
            <w:r>
              <w:t xml:space="preserve">The one main action in a view, card, dialog or row</w:t>
            </w:r>
          </w:p>
        </w:tc>
      </w:tr>
      <w:tr>
        <w:trPr>
          <w:cantSplit/>
        </w:trPr>
        <w:tc>
          <w:tcPr>
            <w:tcW w:w="1348" w:type="dxa"/>
            <w:shd w:val="clear" w:color="auto" w:fill="F4F7FB"/>
            <w:vAlign w:val="top"/>
          </w:tcPr>
          <w:p>
            <w:pPr>
              <w:pStyle w:val="TableText"/>
              <w:jc w:val="left"/>
            </w:pPr>
            <w:r>
              <w:t xml:space="preserve">Secondary</w:t>
            </w:r>
          </w:p>
        </w:tc>
        <w:tc>
          <w:tcPr>
            <w:tcW w:w="2662" w:type="dxa"/>
            <w:shd w:val="clear" w:color="auto" w:fill="F4F7FB"/>
            <w:vAlign w:val="top"/>
          </w:tcPr>
          <w:p>
            <w:pPr>
              <w:pStyle w:val="TableText"/>
              <w:jc w:val="left"/>
            </w:pPr>
            <w:r>
              <w:t xml:space="preserve">White, navy border and text</w:t>
            </w:r>
          </w:p>
        </w:tc>
        <w:tc>
          <w:tcPr>
            <w:tcW w:w="5017" w:type="dxa"/>
            <w:shd w:val="clear" w:color="auto" w:fill="F4F7FB"/>
            <w:vAlign w:val="top"/>
          </w:tcPr>
          <w:p>
            <w:pPr>
              <w:pStyle w:val="TableText"/>
              <w:jc w:val="left"/>
            </w:pPr>
            <w:r>
              <w:t xml:space="preserve">Other actions next to a primary, and row actions</w:t>
            </w:r>
          </w:p>
        </w:tc>
      </w:tr>
      <w:tr>
        <w:trPr>
          <w:cantSplit/>
        </w:trPr>
        <w:tc>
          <w:tcPr>
            <w:tcW w:w="1348" w:type="dxa"/>
            <w:vAlign w:val="top"/>
          </w:tcPr>
          <w:p>
            <w:pPr>
              <w:pStyle w:val="TableText"/>
              <w:jc w:val="left"/>
            </w:pPr>
            <w:r>
              <w:t xml:space="preserve">Ghost</w:t>
            </w:r>
          </w:p>
        </w:tc>
        <w:tc>
          <w:tcPr>
            <w:tcW w:w="2662" w:type="dxa"/>
            <w:vAlign w:val="top"/>
          </w:tcPr>
          <w:p>
            <w:pPr>
              <w:pStyle w:val="TableText"/>
              <w:jc w:val="left"/>
            </w:pPr>
            <w:r>
              <w:t xml:space="preserve">No border, grey text</w:t>
            </w:r>
          </w:p>
        </w:tc>
        <w:tc>
          <w:tcPr>
            <w:tcW w:w="5017" w:type="dxa"/>
            <w:vAlign w:val="top"/>
          </w:tcPr>
          <w:p>
            <w:pPr>
              <w:pStyle w:val="TableText"/>
              <w:jc w:val="left"/>
            </w:pPr>
            <w:r>
              <w:t xml:space="preserve">Low-emphasis actions and the muted</w:t>
            </w:r>
            <w:r>
              <w:t xml:space="preserve"> </w:t>
            </w:r>
            <w:r>
              <w:t xml:space="preserve">“</w:t>
            </w:r>
            <w:r>
              <w:t xml:space="preserve">View</w:t>
            </w:r>
            <w:r>
              <w:t xml:space="preserve">”</w:t>
            </w:r>
            <w:r>
              <w:t xml:space="preserve"> </w:t>
            </w:r>
            <w:r>
              <w:t xml:space="preserve">on closed rows</w:t>
            </w:r>
          </w:p>
        </w:tc>
      </w:tr>
      <w:tr>
        <w:trPr>
          <w:cantSplit/>
        </w:trPr>
        <w:tc>
          <w:tcPr>
            <w:tcW w:w="1348" w:type="dxa"/>
            <w:shd w:val="clear" w:color="auto" w:fill="F4F7FB"/>
            <w:vAlign w:val="top"/>
          </w:tcPr>
          <w:p>
            <w:pPr>
              <w:pStyle w:val="TableText"/>
              <w:jc w:val="left"/>
            </w:pPr>
            <w:r>
              <w:t xml:space="preserve">Danger</w:t>
            </w:r>
          </w:p>
        </w:tc>
        <w:tc>
          <w:tcPr>
            <w:tcW w:w="2662" w:type="dxa"/>
            <w:shd w:val="clear" w:color="auto" w:fill="F4F7FB"/>
            <w:vAlign w:val="top"/>
          </w:tcPr>
          <w:p>
            <w:pPr>
              <w:pStyle w:val="TableText"/>
              <w:jc w:val="left"/>
            </w:pPr>
            <w:r>
              <w:t xml:space="preserve">White, red border and text</w:t>
            </w:r>
          </w:p>
        </w:tc>
        <w:tc>
          <w:tcPr>
            <w:tcW w:w="5017" w:type="dxa"/>
            <w:shd w:val="clear" w:color="auto" w:fill="F4F7FB"/>
            <w:vAlign w:val="top"/>
          </w:tcPr>
          <w:p>
            <w:pPr>
              <w:pStyle w:val="TableText"/>
              <w:jc w:val="left"/>
            </w:pPr>
            <w:r>
              <w:t xml:space="preserve">Destructive actions in menus and dialogs</w:t>
            </w:r>
          </w:p>
        </w:tc>
      </w:tr>
      <w:tr>
        <w:trPr>
          <w:cantSplit/>
        </w:trPr>
        <w:tc>
          <w:tcPr>
            <w:tcW w:w="1348" w:type="dxa"/>
            <w:vAlign w:val="top"/>
          </w:tcPr>
          <w:p>
            <w:pPr>
              <w:pStyle w:val="TableText"/>
              <w:jc w:val="left"/>
            </w:pPr>
            <w:r>
              <w:t xml:space="preserve">Danger solid</w:t>
            </w:r>
          </w:p>
        </w:tc>
        <w:tc>
          <w:tcPr>
            <w:tcW w:w="2662" w:type="dxa"/>
            <w:vAlign w:val="top"/>
          </w:tcPr>
          <w:p>
            <w:pPr>
              <w:pStyle w:val="TableText"/>
              <w:jc w:val="left"/>
            </w:pPr>
            <w:r>
              <w:t xml:space="preserve">Red fill, white text</w:t>
            </w:r>
          </w:p>
        </w:tc>
        <w:tc>
          <w:tcPr>
            <w:tcW w:w="5017" w:type="dxa"/>
            <w:vAlign w:val="top"/>
          </w:tcPr>
          <w:p>
            <w:pPr>
              <w:pStyle w:val="TableText"/>
              <w:jc w:val="left"/>
            </w:pPr>
            <w:r>
              <w:t xml:space="preserve">The confirm button of a destructive decision</w:t>
            </w:r>
          </w:p>
        </w:tc>
      </w:tr>
      <w:tr>
        <w:trPr>
          <w:cantSplit/>
        </w:trPr>
        <w:tc>
          <w:tcPr>
            <w:tcW w:w="1348" w:type="dxa"/>
            <w:shd w:val="clear" w:color="auto" w:fill="F4F7FB"/>
            <w:vAlign w:val="top"/>
          </w:tcPr>
          <w:p>
            <w:pPr>
              <w:pStyle w:val="TableText"/>
              <w:jc w:val="left"/>
            </w:pPr>
            <w:r>
              <w:t xml:space="preserve">Link</w:t>
            </w:r>
          </w:p>
        </w:tc>
        <w:tc>
          <w:tcPr>
            <w:tcW w:w="2662" w:type="dxa"/>
            <w:shd w:val="clear" w:color="auto" w:fill="F4F7FB"/>
            <w:vAlign w:val="top"/>
          </w:tcPr>
          <w:p>
            <w:pPr>
              <w:pStyle w:val="TableText"/>
              <w:jc w:val="left"/>
            </w:pPr>
            <w:r>
              <w:t xml:space="preserve">Link-teal text</w:t>
            </w:r>
          </w:p>
        </w:tc>
        <w:tc>
          <w:tcPr>
            <w:tcW w:w="5017" w:type="dxa"/>
            <w:shd w:val="clear" w:color="auto" w:fill="F4F7FB"/>
            <w:vAlign w:val="top"/>
          </w:tcPr>
          <w:p>
            <w:pPr>
              <w:pStyle w:val="TableText"/>
              <w:jc w:val="left"/>
            </w:pPr>
            <w:r>
              <w:t xml:space="preserve">Navigation inside text, such as</w:t>
            </w:r>
            <w:r>
              <w:t xml:space="preserve"> </w:t>
            </w:r>
            <w:r>
              <w:t xml:space="preserve">“</w:t>
            </w:r>
            <w:r>
              <w:t xml:space="preserve">Forgot password?</w:t>
            </w:r>
            <w:r>
              <w:t xml:space="preserve">”</w:t>
            </w:r>
          </w:p>
        </w:tc>
      </w:tr>
    </w:tbl>
    <w:p>
      <w:pPr>
        <w:pStyle w:val="Compact"/>
        <w:numPr>
          <w:ilvl w:val="0"/>
          <w:numId w:val="1002"/>
        </w:numPr>
        <w:spacing w:before="160"/>
      </w:pPr>
      <w:r>
        <w:t xml:space="preserve">Labels are verbs in sentence case:</w:t>
      </w:r>
      <w:r>
        <w:t xml:space="preserve"> </w:t>
      </w:r>
      <w:r>
        <w:t xml:space="preserve">“</w:t>
      </w:r>
      <w:r>
        <w:t xml:space="preserve">Approve claim</w:t>
      </w:r>
      <w:r>
        <w:t xml:space="preserve">”</w:t>
      </w:r>
      <w:r>
        <w:t xml:space="preserve">,</w:t>
      </w:r>
      <w:r>
        <w:t xml:space="preserve"> </w:t>
      </w:r>
      <w:r>
        <w:t xml:space="preserve">“</w:t>
      </w:r>
      <w:r>
        <w:t xml:space="preserve">Send quote</w:t>
      </w:r>
      <w:r>
        <w:t xml:space="preserve">”</w:t>
      </w:r>
      <w:r>
        <w:t xml:space="preserve">,</w:t>
      </w:r>
      <w:r>
        <w:t xml:space="preserve"> </w:t>
      </w:r>
      <w:r>
        <w:t xml:space="preserve">“</w:t>
      </w:r>
      <w:r>
        <w:t xml:space="preserve">Run now</w:t>
      </w:r>
      <w:r>
        <w:t xml:space="preserve">”</w:t>
      </w:r>
      <w:r>
        <w:t xml:space="preserve">. A status name is never a button label.</w:t>
      </w:r>
    </w:p>
    <w:p>
      <w:pPr>
        <w:pStyle w:val="Compact"/>
        <w:numPr>
          <w:ilvl w:val="0"/>
          <w:numId w:val="1002"/>
        </w:numPr>
      </w:pPr>
      <w:r>
        <w:t xml:space="preserve">One primary button per view or card. In dialogs the primary sits on the right, with Cancel or Back to its left.</w:t>
      </w:r>
    </w:p>
    <w:p>
      <w:pPr>
        <w:pStyle w:val="Compact"/>
        <w:numPr>
          <w:ilvl w:val="0"/>
          <w:numId w:val="1002"/>
        </w:numPr>
      </w:pPr>
      <w:r>
        <w:t xml:space="preserve">An icon may lead the label; icon-only buttons have a tooltip and an accessible name.</w:t>
      </w:r>
    </w:p>
    <w:p>
      <w:pPr>
        <w:pStyle w:val="Compact"/>
        <w:numPr>
          <w:ilvl w:val="0"/>
          <w:numId w:val="1002"/>
        </w:numPr>
      </w:pPr>
      <w:r>
        <w:t xml:space="preserve">A button that starts a request shows a spinner and blocks repeat clicks until the request ends.</w:t>
      </w:r>
    </w:p>
    <w:p>
      <w:pPr>
        <w:pStyle w:val="Compact"/>
        <w:numPr>
          <w:ilvl w:val="0"/>
          <w:numId w:val="1002"/>
        </w:numPr>
      </w:pPr>
      <w:r>
        <w:t xml:space="preserve">Disabled buttons are avoided where possible; when an action is blocked, a short reason is shown next to it.</w:t>
      </w:r>
    </w:p>
    <w:p>
      <w:pPr>
        <w:pStyle w:val="Heading2"/>
      </w:pPr>
      <w:bookmarkStart w:id="37" w:name="_Toc300000033"/>
      <w:r>
        <w:t xml:space="preserve">Inputs, selects and date input</w:t>
      </w:r>
      <w:bookmarkEnd w:id="37"/>
    </w:p>
    <w:p>
      <w:pPr>
        <w:pStyle w:val="FirstParagraph"/>
      </w:pPr>
      <w:r>
        <w:t xml:space="preserve">Labels sit above fields in Lexend, with a red asterisk for required fields and</w:t>
      </w:r>
      <w:r>
        <w:t xml:space="preserve"> </w:t>
      </w:r>
      <w:r>
        <w:t xml:space="preserve">“</w:t>
      </w:r>
      <w:r>
        <w:t xml:space="preserve">(Optional)</w:t>
      </w:r>
      <w:r>
        <w:t xml:space="preserve">”</w:t>
      </w:r>
      <w:r>
        <w:t xml:space="preserve"> </w:t>
      </w:r>
      <w:r>
        <w:t xml:space="preserve">where that is clearer. One line of help text sits under the field. Errors replace nothing: they appear under the field in red with an icon, and the field gets a red border.</w:t>
      </w:r>
    </w:p>
    <w:p>
      <w:pPr>
        <w:pStyle w:val="Compact"/>
        <w:numPr>
          <w:ilvl w:val="0"/>
          <w:numId w:val="1003"/>
        </w:numPr>
      </w:pPr>
      <w:r>
        <w:t xml:space="preserve">Text inputs are 44 px in the console, 52 px in the customer app, with an 8 px radius and a light grey border; focus shows the teal ring.</w:t>
      </w:r>
    </w:p>
    <w:p>
      <w:pPr>
        <w:pStyle w:val="Compact"/>
        <w:numPr>
          <w:ilvl w:val="0"/>
          <w:numId w:val="1003"/>
        </w:numPr>
      </w:pPr>
      <w:r>
        <w:t xml:space="preserve">Units sit inside the input on the right, as on the TASCO website:</w:t>
      </w:r>
      <w:r>
        <w:t xml:space="preserve"> </w:t>
      </w:r>
      <w:r>
        <w:t xml:space="preserve">“</w:t>
      </w:r>
      <w:r>
        <w:t xml:space="preserve">chỗ</w:t>
      </w:r>
      <w:r>
        <w:t xml:space="preserve">”</w:t>
      </w:r>
      <w:r>
        <w:t xml:space="preserve"> </w:t>
      </w:r>
      <w:r>
        <w:t xml:space="preserve">for seats,</w:t>
      </w:r>
      <w:r>
        <w:t xml:space="preserve"> </w:t>
      </w:r>
      <w:r>
        <w:t xml:space="preserve">“</w:t>
      </w:r>
      <w:r>
        <w:t xml:space="preserve">₫</w:t>
      </w:r>
      <w:r>
        <w:t xml:space="preserve">”</w:t>
      </w:r>
      <w:r>
        <w:t xml:space="preserve"> </w:t>
      </w:r>
      <w:r>
        <w:t xml:space="preserve">for money,</w:t>
      </w:r>
      <w:r>
        <w:t xml:space="preserve"> </w:t>
      </w:r>
      <w:r>
        <w:t xml:space="preserve">“</w:t>
      </w:r>
      <w:r>
        <w:t xml:space="preserve">(₫)</w:t>
      </w:r>
      <w:r>
        <w:t xml:space="preserve">”</w:t>
      </w:r>
      <w:r>
        <w:t xml:space="preserve"> </w:t>
      </w:r>
      <w:r>
        <w:t xml:space="preserve">in the label for amounts in dialogs.</w:t>
      </w:r>
    </w:p>
    <w:p>
      <w:pPr>
        <w:pStyle w:val="Compact"/>
        <w:numPr>
          <w:ilvl w:val="0"/>
          <w:numId w:val="1003"/>
        </w:numPr>
      </w:pPr>
      <w:r>
        <w:t xml:space="preserve">Selects use the native control for reliability on every browser and screen reader.</w:t>
      </w:r>
    </w:p>
    <w:p>
      <w:pPr>
        <w:pStyle w:val="Compact"/>
        <w:numPr>
          <w:ilvl w:val="0"/>
          <w:numId w:val="1003"/>
        </w:numPr>
      </w:pPr>
      <w:r>
        <w:t xml:space="preserve">The date input takes dd/MM/yyyy with a typing mask and validates on leaving the field (</w:t>
      </w:r>
      <w:r>
        <w:t xml:space="preserve">“</w:t>
      </w:r>
      <w:r>
        <w:t xml:space="preserve">Invalid date (dd/mm/yyyy)</w:t>
      </w:r>
      <w:r>
        <w:t xml:space="preserve">”</w:t>
      </w:r>
      <w:r>
        <w:t xml:space="preserve">).</w:t>
      </w:r>
    </w:p>
    <w:p>
      <w:pPr>
        <w:pStyle w:val="Compact"/>
        <w:numPr>
          <w:ilvl w:val="0"/>
          <w:numId w:val="1003"/>
        </w:numPr>
      </w:pPr>
      <w:r>
        <w:t xml:space="preserve">Forms use a responsive grid with columns at least 220 px wide; action buttons are right-aligned at the foot.</w:t>
      </w:r>
    </w:p>
    <w:p>
      <w:pPr>
        <w:pStyle w:val="Heading2"/>
      </w:pPr>
      <w:bookmarkStart w:id="38" w:name="_Toc300000034"/>
      <w:r>
        <w:t xml:space="preserve">Segmented control, radios, checkboxes and switch</w:t>
      </w:r>
      <w:bookmarkEnd w:id="3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9"/>
        <w:gridCol w:w="4017"/>
        <w:gridCol w:w="3581"/>
      </w:tblGrid>
      <w:tr>
        <w:trPr>
          <w:cantSplit/>
          <w:tblHeader/>
        </w:trPr>
        <w:tc>
          <w:tcPr>
            <w:tcW w:w="1429" w:type="dxa"/>
            <w:shd w:val="clear" w:color="auto" w:fill="0F4761"/>
            <w:vAlign w:val="center"/>
          </w:tcPr>
          <w:p>
            <w:pPr>
              <w:pStyle w:val="TableHeading"/>
              <w:jc w:val="left"/>
            </w:pPr>
            <w:r>
              <w:rPr>
                <w:color w:val="FFFFFF"/>
              </w:rPr>
              <w:t xml:space="preserve">Control</w:t>
            </w:r>
          </w:p>
        </w:tc>
        <w:tc>
          <w:tcPr>
            <w:tcW w:w="4017" w:type="dxa"/>
            <w:shd w:val="clear" w:color="auto" w:fill="0F4761"/>
            <w:vAlign w:val="center"/>
          </w:tcPr>
          <w:p>
            <w:pPr>
              <w:pStyle w:val="TableHeading"/>
              <w:jc w:val="left"/>
            </w:pPr>
            <w:r>
              <w:rPr>
                <w:color w:val="FFFFFF"/>
              </w:rPr>
              <w:t xml:space="preserve">Use</w:t>
            </w:r>
          </w:p>
        </w:tc>
        <w:tc>
          <w:tcPr>
            <w:tcW w:w="3581" w:type="dxa"/>
            <w:shd w:val="clear" w:color="auto" w:fill="0F4761"/>
            <w:vAlign w:val="center"/>
          </w:tcPr>
          <w:p>
            <w:pPr>
              <w:pStyle w:val="TableHeading"/>
              <w:jc w:val="left"/>
            </w:pPr>
            <w:r>
              <w:rPr>
                <w:color w:val="FFFFFF"/>
              </w:rPr>
              <w:t xml:space="preserve">Rule</w:t>
            </w:r>
          </w:p>
        </w:tc>
      </w:tr>
      <w:tr>
        <w:trPr>
          <w:cantSplit/>
        </w:trPr>
        <w:tc>
          <w:tcPr>
            <w:tcW w:w="1429" w:type="dxa"/>
            <w:vAlign w:val="top"/>
          </w:tcPr>
          <w:p>
            <w:pPr>
              <w:pStyle w:val="TableText"/>
              <w:jc w:val="left"/>
            </w:pPr>
            <w:r>
              <w:t xml:space="preserve">Segmented control</w:t>
            </w:r>
          </w:p>
        </w:tc>
        <w:tc>
          <w:tcPr>
            <w:tcW w:w="4017" w:type="dxa"/>
            <w:vAlign w:val="top"/>
          </w:tcPr>
          <w:p>
            <w:pPr>
              <w:pStyle w:val="TableText"/>
              <w:jc w:val="left"/>
            </w:pPr>
            <w:r>
              <w:t xml:space="preserve">Two to four views of the same data, such as Policies or Premium on a chart, or the 1, 2 or 3-year term in the customer app</w:t>
            </w:r>
          </w:p>
        </w:tc>
        <w:tc>
          <w:tcPr>
            <w:tcW w:w="3581" w:type="dxa"/>
            <w:vAlign w:val="top"/>
          </w:tcPr>
          <w:p>
            <w:pPr>
              <w:pStyle w:val="TableText"/>
              <w:jc w:val="left"/>
            </w:pPr>
            <w:r>
              <w:t xml:space="preserve">Changes the view at once; never used to submit</w:t>
            </w:r>
          </w:p>
        </w:tc>
      </w:tr>
      <w:tr>
        <w:trPr>
          <w:cantSplit/>
        </w:trPr>
        <w:tc>
          <w:tcPr>
            <w:tcW w:w="1429" w:type="dxa"/>
            <w:shd w:val="clear" w:color="auto" w:fill="F4F7FB"/>
            <w:vAlign w:val="top"/>
          </w:tcPr>
          <w:p>
            <w:pPr>
              <w:pStyle w:val="TableText"/>
              <w:jc w:val="left"/>
            </w:pPr>
            <w:r>
              <w:t xml:space="preserve">Radio group</w:t>
            </w:r>
          </w:p>
        </w:tc>
        <w:tc>
          <w:tcPr>
            <w:tcW w:w="4017" w:type="dxa"/>
            <w:shd w:val="clear" w:color="auto" w:fill="F4F7FB"/>
            <w:vAlign w:val="top"/>
          </w:tcPr>
          <w:p>
            <w:pPr>
              <w:pStyle w:val="TableText"/>
              <w:jc w:val="left"/>
            </w:pPr>
            <w:r>
              <w:t xml:space="preserve">One choice from a short list, all options visible</w:t>
            </w:r>
          </w:p>
        </w:tc>
        <w:tc>
          <w:tcPr>
            <w:tcW w:w="3581" w:type="dxa"/>
            <w:shd w:val="clear" w:color="auto" w:fill="F4F7FB"/>
            <w:vAlign w:val="top"/>
          </w:tcPr>
          <w:p>
            <w:pPr>
              <w:pStyle w:val="TableText"/>
              <w:jc w:val="left"/>
            </w:pPr>
            <w:r>
              <w:t xml:space="preserve">Two columns on the customer quote form (</w:t>
            </w:r>
            <w:r>
              <w:t xml:space="preserve">“</w:t>
            </w:r>
            <w:r>
              <w:t xml:space="preserve">Không</w:t>
            </w:r>
            <w:r>
              <w:t xml:space="preserve">”</w:t>
            </w:r>
            <w:r>
              <w:t xml:space="preserve"> </w:t>
            </w:r>
            <w:r>
              <w:t xml:space="preserve">and</w:t>
            </w:r>
            <w:r>
              <w:t xml:space="preserve"> </w:t>
            </w:r>
            <w:r>
              <w:t xml:space="preserve">“</w:t>
            </w:r>
            <w:r>
              <w:t xml:space="preserve">Có</w:t>
            </w:r>
            <w:r>
              <w:t xml:space="preserve">”</w:t>
            </w:r>
            <w:r>
              <w:t xml:space="preserve">); single column in the console</w:t>
            </w:r>
          </w:p>
        </w:tc>
      </w:tr>
      <w:tr>
        <w:trPr>
          <w:cantSplit/>
        </w:trPr>
        <w:tc>
          <w:tcPr>
            <w:tcW w:w="1429" w:type="dxa"/>
            <w:vAlign w:val="top"/>
          </w:tcPr>
          <w:p>
            <w:pPr>
              <w:pStyle w:val="TableText"/>
              <w:jc w:val="left"/>
            </w:pPr>
            <w:r>
              <w:t xml:space="preserve">Checkbox</w:t>
            </w:r>
          </w:p>
        </w:tc>
        <w:tc>
          <w:tcPr>
            <w:tcW w:w="4017" w:type="dxa"/>
            <w:vAlign w:val="top"/>
          </w:tcPr>
          <w:p>
            <w:pPr>
              <w:pStyle w:val="TableText"/>
              <w:jc w:val="left"/>
            </w:pPr>
            <w:r>
              <w:t xml:space="preserve">Independent options; row selection in tables</w:t>
            </w:r>
          </w:p>
        </w:tc>
        <w:tc>
          <w:tcPr>
            <w:tcW w:w="3581" w:type="dxa"/>
            <w:vAlign w:val="top"/>
          </w:tcPr>
          <w:p>
            <w:pPr>
              <w:pStyle w:val="TableText"/>
              <w:jc w:val="left"/>
            </w:pPr>
            <w:r>
              <w:t xml:space="preserve">The label is clickable; descriptions sit under the label</w:t>
            </w:r>
          </w:p>
        </w:tc>
      </w:tr>
      <w:tr>
        <w:trPr>
          <w:cantSplit/>
        </w:trPr>
        <w:tc>
          <w:tcPr>
            <w:tcW w:w="1429" w:type="dxa"/>
            <w:shd w:val="clear" w:color="auto" w:fill="F4F7FB"/>
            <w:vAlign w:val="top"/>
          </w:tcPr>
          <w:p>
            <w:pPr>
              <w:pStyle w:val="TableText"/>
              <w:jc w:val="left"/>
            </w:pPr>
            <w:r>
              <w:t xml:space="preserve">Switch</w:t>
            </w:r>
          </w:p>
        </w:tc>
        <w:tc>
          <w:tcPr>
            <w:tcW w:w="4017" w:type="dxa"/>
            <w:shd w:val="clear" w:color="auto" w:fill="F4F7FB"/>
            <w:vAlign w:val="top"/>
          </w:tcPr>
          <w:p>
            <w:pPr>
              <w:pStyle w:val="TableText"/>
              <w:jc w:val="left"/>
            </w:pPr>
            <w:r>
              <w:t xml:space="preserve">A setting that applies immediately, such as consent in the customer app or</w:t>
            </w:r>
            <w:r>
              <w:t xml:space="preserve"> </w:t>
            </w:r>
            <w:r>
              <w:t xml:space="preserve">“</w:t>
            </w:r>
            <w:r>
              <w:t xml:space="preserve">Only mine</w:t>
            </w:r>
            <w:r>
              <w:t xml:space="preserve">”</w:t>
            </w:r>
            <w:r>
              <w:t xml:space="preserve"> </w:t>
            </w:r>
            <w:r>
              <w:t xml:space="preserve">in the inbox</w:t>
            </w:r>
          </w:p>
        </w:tc>
        <w:tc>
          <w:tcPr>
            <w:tcW w:w="3581" w:type="dxa"/>
            <w:shd w:val="clear" w:color="auto" w:fill="F4F7FB"/>
            <w:vAlign w:val="top"/>
          </w:tcPr>
          <w:p>
            <w:pPr>
              <w:pStyle w:val="TableText"/>
              <w:jc w:val="left"/>
            </w:pPr>
            <w:r>
              <w:t xml:space="preserve">Save happens on change and is confirmed by a toast; never inside a form that has a Save button</w:t>
            </w:r>
          </w:p>
        </w:tc>
      </w:tr>
    </w:tbl>
    <w:p>
      <w:pPr>
        <w:pStyle w:val="Heading2"/>
      </w:pPr>
      <w:bookmarkStart w:id="39" w:name="_Toc300000035"/>
      <w:r>
        <w:t xml:space="preserve">Status chips and badges</w:t>
      </w:r>
      <w:bookmarkEnd w:id="39"/>
    </w:p>
    <w:p>
      <w:pPr>
        <w:pStyle w:val="FirstParagraph"/>
      </w:pPr>
      <w:r>
        <w:t xml:space="preserve">A status chip is a pill with a coloured dot and the business label from the dictionary, for example</w:t>
      </w:r>
      <w:r>
        <w:t xml:space="preserve"> </w:t>
      </w:r>
      <w:r>
        <w:t xml:space="preserve">“</w:t>
      </w:r>
      <w:r>
        <w:t xml:space="preserve">Under assessment</w:t>
      </w:r>
      <w:r>
        <w:t xml:space="preserve">”</w:t>
      </w:r>
      <w:r>
        <w:t xml:space="preserve"> </w:t>
      </w:r>
      <w:r>
        <w:t xml:space="preserve">or</w:t>
      </w:r>
      <w:r>
        <w:t xml:space="preserve"> </w:t>
      </w:r>
      <w:r>
        <w:t xml:space="preserve">“</w:t>
      </w:r>
      <w:r>
        <w:t xml:space="preserve">Awaiting approval</w:t>
      </w:r>
      <w:r>
        <w:t xml:space="preserve">”</w:t>
      </w:r>
      <w:r>
        <w:t xml:space="preserve">. Tones follow the semantic colours. Other badges carry counts, tiers (Hot, Warm, Nurture) or small markers such as</w:t>
      </w:r>
      <w:r>
        <w:t xml:space="preserve"> </w:t>
      </w:r>
      <w:r>
        <w:t xml:space="preserve">“</w:t>
      </w:r>
      <w:r>
        <w:t xml:space="preserve">Masked</w:t>
      </w:r>
      <w:r>
        <w:t xml:space="preserve">”</w:t>
      </w:r>
      <w:r>
        <w:t xml:space="preserve">.</w:t>
      </w:r>
    </w:p>
    <w:p>
      <w:pPr>
        <w:pStyle w:val="Compact"/>
        <w:numPr>
          <w:ilvl w:val="0"/>
          <w:numId w:val="1004"/>
        </w:numPr>
      </w:pPr>
      <w:r>
        <w:t xml:space="preserve">Each record shows its status once. If a row also needs a deadline, the SLA chip sits under the status chip.</w:t>
      </w:r>
    </w:p>
    <w:p>
      <w:pPr>
        <w:pStyle w:val="Compact"/>
        <w:numPr>
          <w:ilvl w:val="0"/>
          <w:numId w:val="1004"/>
        </w:numPr>
      </w:pPr>
      <w:r>
        <w:t xml:space="preserve">Filter chips are different: they are toggle buttons in the table toolbar, show a count and turn light teal when selected.</w:t>
      </w:r>
    </w:p>
    <w:p>
      <w:pPr>
        <w:pStyle w:val="Heading2"/>
      </w:pPr>
      <w:bookmarkStart w:id="40" w:name="_Toc300000036"/>
      <w:r>
        <w:t xml:space="preserve">SLA chips</w:t>
      </w:r>
      <w:bookmarkEnd w:id="40"/>
    </w:p>
    <w:p>
      <w:pPr>
        <w:pStyle w:val="FirstParagraph"/>
      </w:pPr>
      <w:r>
        <w:t xml:space="preserve">An SLA chip has three states with a fixed icon: On track (green, check), Due soon (amber, clock) and Breached (red, warning triangle). The chip is followed by the time left or overdue in short form (</w:t>
      </w:r>
      <w:r>
        <w:t xml:space="preserve">“</w:t>
      </w:r>
      <w:r>
        <w:t xml:space="preserve">2d 23h left</w:t>
      </w:r>
      <w:r>
        <w:t xml:space="preserve">”</w:t>
      </w:r>
      <w:r>
        <w:t xml:space="preserve">,</w:t>
      </w:r>
      <w:r>
        <w:t xml:space="preserve"> </w:t>
      </w:r>
      <w:r>
        <w:t xml:space="preserve">“</w:t>
      </w:r>
      <w:r>
        <w:t xml:space="preserve">35m over</w:t>
      </w:r>
      <w:r>
        <w:t xml:space="preserve">”</w:t>
      </w:r>
      <w:r>
        <w:t xml:space="preserve">), and its tooltip gives the exact due time.</w:t>
      </w:r>
      <w:r>
        <w:t xml:space="preserve"> </w:t>
      </w:r>
      <w:r>
        <w:t xml:space="preserve">“</w:t>
      </w:r>
      <w:r>
        <w:t xml:space="preserve">Due soon</w:t>
      </w:r>
      <w:r>
        <w:t xml:space="preserve">”</w:t>
      </w:r>
      <w:r>
        <w:t xml:space="preserve"> </w:t>
      </w:r>
      <w:r>
        <w:t xml:space="preserve">starts 30 minutes before a telesales handoff deadline and one hour before a claim acknowledgement deadline; the windows are set in the Service levels rule set.</w:t>
      </w:r>
    </w:p>
    <w:p>
      <w:pPr>
        <w:pStyle w:val="Heading2"/>
      </w:pPr>
      <w:bookmarkStart w:id="41" w:name="_Toc300000037"/>
      <w:r>
        <w:t xml:space="preserve">KPI tile</w:t>
      </w:r>
      <w:bookmarkEnd w:id="41"/>
    </w:p>
    <w:p>
      <w:pPr>
        <w:pStyle w:val="FirstParagraph"/>
      </w:pPr>
      <w:r>
        <w:t xml:space="preserve">A KPI tile shows a label with an icon, a large value in Lexend, an optional delta or hint line and an optional sparkline. A 3 px brand-teal line runs along the top. Tiles that filter the list below are buttons and show a hover state. Values use compact formats on dashboards (</w:t>
      </w:r>
      <w:r>
        <w:t xml:space="preserve">“</w:t>
      </w:r>
      <w:r>
        <w:t xml:space="preserve">17.2M ₫</w:t>
      </w:r>
      <w:r>
        <w:t xml:space="preserve">”</w:t>
      </w:r>
      <w:r>
        <w:t xml:space="preserve">) and full numbers elsewhere.</w:t>
      </w:r>
    </w:p>
    <w:p>
      <w:pPr>
        <w:pStyle w:val="Heading2"/>
      </w:pPr>
      <w:bookmarkStart w:id="42" w:name="_Toc300000038"/>
      <w:r>
        <w:t xml:space="preserve">Card</w:t>
      </w:r>
      <w:bookmarkEnd w:id="42"/>
    </w:p>
    <w:p>
      <w:pPr>
        <w:pStyle w:val="FirstParagraph"/>
      </w:pPr>
      <w:r>
        <w:t xml:space="preserve">Cards are white with a 1 px border and a 12 px radius. A card header holds a Lexend title, an optional one-line subtitle and actions on the right. Tables sit in</w:t>
      </w:r>
      <w:r>
        <w:t xml:space="preserve"> </w:t>
      </w:r>
      <w:r>
        <w:t xml:space="preserve">“</w:t>
      </w:r>
      <w:r>
        <w:t xml:space="preserve">flush</w:t>
      </w:r>
      <w:r>
        <w:t xml:space="preserve">”</w:t>
      </w:r>
      <w:r>
        <w:t xml:space="preserve"> </w:t>
      </w:r>
      <w:r>
        <w:t xml:space="preserve">cards without inner padding. Cards never contain explanatory paragraphs; help goes into field help, a tooltip, an empty state or the Help panel.</w:t>
      </w:r>
    </w:p>
    <w:p>
      <w:pPr>
        <w:pStyle w:val="Heading2"/>
      </w:pPr>
      <w:bookmarkStart w:id="43" w:name="_Toc300000039"/>
      <w:r>
        <w:t xml:space="preserve">Data table</w:t>
      </w:r>
      <w:bookmarkEnd w:id="43"/>
    </w:p>
    <w:p>
      <w:pPr>
        <w:pStyle w:val="FirstParagraph"/>
      </w:pPr>
      <w:r>
        <w:t xml:space="preserve">Lists are tables inside a card, with a toolbar above and pagination below.</w:t>
      </w:r>
    </w:p>
    <w:p>
      <w:pPr>
        <w:pStyle w:val="Compact"/>
        <w:numPr>
          <w:ilvl w:val="0"/>
          <w:numId w:val="1005"/>
        </w:numPr>
      </w:pPr>
      <w:r>
        <w:t xml:space="preserve">The header row is sticky, in 12 px grey text; sortable columns show an arrow and announce the sort order.</w:t>
      </w:r>
    </w:p>
    <w:p>
      <w:pPr>
        <w:pStyle w:val="Compact"/>
        <w:numPr>
          <w:ilvl w:val="0"/>
          <w:numId w:val="1005"/>
        </w:numPr>
      </w:pPr>
      <w:r>
        <w:t xml:space="preserve">Rows highlight on hover and open the record on click or Enter. There are no zebra stripes.</w:t>
      </w:r>
    </w:p>
    <w:p>
      <w:pPr>
        <w:pStyle w:val="Compact"/>
        <w:numPr>
          <w:ilvl w:val="0"/>
          <w:numId w:val="1005"/>
        </w:numPr>
      </w:pPr>
      <w:r>
        <w:t xml:space="preserve">Numbers and amounts are right-aligned with tabular figures. Plates appear as plate tags.</w:t>
      </w:r>
    </w:p>
    <w:p>
      <w:pPr>
        <w:pStyle w:val="Compact"/>
        <w:numPr>
          <w:ilvl w:val="0"/>
          <w:numId w:val="1005"/>
        </w:numPr>
      </w:pPr>
      <w:r>
        <w:t xml:space="preserve">Long text is clipped to two lines; the full text opens in the detail drawer.</w:t>
      </w:r>
    </w:p>
    <w:p>
      <w:pPr>
        <w:pStyle w:val="Compact"/>
        <w:numPr>
          <w:ilvl w:val="0"/>
          <w:numId w:val="1005"/>
        </w:numPr>
      </w:pPr>
      <w:r>
        <w:t xml:space="preserve">The toolbar holds search (filters as you type), filter chips or selects, and</w:t>
      </w:r>
      <w:r>
        <w:t xml:space="preserve"> </w:t>
      </w:r>
      <w:r>
        <w:t xml:space="preserve">“</w:t>
      </w:r>
      <w:r>
        <w:t xml:space="preserve">Export CSV</w:t>
      </w:r>
      <w:r>
        <w:t xml:space="preserve">”</w:t>
      </w:r>
      <w:r>
        <w:t xml:space="preserve"> </w:t>
      </w:r>
      <w:r>
        <w:t xml:space="preserve">where users need the data in a spreadsheet. Exports use business labels and open correctly in Excel.</w:t>
      </w:r>
    </w:p>
    <w:p>
      <w:pPr>
        <w:pStyle w:val="Compact"/>
        <w:numPr>
          <w:ilvl w:val="0"/>
          <w:numId w:val="1005"/>
        </w:numPr>
      </w:pPr>
      <w:r>
        <w:t xml:space="preserve">The footer shows</w:t>
      </w:r>
      <w:r>
        <w:t xml:space="preserve"> </w:t>
      </w:r>
      <w:r>
        <w:t xml:space="preserve">“</w:t>
      </w:r>
      <w:r>
        <w:t xml:space="preserve">Rows per page</w:t>
      </w:r>
      <w:r>
        <w:t xml:space="preserve">”</w:t>
      </w:r>
      <w:r>
        <w:t xml:space="preserve">, the range (</w:t>
      </w:r>
      <w:r>
        <w:t xml:space="preserve">“</w:t>
      </w:r>
      <w:r>
        <w:t xml:space="preserve">1–25 of 2,223</w:t>
      </w:r>
      <w:r>
        <w:t xml:space="preserve">”</w:t>
      </w:r>
      <w:r>
        <w:t xml:space="preserve">) and previous and next buttons.</w:t>
      </w:r>
    </w:p>
    <w:p>
      <w:pPr>
        <w:pStyle w:val="Compact"/>
        <w:numPr>
          <w:ilvl w:val="0"/>
          <w:numId w:val="1005"/>
        </w:numPr>
      </w:pPr>
      <w:r>
        <w:t xml:space="preserve">While loading, skeleton rows keep the layout still; with no rows, the table shows an empty state.</w:t>
      </w:r>
    </w:p>
    <w:p>
      <w:pPr>
        <w:pStyle w:val="Compact"/>
        <w:numPr>
          <w:ilvl w:val="0"/>
          <w:numId w:val="1005"/>
        </w:numPr>
      </w:pPr>
      <w:r>
        <w:t xml:space="preserve">Bulk actions appear in a bar above the table once rows are selected.</w:t>
      </w:r>
    </w:p>
    <w:p>
      <w:pPr>
        <w:pStyle w:val="Heading2"/>
      </w:pPr>
      <w:bookmarkStart w:id="44" w:name="_Toc300000040"/>
      <w:r>
        <w:t xml:space="preserve">Row actions</w:t>
      </w:r>
      <w:bookmarkEnd w:id="44"/>
    </w:p>
    <w:p>
      <w:pPr>
        <w:pStyle w:val="FirstParagraph"/>
      </w:pPr>
      <w:r>
        <w:t xml:space="preserve">Workflow tables end with a</w:t>
      </w:r>
      <w:r>
        <w:t xml:space="preserve"> </w:t>
      </w:r>
      <w:r>
        <w:t xml:space="preserve">“</w:t>
      </w:r>
      <w:r>
        <w:t xml:space="preserve">Next step</w:t>
      </w:r>
      <w:r>
        <w:t xml:space="preserve">”</w:t>
      </w:r>
      <w:r>
        <w:t xml:space="preserve"> </w:t>
      </w:r>
      <w:r>
        <w:t xml:space="preserve">column built by one component: one secondary button of fixed width with a verb label, then the ⋯ menu for other and negative actions. Closed records show a muted</w:t>
      </w:r>
      <w:r>
        <w:t xml:space="preserve"> </w:t>
      </w:r>
      <w:r>
        <w:t xml:space="preserve">“</w:t>
      </w:r>
      <w:r>
        <w:t xml:space="preserve">View</w:t>
      </w:r>
      <w:r>
        <w:t xml:space="preserve">”</w:t>
      </w:r>
      <w:r>
        <w:t xml:space="preserve">. The full pattern, with labels for each workflow, is in TGP-UX-02.</w:t>
      </w:r>
    </w:p>
    <w:p>
      <w:pPr>
        <w:pStyle w:val="Heading2"/>
      </w:pPr>
      <w:bookmarkStart w:id="45" w:name="_Toc300000041"/>
      <w:r>
        <w:t xml:space="preserve">Drawer</w:t>
      </w:r>
      <w:bookmarkEnd w:id="45"/>
    </w:p>
    <w:p>
      <w:pPr>
        <w:pStyle w:val="FirstParagraph"/>
      </w:pPr>
      <w:r>
        <w:t xml:space="preserve">The drawer slides in from the right over a dimmed page, in three widths (400, 480 and 720 px). It is used for record details and for forms that should not lose the list behind them, such as resolving a data issue or reviewing a rule change. Focus moves into the drawer, stays there until it closes, and returns to the row or button that opened it. Esc, the close icon and a click on the backdrop close it. Action buttons sit in a footer bar.</w:t>
      </w:r>
    </w:p>
    <w:p xmlns:a="http://schemas.openxmlformats.org/drawingml/2006/main" xmlns:pic="http://schemas.openxmlformats.org/drawingml/2006/picture">
      <w:pPr>
        <w:pStyle w:val="Figure"/>
      </w:pPr>
      <w:r>
        <w:drawing>
          <wp:inline>
            <wp:extent cx="5727700" cy="3579812"/>
            <wp:effectExtent b="0" l="0" r="0" t="0"/>
            <wp:docPr descr="Drawer: resolving a data-quality issue with guided options" title="" id="5004" name="Picture"/>
            <a:graphic>
              <a:graphicData uri="http://schemas.openxmlformats.org/drawingml/2006/picture">
                <pic:pic>
                  <pic:nvPicPr>
                    <pic:cNvPr descr="/tmp/claude-0/-home-user-TASCO/19e5534d-12b5-5956-9b60-3e77efde0f49/scratchpad/final/shots/console-steward-dq-resolve.png" id="65" name="Picture"/>
                    <pic:cNvPicPr>
                      <a:picLocks noChangeArrowheads="1" noChangeAspect="1"/>
                    </pic:cNvPicPr>
                  </pic:nvPicPr>
                  <pic:blipFill>
                    <a:blip r:embed="rIdG3"/>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3 – Drawer: resolving a data-quality issue with guided options</w:t>
      </w:r>
    </w:p>
    <w:p>
      <w:pPr>
        <w:pStyle w:val="Heading2"/>
      </w:pPr>
      <w:bookmarkStart w:id="46" w:name="_Toc300000042"/>
      <w:r>
        <w:t xml:space="preserve">Modal and decision dialog</w:t>
      </w:r>
      <w:bookmarkEnd w:id="46"/>
    </w:p>
    <w:p>
      <w:pPr>
        <w:pStyle w:val="FirstParagraph"/>
      </w:pPr>
      <w:r>
        <w:t xml:space="preserve">Modals are native dialogs, centred, in three widths. They are used for short tasks: change password, issue an API key, confirm a job run.</w:t>
      </w:r>
    </w:p>
    <w:p>
      <w:pPr>
        <w:pStyle w:val="BodyText"/>
      </w:pPr>
      <w:r>
        <w:t xml:space="preserve">The decision dialog is a two-step modal for workflow decisions such as approving or rejecting a claim, rejecting a rule change or dismissing data issues. Step one asks for the data the decision needs (amount, reason, assessor, note) with inline validation and a</w:t>
      </w:r>
      <w:r>
        <w:t xml:space="preserve"> </w:t>
      </w:r>
      <w:r>
        <w:t xml:space="preserve">“</w:t>
      </w:r>
      <w:r>
        <w:t xml:space="preserve">Review</w:t>
      </w:r>
      <w:r>
        <w:t xml:space="preserve">”</w:t>
      </w:r>
      <w:r>
        <w:t xml:space="preserve"> </w:t>
      </w:r>
      <w:r>
        <w:t xml:space="preserve">button. Step two shows a summary under the banner</w:t>
      </w:r>
      <w:r>
        <w:t xml:space="preserve"> </w:t>
      </w:r>
      <w:r>
        <w:t xml:space="preserve">“</w:t>
      </w:r>
      <w:r>
        <w:t xml:space="preserve">Check the details before you confirm</w:t>
      </w:r>
      <w:r>
        <w:t xml:space="preserve">”</w:t>
      </w:r>
      <w:r>
        <w:t xml:space="preserve"> </w:t>
      </w:r>
      <w:r>
        <w:t xml:space="preserve">and the confirm button, labelled with the decision (</w:t>
      </w:r>
      <w:r>
        <w:t xml:space="preserve">“</w:t>
      </w:r>
      <w:r>
        <w:t xml:space="preserve">Confirm approval</w:t>
      </w:r>
      <w:r>
        <w:t xml:space="preserve">”</w:t>
      </w:r>
      <w:r>
        <w:t xml:space="preserve">).</w:t>
      </w:r>
      <w:r>
        <w:t xml:space="preserve"> </w:t>
      </w:r>
      <w:r>
        <w:t xml:space="preserve">“</w:t>
      </w:r>
      <w:r>
        <w:t xml:space="preserve">Back</w:t>
      </w:r>
      <w:r>
        <w:t xml:space="preserve">”</w:t>
      </w:r>
      <w:r>
        <w:t xml:space="preserve"> </w:t>
      </w:r>
      <w:r>
        <w:t xml:space="preserve">returns to the form. Destructive decisions use the danger solid button. The result is confirmed by a toast and the row updates in place.</w:t>
      </w:r>
    </w:p>
    <w:p xmlns:a="http://schemas.openxmlformats.org/drawingml/2006/main" xmlns:pic="http://schemas.openxmlformats.org/drawingml/2006/picture">
      <w:pPr>
        <w:pStyle w:val="Figure"/>
      </w:pPr>
      <w:r>
        <w:drawing>
          <wp:inline>
            <wp:extent cx="5727700" cy="3579812"/>
            <wp:effectExtent b="0" l="0" r="0" t="0"/>
            <wp:docPr descr="Decision dialog, step one: approving a claim asks for the amount" title="" id="5005" name="Picture"/>
            <a:graphic>
              <a:graphicData uri="http://schemas.openxmlformats.org/drawingml/2006/picture">
                <pic:pic>
                  <pic:nvPicPr>
                    <pic:cNvPr descr="/tmp/claude-0/-home-user-TASCO/19e5534d-12b5-5956-9b60-3e77efde0f49/scratchpad/final/shots/console-claims-claim-approve.png" id="69" name="Picture"/>
                    <pic:cNvPicPr>
                      <a:picLocks noChangeArrowheads="1" noChangeAspect="1"/>
                    </pic:cNvPicPr>
                  </pic:nvPicPr>
                  <pic:blipFill>
                    <a:blip r:embed="rIdG4"/>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4 – Decision dialog, step one: approving a claim asks for the amount</w:t>
      </w:r>
    </w:p>
    <w:p>
      <w:pPr>
        <w:pStyle w:val="Heading2"/>
      </w:pPr>
      <w:bookmarkStart w:id="47" w:name="_Toc300000043"/>
      <w:r>
        <w:t xml:space="preserve">Toast and banner</w:t>
      </w:r>
      <w:bookmarkEnd w:id="47"/>
    </w:p>
    <w:p>
      <w:pPr>
        <w:pStyle w:val="FirstParagraph"/>
      </w:pPr>
      <w:r>
        <w:t xml:space="preserve">Toasts appear at the bottom right, stack upwards and close after six seconds. Success is green, information blue, warning amber and errors red. An error toast shows a plain message and a short reference (</w:t>
      </w:r>
      <w:r>
        <w:t xml:space="preserve">“</w:t>
      </w:r>
      <w:r>
        <w:t xml:space="preserve">Ref. 7F3C2A1B</w:t>
      </w:r>
      <w:r>
        <w:t xml:space="preserve">”</w:t>
      </w:r>
      <w:r>
        <w:t xml:space="preserve">) for the service desk. Toasts confirm actions; they never carry the only copy of information the user needs later.</w:t>
      </w:r>
    </w:p>
    <w:p>
      <w:pPr>
        <w:pStyle w:val="BodyText"/>
      </w:pPr>
      <w:r>
        <w:t xml:space="preserve">Banners sit inside the page or a dialog and stay until dismissed or resolved: information, success, warning and error tones, with an icon, a title, one line of text and optional actions. The audit integrity banner and the indicative-price notice in the customer app are banners.</w:t>
      </w:r>
    </w:p>
    <w:p>
      <w:pPr>
        <w:pStyle w:val="Heading2"/>
      </w:pPr>
      <w:bookmarkStart w:id="48" w:name="_Toc300000044"/>
      <w:r>
        <w:t xml:space="preserve">Empty state and skeleton</w:t>
      </w:r>
      <w:bookmarkEnd w:id="48"/>
    </w:p>
    <w:p>
      <w:pPr>
        <w:pStyle w:val="FirstParagraph"/>
      </w:pPr>
      <w:r>
        <w:t xml:space="preserve">An empty state has an icon in a grey circle, a short title, at most one line of text and, where useful, one action (</w:t>
      </w:r>
      <w:r>
        <w:t xml:space="preserve">“</w:t>
      </w:r>
      <w:r>
        <w:t xml:space="preserve">You’re all caught up</w:t>
      </w:r>
      <w:r>
        <w:t xml:space="preserve">”</w:t>
      </w:r>
      <w:r>
        <w:t xml:space="preserve">,</w:t>
      </w:r>
      <w:r>
        <w:t xml:space="preserve"> </w:t>
      </w:r>
      <w:r>
        <w:t xml:space="preserve">“</w:t>
      </w:r>
      <w:r>
        <w:t xml:space="preserve">No notes yet</w:t>
      </w:r>
      <w:r>
        <w:t xml:space="preserve">”</w:t>
      </w:r>
      <w:r>
        <w:t xml:space="preserve">). A compact version is used inside cards and panels.</w:t>
      </w:r>
    </w:p>
    <w:p>
      <w:pPr>
        <w:pStyle w:val="BodyText"/>
      </w:pPr>
      <w:r>
        <w:t xml:space="preserve">Skeletons are grey blocks in the shape of the content being loaded, with a gentle shimmer that stops under reduced motion. Whole pages show a skeleton while the router loads them, so the layout does not jump.</w:t>
      </w:r>
    </w:p>
    <w:p>
      <w:pPr>
        <w:pStyle w:val="Heading2"/>
      </w:pPr>
      <w:bookmarkStart w:id="49" w:name="_Toc300000045"/>
      <w:r>
        <w:t xml:space="preserve">Stepper and workflow steps</w:t>
      </w:r>
      <w:bookmarkEnd w:id="49"/>
    </w:p>
    <w:p>
      <w:pPr>
        <w:pStyle w:val="FirstParagraph"/>
      </w:pPr>
      <w:r>
        <w:t xml:space="preserve">The horizontal stepper shows a fixed sequence with the current step highlighted, for example</w:t>
      </w:r>
      <w:r>
        <w:t xml:space="preserve"> </w:t>
      </w:r>
      <w:r>
        <w:t xml:space="preserve">“</w:t>
      </w:r>
      <w:r>
        <w:t xml:space="preserve">Draft → Submitted → Approved → Active</w:t>
      </w:r>
      <w:r>
        <w:t xml:space="preserve">”</w:t>
      </w:r>
      <w:r>
        <w:t xml:space="preserve"> </w:t>
      </w:r>
      <w:r>
        <w:t xml:space="preserve">on a rule version. The vertical workflow steps component is used in detail drawers: each step shows a marker (done, current, upcoming or failed), its label, who did it and when, and an optional note. Claims use it for Submitted → Acknowledged → Assessor assigned → Under assessment → Decision → Paid or Closed.</w:t>
      </w:r>
    </w:p>
    <w:p xmlns:a="http://schemas.openxmlformats.org/drawingml/2006/main" xmlns:pic="http://schemas.openxmlformats.org/drawingml/2006/picture">
      <w:pPr>
        <w:pStyle w:val="Figure"/>
      </w:pPr>
      <w:r>
        <w:drawing>
          <wp:inline>
            <wp:extent cx="5727700" cy="3579812"/>
            <wp:effectExtent b="0" l="0" r="0" t="0"/>
            <wp:docPr descr="Workflow steps in the claim drawer, with who did each step and when" title="" id="5006" name="Picture"/>
            <a:graphic>
              <a:graphicData uri="http://schemas.openxmlformats.org/drawingml/2006/picture">
                <pic:pic>
                  <pic:nvPicPr>
                    <pic:cNvPr descr="/tmp/claude-0/-home-user-TASCO/19e5534d-12b5-5956-9b60-3e77efde0f49/scratchpad/final/shots/console-claims-claim-assessment.png" id="75" name="Picture"/>
                    <pic:cNvPicPr>
                      <a:picLocks noChangeArrowheads="1" noChangeAspect="1"/>
                    </pic:cNvPicPr>
                  </pic:nvPicPr>
                  <pic:blipFill>
                    <a:blip r:embed="rIdG5"/>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5 – Workflow steps in the claim drawer, with who did each step and when</w:t>
      </w:r>
    </w:p>
    <w:p>
      <w:pPr>
        <w:pStyle w:val="Heading2"/>
      </w:pPr>
      <w:bookmarkStart w:id="50" w:name="_Toc300000046"/>
      <w:r>
        <w:t xml:space="preserve">Timeline</w:t>
      </w:r>
      <w:bookmarkEnd w:id="50"/>
    </w:p>
    <w:p>
      <w:pPr>
        <w:pStyle w:val="FirstParagraph"/>
      </w:pPr>
      <w:r>
        <w:t xml:space="preserve">The timeline lists events in human sentences, newest first: an icon in a circle, a title such as</w:t>
      </w:r>
      <w:r>
        <w:t xml:space="preserve"> </w:t>
      </w:r>
      <w:r>
        <w:t xml:space="preserve">“</w:t>
      </w:r>
      <w:r>
        <w:t xml:space="preserve">Rule author submitted Lead scoring v3 for approval</w:t>
      </w:r>
      <w:r>
        <w:t xml:space="preserve">”</w:t>
      </w:r>
      <w:r>
        <w:t xml:space="preserve">, a meta line and a relative time (</w:t>
      </w:r>
      <w:r>
        <w:t xml:space="preserve">“</w:t>
      </w:r>
      <w:r>
        <w:t xml:space="preserve">2 hours ago</w:t>
      </w:r>
      <w:r>
        <w:t xml:space="preserve">”</w:t>
      </w:r>
      <w:r>
        <w:t xml:space="preserve">) with the exact time in a tooltip. It is used for the audit trail and Customer 360 activity.</w:t>
      </w:r>
    </w:p>
    <w:p>
      <w:pPr>
        <w:pStyle w:val="Heading2"/>
      </w:pPr>
      <w:bookmarkStart w:id="51" w:name="_Toc300000047"/>
      <w:r>
        <w:t xml:space="preserve">Key-value list</w:t>
      </w:r>
      <w:bookmarkEnd w:id="51"/>
    </w:p>
    <w:p>
      <w:pPr>
        <w:pStyle w:val="FirstParagraph"/>
      </w:pPr>
      <w:r>
        <w:t xml:space="preserve">A key-value list is a definition list in one, two or three columns, with the label above the value in muted text. It is used for record facts in drawers and cards. An optional info icon explains a label in one line.</w:t>
      </w:r>
    </w:p>
    <w:p>
      <w:pPr>
        <w:pStyle w:val="Heading2"/>
      </w:pPr>
      <w:bookmarkStart w:id="52" w:name="_Toc300000048"/>
      <w:r>
        <w:t xml:space="preserve">Score ring and meters</w:t>
      </w:r>
      <w:bookmarkEnd w:id="52"/>
    </w:p>
    <w:p>
      <w:pPr>
        <w:pStyle w:val="FirstParagraph"/>
      </w:pPr>
      <w:r>
        <w:t xml:space="preserve">The score ring shows a 0 to 100 score as a circular gauge with the number in the middle: red for Hot, amber for Warm, action teal otherwise. It has an accessible label such as</w:t>
      </w:r>
      <w:r>
        <w:t xml:space="preserve"> </w:t>
      </w:r>
      <w:r>
        <w:t xml:space="preserve">“</w:t>
      </w:r>
      <w:r>
        <w:t xml:space="preserve">Score 79</w:t>
      </w:r>
      <w:r>
        <w:t xml:space="preserve">”</w:t>
      </w:r>
      <w:r>
        <w:t xml:space="preserve">. Tables use a compact score bar. A confidence meter shows data confidence as five segments with the words High (80 % or more), Medium (50 % or more) or Low.</w:t>
      </w:r>
    </w:p>
    <w:p xmlns:a="http://schemas.openxmlformats.org/drawingml/2006/main" xmlns:pic="http://schemas.openxmlformats.org/drawingml/2006/picture">
      <w:pPr>
        <w:pStyle w:val="Figure"/>
      </w:pPr>
      <w:r>
        <w:drawing>
          <wp:inline>
            <wp:extent cx="5727700" cy="3579812"/>
            <wp:effectExtent b="0" l="0" r="0" t="0"/>
            <wp:docPr descr="Customer 360 header: plate, policy expiry, score ring, consent icons and tabs" title="" id="5007" name="Picture"/>
            <a:graphic>
              <a:graphicData uri="http://schemas.openxmlformats.org/drawingml/2006/picture">
                <pic:pic>
                  <pic:nvPicPr>
                    <pic:cNvPr descr="/tmp/claude-0/-home-user-TASCO/19e5534d-12b5-5956-9b60-3e77efde0f49/scratchpad/final/shots/console-supervisor-customer-overview.png" id="81" name="Picture"/>
                    <pic:cNvPicPr>
                      <a:picLocks noChangeArrowheads="1" noChangeAspect="1"/>
                    </pic:cNvPicPr>
                  </pic:nvPicPr>
                  <pic:blipFill>
                    <a:blip r:embed="rIdG6"/>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6 – Customer 360 header: plate, policy expiry, score ring, consent icons and tabs</w:t>
      </w:r>
    </w:p>
    <w:p>
      <w:pPr>
        <w:pStyle w:val="Heading2"/>
      </w:pPr>
      <w:bookmarkStart w:id="53" w:name="_Toc300000049"/>
      <w:r>
        <w:t xml:space="preserve">Charts</w:t>
      </w:r>
      <w:bookmarkEnd w:id="53"/>
    </w:p>
    <w:p>
      <w:pPr>
        <w:pStyle w:val="FirstParagraph"/>
      </w:pPr>
      <w:r>
        <w:t xml:space="preserve">Charts are drawn as SVG by three components: bar, line and donut, plus a sparkline for KPI tiles.</w:t>
      </w:r>
    </w:p>
    <w:p>
      <w:pPr>
        <w:pStyle w:val="Compact"/>
        <w:numPr>
          <w:ilvl w:val="0"/>
          <w:numId w:val="1006"/>
        </w:numPr>
      </w:pPr>
      <w:r>
        <w:t xml:space="preserve">Each chart has a title and a short description for screen readers, and a</w:t>
      </w:r>
      <w:r>
        <w:t xml:space="preserve"> </w:t>
      </w:r>
      <w:r>
        <w:t xml:space="preserve">“</w:t>
      </w:r>
      <w:r>
        <w:t xml:space="preserve">Show as table</w:t>
      </w:r>
      <w:r>
        <w:t xml:space="preserve">”</w:t>
      </w:r>
      <w:r>
        <w:t xml:space="preserve"> </w:t>
      </w:r>
      <w:r>
        <w:t xml:space="preserve">link that reveals the data as a table.</w:t>
      </w:r>
    </w:p>
    <w:p>
      <w:pPr>
        <w:pStyle w:val="Compact"/>
        <w:numPr>
          <w:ilvl w:val="0"/>
          <w:numId w:val="1006"/>
        </w:numPr>
      </w:pPr>
      <w:r>
        <w:t xml:space="preserve">Donut legends list each slice with its value and share (</w:t>
      </w:r>
      <w:r>
        <w:t xml:space="preserve">“</w:t>
      </w:r>
      <w:r>
        <w:t xml:space="preserve">Conquest (other insurer) 1,756 · 85%</w:t>
      </w:r>
      <w:r>
        <w:t xml:space="preserve">”</w:t>
      </w:r>
      <w:r>
        <w:t xml:space="preserve">); line charts name each series under the plot.</w:t>
      </w:r>
    </w:p>
    <w:p>
      <w:pPr>
        <w:pStyle w:val="Compact"/>
        <w:numPr>
          <w:ilvl w:val="0"/>
          <w:numId w:val="1006"/>
        </w:numPr>
      </w:pPr>
      <w:r>
        <w:t xml:space="preserve">Donuts group anything beyond six slices as</w:t>
      </w:r>
      <w:r>
        <w:t xml:space="preserve"> </w:t>
      </w:r>
      <w:r>
        <w:t xml:space="preserve">“</w:t>
      </w:r>
      <w:r>
        <w:t xml:space="preserve">Other</w:t>
      </w:r>
      <w:r>
        <w:t xml:space="preserve">”</w:t>
      </w:r>
      <w:r>
        <w:t xml:space="preserve">. A total sits in the centre.</w:t>
      </w:r>
    </w:p>
    <w:p>
      <w:pPr>
        <w:pStyle w:val="Compact"/>
        <w:numPr>
          <w:ilvl w:val="0"/>
          <w:numId w:val="1006"/>
        </w:numPr>
      </w:pPr>
      <w:r>
        <w:t xml:space="preserve">Charts redraw when their container resizes, so text never scales with the drawing.</w:t>
      </w:r>
    </w:p>
    <w:p>
      <w:pPr>
        <w:pStyle w:val="Compact"/>
        <w:numPr>
          <w:ilvl w:val="0"/>
          <w:numId w:val="1006"/>
        </w:numPr>
      </w:pPr>
      <w:r>
        <w:t xml:space="preserve">Chart bars are not keyboard targets. If a bar is ever made clickable, the same list must also be reachable from the page’s own filters.</w:t>
      </w:r>
    </w:p>
    <w:p xmlns:a="http://schemas.openxmlformats.org/drawingml/2006/main" xmlns:pic="http://schemas.openxmlformats.org/drawingml/2006/picture">
      <w:pPr>
        <w:pStyle w:val="Figure"/>
      </w:pPr>
      <w:r>
        <w:drawing>
          <wp:inline>
            <wp:extent cx="5727700" cy="4979519"/>
            <wp:effectExtent b="0" l="0" r="0" t="0"/>
            <wp:docPr descr="Executive dashboard: KPI tiles, line and donut charts, meters" title="" id="5008" name="Picture"/>
            <a:graphic>
              <a:graphicData uri="http://schemas.openxmlformats.org/drawingml/2006/picture">
                <pic:pic>
                  <pic:nvPicPr>
                    <pic:cNvPr descr="/tmp/claude-0/-home-user-TASCO/19e5534d-12b5-5956-9b60-3e77efde0f49/scratchpad/final/shots/console-exec-dashboard.png" id="85" name="Picture"/>
                    <pic:cNvPicPr>
                      <a:picLocks noChangeArrowheads="1" noChangeAspect="1"/>
                    </pic:cNvPicPr>
                  </pic:nvPicPr>
                  <pic:blipFill>
                    <a:blip r:embed="rIdG7"/>
                    <a:stretch>
                      <a:fillRect/>
                    </a:stretch>
                  </pic:blipFill>
                  <pic:spPr bwMode="auto">
                    <a:xfrm>
                      <a:off x="0" y="0"/>
                      <a:ext cx="5727700" cy="4979519"/>
                    </a:xfrm>
                    <a:prstGeom prst="rect">
                      <a:avLst/>
                    </a:prstGeom>
                    <a:noFill/>
                    <a:ln w="9525">
                      <a:noFill/>
                      <a:headEnd/>
                      <a:tailEnd/>
                    </a:ln>
                  </pic:spPr>
                </pic:pic>
              </a:graphicData>
            </a:graphic>
          </wp:inline>
        </w:drawing>
      </w:r>
    </w:p>
    <w:p>
      <w:pPr>
        <w:pStyle w:val="Caption"/>
      </w:pPr>
      <w:r>
        <w:t xml:space="preserve">Figure 7 – Executive dashboard: KPI tiles, line and donut charts, meters</w:t>
      </w:r>
    </w:p>
    <w:p>
      <w:pPr>
        <w:pStyle w:val="Heading2"/>
      </w:pPr>
      <w:bookmarkStart w:id="54" w:name="_Toc300000050"/>
      <w:r>
        <w:t xml:space="preserve">Tabs, menus and tooltips</w:t>
      </w:r>
      <w:bookmarkEnd w:id="54"/>
    </w:p>
    <w:p>
      <w:pPr>
        <w:pStyle w:val="FirstParagraph"/>
      </w:pPr>
      <w:r>
        <w:t xml:space="preserve">Tabs follow the ARIA tabs pattern with arrow-key movement and optional counts (</w:t>
      </w:r>
      <w:r>
        <w:t xml:space="preserve">“</w:t>
      </w:r>
      <w:r>
        <w:t xml:space="preserve">Contact history 1</w:t>
      </w:r>
      <w:r>
        <w:t xml:space="preserve">”</w:t>
      </w:r>
      <w:r>
        <w:t xml:space="preserve">). Menus open from a button, move with the arrow keys and close with Esc; items can carry an icon, a short description, a radio tick or a red danger style. Tooltips appear on hover and on keyboard focus, hold one short line and never hold information that exists nowhere else.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5" w:name="_Toc300000051"/>
      <w:r>
        <w:rPr>
          <w:rStyle w:val="BookTitle"/>
          <w:bCs w:val="0"/>
          <w:i w:val="0"/>
          <w:iCs w:val="0"/>
          <w:spacing w:val="0"/>
        </w:rPr>
        <w:t xml:space="preserve">Customer app components</w:t>
      </w:r>
      <w:bookmarkEnd w:id="55"/>
    </w:p>
    <w:p>
      <w:pPr>
        <w:pStyle w:val="FirstParagraph"/>
      </w:pPr>
      <w:r>
        <w:t xml:space="preserve">The customer app is built for phones from 360 to 430 px wide. Its components use the prefix</w:t>
      </w:r>
      <w:r>
        <w:t xml:space="preserve"> </w:t>
      </w:r>
      <w:r>
        <w:rPr>
          <w:rStyle w:val="CodeChar"/>
        </w:rPr>
        <w:t xml:space="preserve">c-</w:t>
      </w:r>
      <w:r>
        <w:t xml:space="preserve"> </w:t>
      </w:r>
      <w:r>
        <w:t xml:space="preserve">in</w:t>
      </w:r>
      <w:r>
        <w:t xml:space="preserve"> </w:t>
      </w:r>
      <w:r>
        <w:rPr>
          <w:rStyle w:val="CodeChar"/>
        </w:rPr>
        <w:t xml:space="preserve">public/css/customer.css</w:t>
      </w:r>
      <w:r>
        <w:t xml:space="preserve"> </w:t>
      </w:r>
      <w:r>
        <w:t xml:space="preserve">so that they can evolve without touching the console.</w:t>
      </w:r>
    </w:p>
    <w:p>
      <w:pPr>
        <w:pStyle w:val="Heading2"/>
      </w:pPr>
      <w:bookmarkStart w:id="56" w:name="_Toc300000052"/>
      <w:r>
        <w:t xml:space="preserve">Anatomy of the home screen</w:t>
      </w:r>
      <w:bookmarkEnd w:id="56"/>
    </w:p>
    <w:p xmlns:a="http://schemas.openxmlformats.org/drawingml/2006/main" xmlns:pic="http://schemas.openxmlformats.org/drawingml/2006/picture">
      <w:pPr>
        <w:pStyle w:val="Figure"/>
      </w:pPr>
      <w:r>
        <w:drawing>
          <wp:inline>
            <wp:extent cx="2879999" cy="6231599"/>
            <wp:effectExtent b="0" l="0" r="0" t="0"/>
            <wp:docPr descr="Anatomy of the customer app home screen" title="" id="5009" name="Picture"/>
            <a:graphic>
              <a:graphicData uri="http://schemas.openxmlformats.org/drawingml/2006/picture">
                <pic:pic>
                  <pic:nvPicPr>
                    <pic:cNvPr descr="/tmp/claude-0/-home-user-TASCO/19e5534d-12b5-5956-9b60-3e77efde0f49/scratchpad/docsrc/docs/ux/img/anatomy-customer-home.png" id="91" name="Picture"/>
                    <pic:cNvPicPr>
                      <a:picLocks noChangeArrowheads="1" noChangeAspect="1"/>
                    </pic:cNvPicPr>
                  </pic:nvPicPr>
                  <pic:blipFill>
                    <a:blip r:embed="rIdG8"/>
                    <a:stretch>
                      <a:fillRect/>
                    </a:stretch>
                  </pic:blipFill>
                  <pic:spPr bwMode="auto">
                    <a:xfrm>
                      <a:off x="0" y="0"/>
                      <a:ext cx="2879999" cy="6231599"/>
                    </a:xfrm>
                    <a:prstGeom prst="rect">
                      <a:avLst/>
                    </a:prstGeom>
                    <a:noFill/>
                    <a:ln w="9525">
                      <a:noFill/>
                      <a:headEnd/>
                      <a:tailEnd/>
                    </a:ln>
                  </pic:spPr>
                </pic:pic>
              </a:graphicData>
            </a:graphic>
          </wp:inline>
        </w:drawing>
      </w:r>
    </w:p>
    <w:p>
      <w:pPr>
        <w:pStyle w:val="Caption"/>
      </w:pPr>
      <w:r>
        <w:t xml:space="preserve">Figure 8 – Anatomy of the customer app home screen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2031"/>
        <w:gridCol w:w="6390"/>
      </w:tblGrid>
      <w:tr>
        <w:trPr>
          <w:cantSplit/>
          <w:tblHeader/>
        </w:trPr>
        <w:tc>
          <w:tcPr>
            <w:tcW w:w="606" w:type="dxa"/>
            <w:shd w:val="clear" w:color="auto" w:fill="0F4761"/>
            <w:vAlign w:val="center"/>
          </w:tcPr>
          <w:p>
            <w:pPr>
              <w:pStyle w:val="TableHeading"/>
              <w:jc w:val="left"/>
            </w:pPr>
            <w:r>
              <w:rPr>
                <w:color w:val="FFFFFF"/>
              </w:rPr>
              <w:t xml:space="preserve">No.</w:t>
            </w:r>
          </w:p>
        </w:tc>
        <w:tc>
          <w:tcPr>
            <w:tcW w:w="2031" w:type="dxa"/>
            <w:shd w:val="clear" w:color="auto" w:fill="0F4761"/>
            <w:vAlign w:val="center"/>
          </w:tcPr>
          <w:p>
            <w:pPr>
              <w:pStyle w:val="TableHeading"/>
              <w:jc w:val="left"/>
            </w:pPr>
            <w:r>
              <w:rPr>
                <w:color w:val="FFFFFF"/>
              </w:rPr>
              <w:t xml:space="preserve">Element</w:t>
            </w:r>
          </w:p>
        </w:tc>
        <w:tc>
          <w:tcPr>
            <w:tcW w:w="6390" w:type="dxa"/>
            <w:shd w:val="clear" w:color="auto" w:fill="0F4761"/>
            <w:vAlign w:val="center"/>
          </w:tcPr>
          <w:p>
            <w:pPr>
              <w:pStyle w:val="TableHeading"/>
              <w:jc w:val="left"/>
            </w:pPr>
            <w:r>
              <w:rPr>
                <w:color w:val="FFFFFF"/>
              </w:rPr>
              <w:t xml:space="preserve">Rule</w:t>
            </w:r>
          </w:p>
        </w:tc>
      </w:tr>
      <w:tr>
        <w:trPr>
          <w:cantSplit/>
        </w:trPr>
        <w:tc>
          <w:tcPr>
            <w:tcW w:w="606" w:type="dxa"/>
            <w:vAlign w:val="top"/>
          </w:tcPr>
          <w:p>
            <w:pPr>
              <w:pStyle w:val="TableText"/>
              <w:jc w:val="left"/>
            </w:pPr>
            <w:r>
              <w:t xml:space="preserve">1</w:t>
            </w:r>
          </w:p>
        </w:tc>
        <w:tc>
          <w:tcPr>
            <w:tcW w:w="2031" w:type="dxa"/>
            <w:vAlign w:val="top"/>
          </w:tcPr>
          <w:p>
            <w:pPr>
              <w:pStyle w:val="TableText"/>
              <w:jc w:val="left"/>
            </w:pPr>
            <w:r>
              <w:t xml:space="preserve">App bar</w:t>
            </w:r>
          </w:p>
        </w:tc>
        <w:tc>
          <w:tcPr>
            <w:tcW w:w="6390" w:type="dxa"/>
            <w:vAlign w:val="top"/>
          </w:tcPr>
          <w:p>
            <w:pPr>
              <w:pStyle w:val="TableText"/>
              <w:jc w:val="left"/>
            </w:pPr>
            <w:r>
              <w:t xml:space="preserve">White, wordmark on the left;</w:t>
            </w:r>
            <w:r>
              <w:t xml:space="preserve"> </w:t>
            </w:r>
            <w:r>
              <w:t xml:space="preserve">“</w:t>
            </w:r>
            <w:r>
              <w:t xml:space="preserve">× VETC</w:t>
            </w:r>
            <w:r>
              <w:t xml:space="preserve">”</w:t>
            </w:r>
            <w:r>
              <w:t xml:space="preserve"> </w:t>
            </w:r>
            <w:r>
              <w:t xml:space="preserve">inside the VETC hosts</w:t>
            </w:r>
          </w:p>
        </w:tc>
      </w:tr>
      <w:tr>
        <w:trPr>
          <w:cantSplit/>
        </w:trPr>
        <w:tc>
          <w:tcPr>
            <w:tcW w:w="606" w:type="dxa"/>
            <w:shd w:val="clear" w:color="auto" w:fill="F4F7FB"/>
            <w:vAlign w:val="top"/>
          </w:tcPr>
          <w:p>
            <w:pPr>
              <w:pStyle w:val="TableText"/>
              <w:jc w:val="left"/>
            </w:pPr>
            <w:r>
              <w:t xml:space="preserve">2</w:t>
            </w:r>
          </w:p>
        </w:tc>
        <w:tc>
          <w:tcPr>
            <w:tcW w:w="2031" w:type="dxa"/>
            <w:shd w:val="clear" w:color="auto" w:fill="F4F7FB"/>
            <w:vAlign w:val="top"/>
          </w:tcPr>
          <w:p>
            <w:pPr>
              <w:pStyle w:val="TableText"/>
              <w:jc w:val="left"/>
            </w:pPr>
            <w:r>
              <w:t xml:space="preserve">Hero band</w:t>
            </w:r>
          </w:p>
        </w:tc>
        <w:tc>
          <w:tcPr>
            <w:tcW w:w="6390" w:type="dxa"/>
            <w:shd w:val="clear" w:color="auto" w:fill="F4F7FB"/>
            <w:vAlign w:val="top"/>
          </w:tcPr>
          <w:p>
            <w:pPr>
              <w:pStyle w:val="TableText"/>
              <w:jc w:val="left"/>
            </w:pPr>
            <w:r>
              <w:t xml:space="preserve">Brand teal with the navy diagonal parallelogram; greeting in navy</w:t>
            </w:r>
          </w:p>
        </w:tc>
      </w:tr>
      <w:tr>
        <w:trPr>
          <w:cantSplit/>
        </w:trPr>
        <w:tc>
          <w:tcPr>
            <w:tcW w:w="606" w:type="dxa"/>
            <w:vAlign w:val="top"/>
          </w:tcPr>
          <w:p>
            <w:pPr>
              <w:pStyle w:val="TableText"/>
              <w:jc w:val="left"/>
            </w:pPr>
            <w:r>
              <w:t xml:space="preserve">3</w:t>
            </w:r>
          </w:p>
        </w:tc>
        <w:tc>
          <w:tcPr>
            <w:tcW w:w="2031" w:type="dxa"/>
            <w:vAlign w:val="top"/>
          </w:tcPr>
          <w:p>
            <w:pPr>
              <w:pStyle w:val="TableText"/>
              <w:jc w:val="left"/>
            </w:pPr>
            <w:r>
              <w:t xml:space="preserve">Plate tag</w:t>
            </w:r>
          </w:p>
        </w:tc>
        <w:tc>
          <w:tcPr>
            <w:tcW w:w="6390" w:type="dxa"/>
            <w:vAlign w:val="top"/>
          </w:tcPr>
          <w:p>
            <w:pPr>
              <w:pStyle w:val="TableText"/>
              <w:jc w:val="left"/>
            </w:pPr>
            <w:r>
              <w:t xml:space="preserve">Bordered like a number plate, formatted 30E-949.35</w:t>
            </w:r>
          </w:p>
        </w:tc>
      </w:tr>
      <w:tr>
        <w:trPr>
          <w:cantSplit/>
        </w:trPr>
        <w:tc>
          <w:tcPr>
            <w:tcW w:w="606" w:type="dxa"/>
            <w:shd w:val="clear" w:color="auto" w:fill="F4F7FB"/>
            <w:vAlign w:val="top"/>
          </w:tcPr>
          <w:p>
            <w:pPr>
              <w:pStyle w:val="TableText"/>
              <w:jc w:val="left"/>
            </w:pPr>
            <w:r>
              <w:t xml:space="preserve">4</w:t>
            </w:r>
          </w:p>
        </w:tc>
        <w:tc>
          <w:tcPr>
            <w:tcW w:w="2031" w:type="dxa"/>
            <w:shd w:val="clear" w:color="auto" w:fill="F4F7FB"/>
            <w:vAlign w:val="top"/>
          </w:tcPr>
          <w:p>
            <w:pPr>
              <w:pStyle w:val="TableText"/>
              <w:jc w:val="left"/>
            </w:pPr>
            <w:r>
              <w:t xml:space="preserve">Day ring</w:t>
            </w:r>
          </w:p>
        </w:tc>
        <w:tc>
          <w:tcPr>
            <w:tcW w:w="6390" w:type="dxa"/>
            <w:shd w:val="clear" w:color="auto" w:fill="F4F7FB"/>
            <w:vAlign w:val="top"/>
          </w:tcPr>
          <w:p>
            <w:pPr>
              <w:pStyle w:val="TableText"/>
              <w:jc w:val="left"/>
            </w:pPr>
            <w:r>
              <w:t xml:space="preserve">Days of cover left; amber when 45 days or fewer, red with a warning icon when lapsed</w:t>
            </w:r>
          </w:p>
        </w:tc>
      </w:tr>
      <w:tr>
        <w:trPr>
          <w:cantSplit/>
        </w:trPr>
        <w:tc>
          <w:tcPr>
            <w:tcW w:w="606" w:type="dxa"/>
            <w:vAlign w:val="top"/>
          </w:tcPr>
          <w:p>
            <w:pPr>
              <w:pStyle w:val="TableText"/>
              <w:jc w:val="left"/>
            </w:pPr>
            <w:r>
              <w:t xml:space="preserve">5</w:t>
            </w:r>
          </w:p>
        </w:tc>
        <w:tc>
          <w:tcPr>
            <w:tcW w:w="2031" w:type="dxa"/>
            <w:vAlign w:val="top"/>
          </w:tcPr>
          <w:p>
            <w:pPr>
              <w:pStyle w:val="TableText"/>
              <w:jc w:val="left"/>
            </w:pPr>
            <w:r>
              <w:t xml:space="preserve">Cover status</w:t>
            </w:r>
          </w:p>
        </w:tc>
        <w:tc>
          <w:tcPr>
            <w:tcW w:w="6390" w:type="dxa"/>
            <w:vAlign w:val="top"/>
          </w:tcPr>
          <w:p>
            <w:pPr>
              <w:pStyle w:val="TableText"/>
              <w:jc w:val="left"/>
            </w:pPr>
            <w:r>
              <w:t xml:space="preserve">Status chip, insurer, expiry line and one hint</w:t>
            </w:r>
          </w:p>
        </w:tc>
      </w:tr>
      <w:tr>
        <w:trPr>
          <w:cantSplit/>
        </w:trPr>
        <w:tc>
          <w:tcPr>
            <w:tcW w:w="606" w:type="dxa"/>
            <w:shd w:val="clear" w:color="auto" w:fill="F4F7FB"/>
            <w:vAlign w:val="top"/>
          </w:tcPr>
          <w:p>
            <w:pPr>
              <w:pStyle w:val="TableText"/>
              <w:jc w:val="left"/>
            </w:pPr>
            <w:r>
              <w:t xml:space="preserve">6</w:t>
            </w:r>
          </w:p>
        </w:tc>
        <w:tc>
          <w:tcPr>
            <w:tcW w:w="2031" w:type="dxa"/>
            <w:shd w:val="clear" w:color="auto" w:fill="F4F7FB"/>
            <w:vAlign w:val="top"/>
          </w:tcPr>
          <w:p>
            <w:pPr>
              <w:pStyle w:val="TableText"/>
              <w:jc w:val="left"/>
            </w:pPr>
            <w:r>
              <w:t xml:space="preserve">Quote card</w:t>
            </w:r>
          </w:p>
        </w:tc>
        <w:tc>
          <w:tcPr>
            <w:tcW w:w="6390" w:type="dxa"/>
            <w:shd w:val="clear" w:color="auto" w:fill="F4F7FB"/>
            <w:vAlign w:val="top"/>
          </w:tcPr>
          <w:p>
            <w:pPr>
              <w:pStyle w:val="TableText"/>
              <w:jc w:val="left"/>
            </w:pPr>
            <w:r>
              <w:t xml:space="preserve">Teal header</w:t>
            </w:r>
            <w:r>
              <w:t xml:space="preserve"> </w:t>
            </w:r>
            <w:r>
              <w:t xml:space="preserve">“</w:t>
            </w:r>
            <w:r>
              <w:t xml:space="preserve">Báo giá mới</w:t>
            </w:r>
            <w:r>
              <w:t xml:space="preserve">”</w:t>
            </w:r>
            <w:r>
              <w:t xml:space="preserve"> </w:t>
            </w:r>
            <w:r>
              <w:t xml:space="preserve">with the expiry time of the quote</w:t>
            </w:r>
          </w:p>
        </w:tc>
      </w:tr>
      <w:tr>
        <w:trPr>
          <w:cantSplit/>
        </w:trPr>
        <w:tc>
          <w:tcPr>
            <w:tcW w:w="606" w:type="dxa"/>
            <w:vAlign w:val="top"/>
          </w:tcPr>
          <w:p>
            <w:pPr>
              <w:pStyle w:val="TableText"/>
              <w:jc w:val="left"/>
            </w:pPr>
            <w:r>
              <w:t xml:space="preserve">7</w:t>
            </w:r>
          </w:p>
        </w:tc>
        <w:tc>
          <w:tcPr>
            <w:tcW w:w="2031" w:type="dxa"/>
            <w:vAlign w:val="top"/>
          </w:tcPr>
          <w:p>
            <w:pPr>
              <w:pStyle w:val="TableText"/>
              <w:jc w:val="left"/>
            </w:pPr>
            <w:r>
              <w:t xml:space="preserve">Primary button</w:t>
            </w:r>
          </w:p>
        </w:tc>
        <w:tc>
          <w:tcPr>
            <w:tcW w:w="6390" w:type="dxa"/>
            <w:vAlign w:val="top"/>
          </w:tcPr>
          <w:p>
            <w:pPr>
              <w:pStyle w:val="TableText"/>
              <w:jc w:val="left"/>
            </w:pPr>
            <w:r>
              <w:t xml:space="preserve">Full width, action teal, one per screen section</w:t>
            </w:r>
          </w:p>
        </w:tc>
      </w:tr>
      <w:tr>
        <w:trPr>
          <w:cantSplit/>
        </w:trPr>
        <w:tc>
          <w:tcPr>
            <w:tcW w:w="606" w:type="dxa"/>
            <w:shd w:val="clear" w:color="auto" w:fill="F4F7FB"/>
            <w:vAlign w:val="top"/>
          </w:tcPr>
          <w:p>
            <w:pPr>
              <w:pStyle w:val="TableText"/>
              <w:jc w:val="left"/>
            </w:pPr>
            <w:r>
              <w:t xml:space="preserve">8</w:t>
            </w:r>
          </w:p>
        </w:tc>
        <w:tc>
          <w:tcPr>
            <w:tcW w:w="2031" w:type="dxa"/>
            <w:shd w:val="clear" w:color="auto" w:fill="F4F7FB"/>
            <w:vAlign w:val="top"/>
          </w:tcPr>
          <w:p>
            <w:pPr>
              <w:pStyle w:val="TableText"/>
              <w:jc w:val="left"/>
            </w:pPr>
            <w:r>
              <w:t xml:space="preserve">Support button</w:t>
            </w:r>
          </w:p>
        </w:tc>
        <w:tc>
          <w:tcPr>
            <w:tcW w:w="6390" w:type="dxa"/>
            <w:shd w:val="clear" w:color="auto" w:fill="F4F7FB"/>
            <w:vAlign w:val="top"/>
          </w:tcPr>
          <w:p>
            <w:pPr>
              <w:pStyle w:val="TableText"/>
              <w:jc w:val="left"/>
            </w:pPr>
            <w:r>
              <w:t xml:space="preserve">Round navy button that opens the support sheet</w:t>
            </w:r>
          </w:p>
        </w:tc>
      </w:tr>
      <w:tr>
        <w:trPr>
          <w:cantSplit/>
        </w:trPr>
        <w:tc>
          <w:tcPr>
            <w:tcW w:w="606" w:type="dxa"/>
            <w:vAlign w:val="top"/>
          </w:tcPr>
          <w:p>
            <w:pPr>
              <w:pStyle w:val="TableText"/>
              <w:jc w:val="left"/>
            </w:pPr>
            <w:r>
              <w:t xml:space="preserve">9</w:t>
            </w:r>
          </w:p>
        </w:tc>
        <w:tc>
          <w:tcPr>
            <w:tcW w:w="2031" w:type="dxa"/>
            <w:vAlign w:val="top"/>
          </w:tcPr>
          <w:p>
            <w:pPr>
              <w:pStyle w:val="TableText"/>
              <w:jc w:val="left"/>
            </w:pPr>
            <w:r>
              <w:t xml:space="preserve">Bottom tab bar</w:t>
            </w:r>
          </w:p>
        </w:tc>
        <w:tc>
          <w:tcPr>
            <w:tcW w:w="6390" w:type="dxa"/>
            <w:vAlign w:val="top"/>
          </w:tcPr>
          <w:p>
            <w:pPr>
              <w:pStyle w:val="TableText"/>
              <w:jc w:val="left"/>
            </w:pPr>
            <w:r>
              <w:t xml:space="preserve">Four tabs; the active tab is link teal with a light-teal pill behind the icon</w:t>
            </w:r>
          </w:p>
        </w:tc>
      </w:tr>
    </w:tbl>
    <w:p>
      <w:pPr>
        <w:pStyle w:val="Heading2"/>
      </w:pPr>
      <w:bookmarkStart w:id="57" w:name="_Toc300000053"/>
      <w:r>
        <w:t xml:space="preserve">Quote form and vehicle confirmation card</w:t>
      </w:r>
      <w:bookmarkEnd w:id="57"/>
    </w:p>
    <w:p>
      <w:pPr>
        <w:pStyle w:val="FirstParagraph"/>
      </w:pPr>
      <w:r>
        <w:t xml:space="preserve">Step 1 of the purchase flow is laid out like the e.baohiemtasco.vn quote form: a white card with a 16 px radius and soft shadow, the teal title</w:t>
      </w:r>
      <w:r>
        <w:t xml:space="preserve"> </w:t>
      </w:r>
      <w:r>
        <w:t xml:space="preserve">“</w:t>
      </w:r>
      <w:r>
        <w:t xml:space="preserve">Bảo hiểm TNDS bắt buộc xe ô tô</w:t>
      </w:r>
      <w:r>
        <w:t xml:space="preserve">”</w:t>
      </w:r>
      <w:r>
        <w:t xml:space="preserve">, a grey subtitle with the plate and vehicle, the question</w:t>
      </w:r>
      <w:r>
        <w:t xml:space="preserve"> </w:t>
      </w:r>
      <w:r>
        <w:t xml:space="preserve">“</w:t>
      </w:r>
      <w:r>
        <w:t xml:space="preserve">Xe có kinh doanh vận tải không?</w:t>
      </w:r>
      <w:r>
        <w:t xml:space="preserve">”</w:t>
      </w:r>
      <w:r>
        <w:t xml:space="preserve"> </w:t>
      </w:r>
      <w:r>
        <w:t xml:space="preserve">as two teal radio tiles in two columns,</w:t>
      </w:r>
      <w:r>
        <w:t xml:space="preserve"> </w:t>
      </w:r>
      <w:r>
        <w:t xml:space="preserve">“</w:t>
      </w:r>
      <w:r>
        <w:t xml:space="preserve">Loại xe</w:t>
      </w:r>
      <w:r>
        <w:t xml:space="preserve">”</w:t>
      </w:r>
      <w:r>
        <w:t xml:space="preserve"> </w:t>
      </w:r>
      <w:r>
        <w:t xml:space="preserve">(read-only, from the registration) and</w:t>
      </w:r>
      <w:r>
        <w:t xml:space="preserve"> </w:t>
      </w:r>
      <w:r>
        <w:t xml:space="preserve">“</w:t>
      </w:r>
      <w:r>
        <w:t xml:space="preserve">Số chỗ ngồi</w:t>
      </w:r>
      <w:r>
        <w:t xml:space="preserve">”</w:t>
      </w:r>
      <w:r>
        <w:t xml:space="preserve"> </w:t>
      </w:r>
      <w:r>
        <w:t xml:space="preserve">with the unit</w:t>
      </w:r>
      <w:r>
        <w:t xml:space="preserve"> </w:t>
      </w:r>
      <w:r>
        <w:t xml:space="preserve">“</w:t>
      </w:r>
      <w:r>
        <w:t xml:space="preserve">chỗ</w:t>
      </w:r>
      <w:r>
        <w:t xml:space="preserve">”</w:t>
      </w:r>
      <w:r>
        <w:t xml:space="preserve"> </w:t>
      </w:r>
      <w:r>
        <w:t xml:space="preserve">inside the field side by side, the 1, 2 or 3-year term as a segmented control with the regulated price line, optional add-ons as cards with switches, and the full-width button</w:t>
      </w:r>
      <w:r>
        <w:t xml:space="preserve"> </w:t>
      </w:r>
      <w:r>
        <w:t xml:space="preserve">“</w:t>
      </w:r>
      <w:r>
        <w:t xml:space="preserve">Xem phí bảo hiểm</w:t>
      </w:r>
      <w:r>
        <w:t xml:space="preserve">”</w:t>
      </w:r>
      <w:r>
        <w:t xml:space="preserve">.</w:t>
      </w:r>
    </w:p>
    <w:p>
      <w:pPr>
        <w:pStyle w:val="BodyText"/>
      </w:pPr>
      <w:r>
        <w:t xml:space="preserve">On the review step the same vehicle questions appear in the vehicle confirmation card until the customer confirms them. Once confirmed, the card collapses to one summary line with an</w:t>
      </w:r>
      <w:r>
        <w:t xml:space="preserve"> </w:t>
      </w:r>
      <w:r>
        <w:t xml:space="preserve">“</w:t>
      </w:r>
      <w:r>
        <w:t xml:space="preserve">Sửa</w:t>
      </w:r>
      <w:r>
        <w:t xml:space="preserve">”</w:t>
      </w:r>
      <w:r>
        <w:t xml:space="preserve"> </w:t>
      </w:r>
      <w:r>
        <w:t xml:space="preserve">(edit) button.</w:t>
      </w:r>
    </w:p>
    <w:p xmlns:a="http://schemas.openxmlformats.org/drawingml/2006/main" xmlns:pic="http://schemas.openxmlformats.org/drawingml/2006/picture">
      <w:pPr>
        <w:pStyle w:val="Figure"/>
      </w:pPr>
      <w:r>
        <w:drawing>
          <wp:inline>
            <wp:extent cx="1619999" cy="3505846"/>
            <wp:effectExtent b="0" l="0" r="0" t="0"/>
            <wp:docPr descr="" title="" id="5010" name="Picture"/>
            <a:graphic>
              <a:graphicData uri="http://schemas.openxmlformats.org/drawingml/2006/picture">
                <pic:pic>
                  <pic:nvPicPr>
                    <pic:cNvPr descr="../../../final/shots/app-customer-buy-1-choose.png" id="95" name="Picture"/>
                    <pic:cNvPicPr>
                      <a:picLocks noChangeArrowheads="1" noChangeAspect="1"/>
                    </pic:cNvPicPr>
                  </pic:nvPicPr>
                  <pic:blipFill>
                    <a:blip r:embed="rIdG9"/>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11" name="Picture"/>
            <a:graphic>
              <a:graphicData uri="http://schemas.openxmlformats.org/drawingml/2006/picture">
                <pic:pic>
                  <pic:nvPicPr>
                    <pic:cNvPr descr="../../../final/shots/app-customer-buy-0-vehicle-edit.png" id="98" name="Picture"/>
                    <pic:cNvPicPr>
                      <a:picLocks noChangeArrowheads="1" noChangeAspect="1"/>
                    </pic:cNvPicPr>
                  </pic:nvPicPr>
                  <pic:blipFill>
                    <a:blip r:embed="rIdG10"/>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12" name="Picture"/>
            <a:graphic>
              <a:graphicData uri="http://schemas.openxmlformats.org/drawingml/2006/picture">
                <pic:pic>
                  <pic:nvPicPr>
                    <pic:cNvPr descr="../../../final/shots/app-customer-buy-0-vehicle-confirmed.png" id="101" name="Picture"/>
                    <pic:cNvPicPr>
                      <a:picLocks noChangeArrowheads="1" noChangeAspect="1"/>
                    </pic:cNvPicPr>
                  </pic:nvPicPr>
                  <pic:blipFill>
                    <a:blip r:embed="rIdG11"/>
                    <a:stretch>
                      <a:fillRect/>
                    </a:stretch>
                  </pic:blipFill>
                  <pic:spPr bwMode="auto">
                    <a:xfrm>
                      <a:off x="0" y="0"/>
                      <a:ext cx="1619999" cy="3505846"/>
                    </a:xfrm>
                    <a:prstGeom prst="rect">
                      <a:avLst/>
                    </a:prstGeom>
                    <a:noFill/>
                    <a:ln w="9525">
                      <a:noFill/>
                      <a:headEnd/>
                      <a:tailEnd/>
                    </a:ln>
                  </pic:spPr>
                </pic:pic>
              </a:graphicData>
            </a:graphic>
          </wp:inline>
        </w:drawing>
      </w:r>
    </w:p>
    <w:p>
      <w:pPr>
        <w:pStyle w:val="Caption"/>
      </w:pPr>
      <w:r>
        <w:rPr>
          <w:i/>
          <w:iCs/>
        </w:rPr>
        <w:t xml:space="preserve">Quote form, vehicle confirmation card open, and the same card after confirmation</w:t>
      </w:r>
    </w:p>
    <w:p>
      <w:pPr>
        <w:pStyle w:val="BodyText"/>
      </w:pPr>
      <w:r>
        <w:t xml:space="preserve">The pending quote card on Home shows a quote sent by telesales: the teal header with its expiry time, each product with its amount, the period,</w:t>
      </w:r>
      <w:r>
        <w:t xml:space="preserve"> </w:t>
      </w:r>
      <w:r>
        <w:t xml:space="preserve">“</w:t>
      </w:r>
      <w:r>
        <w:t xml:space="preserve">Tổng thanh toán</w:t>
      </w:r>
      <w:r>
        <w:t xml:space="preserve">”</w:t>
      </w:r>
      <w:r>
        <w:t xml:space="preserve"> </w:t>
      </w:r>
      <w:r>
        <w:t xml:space="preserve">in large navy figures and the button</w:t>
      </w:r>
      <w:r>
        <w:t xml:space="preserve"> </w:t>
      </w:r>
      <w:r>
        <w:t xml:space="preserve">“</w:t>
      </w:r>
      <w:r>
        <w:t xml:space="preserve">Xem và thanh toán</w:t>
      </w:r>
      <w:r>
        <w:t xml:space="preserve">”</w:t>
      </w:r>
      <w:r>
        <w:t xml:space="preserve">.</w:t>
      </w:r>
    </w:p>
    <w:p>
      <w:pPr>
        <w:pStyle w:val="Heading2"/>
      </w:pPr>
      <w:bookmarkStart w:id="58" w:name="_Toc300000054"/>
      <w:r>
        <w:t xml:space="preserve">Plate tag</w:t>
      </w:r>
      <w:bookmarkEnd w:id="58"/>
    </w:p>
    <w:p>
      <w:pPr>
        <w:pStyle w:val="FirstParagraph"/>
      </w:pPr>
      <w:r>
        <w:t xml:space="preserve">The plate tag looks like a Vietnamese number plate: dark 2 px border, white fill, bold dark figures with tabular spacing, formatted by the shared plate formatter (30E-949.35, 51B-645.02). It is never translated, masked or abbreviated in the customer app. In the console the plate tag is smaller and uses the same format.</w:t>
      </w:r>
    </w:p>
    <w:p>
      <w:pPr>
        <w:pStyle w:val="Heading2"/>
      </w:pPr>
      <w:bookmarkStart w:id="59" w:name="_Toc300000055"/>
      <w:r>
        <w:t xml:space="preserve">Bottom tab bar</w:t>
      </w:r>
      <w:bookmarkEnd w:id="59"/>
    </w:p>
    <w:p>
      <w:pPr>
        <w:pStyle w:val="FirstParagraph"/>
      </w:pPr>
      <w:r>
        <w:t xml:space="preserve">Four tabs, each an icon above a label:</w:t>
      </w:r>
      <w:r>
        <w:t xml:space="preserve"> </w:t>
      </w:r>
      <w:r>
        <w:t xml:space="preserve">“</w:t>
      </w:r>
      <w:r>
        <w:t xml:space="preserve">Trang chủ</w:t>
      </w:r>
      <w:r>
        <w:t xml:space="preserve">”</w:t>
      </w:r>
      <w:r>
        <w:t xml:space="preserve">,</w:t>
      </w:r>
      <w:r>
        <w:t xml:space="preserve"> </w:t>
      </w:r>
      <w:r>
        <w:t xml:space="preserve">“</w:t>
      </w:r>
      <w:r>
        <w:t xml:space="preserve">Bảo hiểm của tôi</w:t>
      </w:r>
      <w:r>
        <w:t xml:space="preserve">”</w:t>
      </w:r>
      <w:r>
        <w:t xml:space="preserve">,</w:t>
      </w:r>
      <w:r>
        <w:t xml:space="preserve"> </w:t>
      </w:r>
      <w:r>
        <w:t xml:space="preserve">“</w:t>
      </w:r>
      <w:r>
        <w:t xml:space="preserve">Bồi thường</w:t>
      </w:r>
      <w:r>
        <w:t xml:space="preserve">”</w:t>
      </w:r>
      <w:r>
        <w:t xml:space="preserve"> </w:t>
      </w:r>
      <w:r>
        <w:t xml:space="preserve">and</w:t>
      </w:r>
      <w:r>
        <w:t xml:space="preserve"> </w:t>
      </w:r>
      <w:r>
        <w:t xml:space="preserve">“</w:t>
      </w:r>
      <w:r>
        <w:t xml:space="preserve">Tài khoản</w:t>
      </w:r>
      <w:r>
        <w:t xml:space="preserve">”</w:t>
      </w:r>
      <w:r>
        <w:t xml:space="preserve">. The bar is fixed to the bottom, 64 px high plus the phone’s safe area, and stays visible on tab pages only. Task flows (buying, reporting an accident, confirming the expiry date) open full screen with a back arrow and a fixed action bar instead.</w:t>
      </w:r>
    </w:p>
    <w:p>
      <w:pPr>
        <w:pStyle w:val="Heading2"/>
      </w:pPr>
      <w:bookmarkStart w:id="60" w:name="_Toc300000056"/>
      <w:r>
        <w:t xml:space="preserve">Purchase stepper and action bar</w:t>
      </w:r>
      <w:bookmarkEnd w:id="60"/>
    </w:p>
    <w:p>
      <w:pPr>
        <w:pStyle w:val="FirstParagraph"/>
      </w:pPr>
      <w:r>
        <w:t xml:space="preserve">The purchase stepper shows three numbered steps,</w:t>
      </w:r>
      <w:r>
        <w:t xml:space="preserve"> </w:t>
      </w:r>
      <w:r>
        <w:t xml:space="preserve">“</w:t>
      </w:r>
      <w:r>
        <w:t xml:space="preserve">Chọn gói</w:t>
      </w:r>
      <w:r>
        <w:t xml:space="preserve">”</w:t>
      </w:r>
      <w:r>
        <w:t xml:space="preserve">,</w:t>
      </w:r>
      <w:r>
        <w:t xml:space="preserve"> </w:t>
      </w:r>
      <w:r>
        <w:t xml:space="preserve">“</w:t>
      </w:r>
      <w:r>
        <w:t xml:space="preserve">Xác nhận</w:t>
      </w:r>
      <w:r>
        <w:t xml:space="preserve">”</w:t>
      </w:r>
      <w:r>
        <w:t xml:space="preserve"> </w:t>
      </w:r>
      <w:r>
        <w:t xml:space="preserve">and</w:t>
      </w:r>
      <w:r>
        <w:t xml:space="preserve"> </w:t>
      </w:r>
      <w:r>
        <w:t xml:space="preserve">“</w:t>
      </w:r>
      <w:r>
        <w:t xml:space="preserve">Thanh toán</w:t>
      </w:r>
      <w:r>
        <w:t xml:space="preserve">”</w:t>
      </w:r>
      <w:r>
        <w:t xml:space="preserve">, with a check on completed steps. The claim wizard uses a progress bar with</w:t>
      </w:r>
      <w:r>
        <w:t xml:space="preserve"> </w:t>
      </w:r>
      <w:r>
        <w:t xml:space="preserve">“</w:t>
      </w:r>
      <w:r>
        <w:t xml:space="preserve">Bước 2/5</w:t>
      </w:r>
      <w:r>
        <w:t xml:space="preserve">”</w:t>
      </w:r>
      <w:r>
        <w:t xml:space="preserve"> </w:t>
      </w:r>
      <w:r>
        <w:t xml:space="preserve">and the step name instead, because it has five steps. The action bar at the bottom of a flow holds the main button and, on the review step, the total to pay; when payment is blocked it shows the reason with a lock icon.</w:t>
      </w:r>
    </w:p>
    <w:p>
      <w:pPr>
        <w:pStyle w:val="Heading2"/>
      </w:pPr>
      <w:bookmarkStart w:id="61" w:name="_Toc300000057"/>
      <w:r>
        <w:t xml:space="preserve">Bottom sheet</w:t>
      </w:r>
      <w:bookmarkEnd w:id="61"/>
    </w:p>
    <w:p>
      <w:pPr>
        <w:pStyle w:val="FirstParagraph"/>
      </w:pPr>
      <w:r>
        <w:t xml:space="preserve">Sheets rise from the bottom with a grab handle, a title, an optional subtitle and a close button. They trap focus and close with the close button, Esc or a tap outside, except where a decision is required. Sheets are used for the payment confirmation, the support options, the certificate QR code and the demo customer picker in demo environments.</w:t>
      </w:r>
    </w:p>
    <w:p>
      <w:pPr>
        <w:pStyle w:val="Heading2"/>
      </w:pPr>
      <w:bookmarkStart w:id="62" w:name="_Toc300000058"/>
      <w:r>
        <w:t xml:space="preserve">Support sheet and floating support button</w:t>
      </w:r>
      <w:bookmarkEnd w:id="62"/>
    </w:p>
    <w:p>
      <w:pPr>
        <w:pStyle w:val="FirstParagraph"/>
      </w:pPr>
      <w:r>
        <w:t xml:space="preserve">The floating support button is a 56 px round navy button with a headset icon at the bottom right, above the tab bar, on every tab except Home. Home carries the main call to action, so there the same headset sits in the app bar instead. Both open the support sheet</w:t>
      </w:r>
      <w:r>
        <w:t xml:space="preserve"> </w:t>
      </w:r>
      <w:r>
        <w:t xml:space="preserve">“</w:t>
      </w:r>
      <w:r>
        <w:t xml:space="preserve">Hỗ trợ khách hàng</w:t>
      </w:r>
      <w:r>
        <w:t xml:space="preserve">”</w:t>
      </w:r>
      <w:r>
        <w:t xml:space="preserve">, which lists only the channels that are configured: call 1900 1562, the Zalo Official Account</w:t>
      </w:r>
      <w:r>
        <w:t xml:space="preserve"> </w:t>
      </w:r>
      <w:r>
        <w:t xml:space="preserve">“</w:t>
      </w:r>
      <w:r>
        <w:t xml:space="preserve">Bảo hiểm Tasco</w:t>
      </w:r>
      <w:r>
        <w:t xml:space="preserve">”</w:t>
      </w:r>
      <w:r>
        <w:t xml:space="preserve"> </w:t>
      </w:r>
      <w:r>
        <w:t xml:space="preserve">(a copy-the-name row until TASCO publishes a direct link), Messenger, the Fanpage, e-mail to</w:t>
      </w:r>
      <w:r>
        <w:t xml:space="preserve"> </w:t>
      </w:r>
      <w:hyperlink r:id="rIdG12">
        <w:r>
          <w:rPr>
            <w:rStyle w:val="Hyperlink"/>
          </w:rPr>
          <w:t xml:space="preserve">info@baohiemtasco.vn</w:t>
        </w:r>
      </w:hyperlink>
      <w:r>
        <w:t xml:space="preserve"> </w:t>
      </w:r>
      <w:r>
        <w:t xml:space="preserve">and the TASCO website.</w:t>
      </w:r>
    </w:p>
    <w:p>
      <w:pPr>
        <w:pStyle w:val="BodyText"/>
      </w:pPr>
      <w:r>
        <w:t xml:space="preserve">The button is shown on tab pages and on the expiry confirmation and claim flows. It is hidden throughout the purchase flow, so it can never cover the payment button.</w:t>
      </w:r>
    </w:p>
    <w:p xmlns:a="http://schemas.openxmlformats.org/drawingml/2006/main" xmlns:pic="http://schemas.openxmlformats.org/drawingml/2006/picture">
      <w:pPr>
        <w:pStyle w:val="Figure"/>
      </w:pPr>
      <w:r>
        <w:drawing>
          <wp:inline>
            <wp:extent cx="1619999" cy="3505846"/>
            <wp:effectExtent b="0" l="0" r="0" t="0"/>
            <wp:docPr descr="" title="" id="5013" name="Picture"/>
            <a:graphic>
              <a:graphicData uri="http://schemas.openxmlformats.org/drawingml/2006/picture">
                <pic:pic>
                  <pic:nvPicPr>
                    <pic:cNvPr descr="../../../final/shots/app-customer-home-insured.png" id="110" name="Picture"/>
                    <pic:cNvPicPr>
                      <a:picLocks noChangeArrowheads="1" noChangeAspect="1"/>
                    </pic:cNvPicPr>
                  </pic:nvPicPr>
                  <pic:blipFill>
                    <a:blip r:embed="rIdG13"/>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14" name="Picture"/>
            <a:graphic>
              <a:graphicData uri="http://schemas.openxmlformats.org/drawingml/2006/picture">
                <pic:pic>
                  <pic:nvPicPr>
                    <pic:cNvPr descr="../../../final/shots/app-customer-support-sheet.png" id="113" name="Picture"/>
                    <pic:cNvPicPr>
                      <a:picLocks noChangeArrowheads="1" noChangeAspect="1"/>
                    </pic:cNvPicPr>
                  </pic:nvPicPr>
                  <pic:blipFill>
                    <a:blip r:embed="rIdG14"/>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15" name="Picture"/>
            <a:graphic>
              <a:graphicData uri="http://schemas.openxmlformats.org/drawingml/2006/picture">
                <pic:pic>
                  <pic:nvPicPr>
                    <pic:cNvPr descr="img/account-footer.png" id="116" name="Picture"/>
                    <pic:cNvPicPr>
                      <a:picLocks noChangeArrowheads="1" noChangeAspect="1"/>
                    </pic:cNvPicPr>
                  </pic:nvPicPr>
                  <pic:blipFill>
                    <a:blip r:embed="rIdG15"/>
                    <a:stretch>
                      <a:fillRect/>
                    </a:stretch>
                  </pic:blipFill>
                  <pic:spPr bwMode="auto">
                    <a:xfrm>
                      <a:off x="0" y="0"/>
                      <a:ext cx="1619999" cy="3505846"/>
                    </a:xfrm>
                    <a:prstGeom prst="rect">
                      <a:avLst/>
                    </a:prstGeom>
                    <a:noFill/>
                    <a:ln w="9525">
                      <a:noFill/>
                      <a:headEnd/>
                      <a:tailEnd/>
                    </a:ln>
                  </pic:spPr>
                </pic:pic>
              </a:graphicData>
            </a:graphic>
          </wp:inline>
        </w:drawing>
      </w:r>
    </w:p>
    <w:p>
      <w:pPr>
        <w:pStyle w:val="Caption"/>
      </w:pPr>
      <w:r>
        <w:rPr>
          <w:i/>
          <w:iCs/>
        </w:rPr>
        <w:t xml:space="preserve">Support button on Home, the support sheet, and the brand footer on the Account tab</w:t>
      </w:r>
    </w:p>
    <w:p>
      <w:pPr>
        <w:pStyle w:val="Heading2"/>
      </w:pPr>
      <w:bookmarkStart w:id="63" w:name="_Toc300000059"/>
      <w:r>
        <w:t xml:space="preserve">Brand footer</w:t>
      </w:r>
      <w:bookmarkEnd w:id="63"/>
    </w:p>
    <w:p>
      <w:pPr>
        <w:pStyle w:val="FirstParagraph"/>
      </w:pPr>
      <w:r>
        <w:t xml:space="preserve">The Account tab ends with a brand-teal band carrying the white wordmark, the hotline, the e-mail address and the website in navy, with a lighter diagonal band on the right. The note under it reads</w:t>
      </w:r>
      <w:r>
        <w:t xml:space="preserve"> </w:t>
      </w:r>
      <w:r>
        <w:t xml:space="preserve">“</w:t>
      </w:r>
      <w:r>
        <w:t xml:space="preserve">Bảo hiểm TASCO · Phân phối qua ứng dụng VETC</w:t>
      </w:r>
      <w:r>
        <w:t xml:space="preserve">”</w:t>
      </w:r>
      <w:r>
        <w:t xml:space="preserve"> </w:t>
      </w:r>
      <w:r>
        <w:t xml:space="preserve">in VETC hosts and</w:t>
      </w:r>
      <w:r>
        <w:t xml:space="preserve"> </w:t>
      </w:r>
      <w:r>
        <w:t xml:space="preserve">“</w:t>
      </w:r>
      <w:r>
        <w:t xml:space="preserve">Bảo hiểm TASCO</w:t>
      </w:r>
      <w:r>
        <w:t xml:space="preserve">”</w:t>
      </w:r>
      <w:r>
        <w:t xml:space="preserve"> </w:t>
      </w:r>
      <w:r>
        <w:t xml:space="preserve">elsewhere.</w:t>
      </w:r>
    </w:p>
    <w:p>
      <w:pPr>
        <w:pStyle w:val="Heading2"/>
      </w:pPr>
      <w:bookmarkStart w:id="64" w:name="_Toc300000060"/>
      <w:r>
        <w:t xml:space="preserve">Other customer components</w:t>
      </w:r>
      <w:bookmarkEnd w:id="6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68"/>
        <w:gridCol w:w="7359"/>
      </w:tblGrid>
      <w:tr>
        <w:trPr>
          <w:cantSplit/>
          <w:tblHeader/>
        </w:trPr>
        <w:tc>
          <w:tcPr>
            <w:tcW w:w="1668" w:type="dxa"/>
            <w:shd w:val="clear" w:color="auto" w:fill="0F4761"/>
            <w:vAlign w:val="center"/>
          </w:tcPr>
          <w:p>
            <w:pPr>
              <w:pStyle w:val="TableHeading"/>
              <w:jc w:val="left"/>
            </w:pPr>
            <w:r>
              <w:rPr>
                <w:color w:val="FFFFFF"/>
              </w:rPr>
              <w:t xml:space="preserve">Component</w:t>
            </w:r>
          </w:p>
        </w:tc>
        <w:tc>
          <w:tcPr>
            <w:tcW w:w="7359" w:type="dxa"/>
            <w:shd w:val="clear" w:color="auto" w:fill="0F4761"/>
            <w:vAlign w:val="center"/>
          </w:tcPr>
          <w:p>
            <w:pPr>
              <w:pStyle w:val="TableHeading"/>
              <w:jc w:val="left"/>
            </w:pPr>
            <w:r>
              <w:rPr>
                <w:color w:val="FFFFFF"/>
              </w:rPr>
              <w:t xml:space="preserve">Rule</w:t>
            </w:r>
          </w:p>
        </w:tc>
      </w:tr>
      <w:tr>
        <w:trPr>
          <w:cantSplit/>
        </w:trPr>
        <w:tc>
          <w:tcPr>
            <w:tcW w:w="1668" w:type="dxa"/>
            <w:vAlign w:val="top"/>
          </w:tcPr>
          <w:p>
            <w:pPr>
              <w:pStyle w:val="TableText"/>
              <w:jc w:val="left"/>
            </w:pPr>
            <w:r>
              <w:t xml:space="preserve">Buttons</w:t>
            </w:r>
          </w:p>
        </w:tc>
        <w:tc>
          <w:tcPr>
            <w:tcW w:w="7359" w:type="dxa"/>
            <w:vAlign w:val="top"/>
          </w:tcPr>
          <w:p>
            <w:pPr>
              <w:pStyle w:val="TableText"/>
              <w:jc w:val="left"/>
            </w:pPr>
            <w:r>
              <w:t xml:space="preserve">52 px, 8 px radius, Lexend 500. Primary in action teal;</w:t>
            </w:r>
            <w:r>
              <w:t xml:space="preserve"> </w:t>
            </w:r>
            <w:r>
              <w:t xml:space="preserve">“</w:t>
            </w:r>
            <w:r>
              <w:t xml:space="preserve">soft</w:t>
            </w:r>
            <w:r>
              <w:t xml:space="preserve">”</w:t>
            </w:r>
            <w:r>
              <w:t xml:space="preserve"> </w:t>
            </w:r>
            <w:r>
              <w:t xml:space="preserve">in light teal with navy text; ghost in link teal</w:t>
            </w:r>
          </w:p>
        </w:tc>
      </w:tr>
      <w:tr>
        <w:trPr>
          <w:cantSplit/>
        </w:trPr>
        <w:tc>
          <w:tcPr>
            <w:tcW w:w="1668" w:type="dxa"/>
            <w:shd w:val="clear" w:color="auto" w:fill="F4F7FB"/>
            <w:vAlign w:val="top"/>
          </w:tcPr>
          <w:p>
            <w:pPr>
              <w:pStyle w:val="TableText"/>
              <w:jc w:val="left"/>
            </w:pPr>
            <w:r>
              <w:t xml:space="preserve">Notices</w:t>
            </w:r>
          </w:p>
        </w:tc>
        <w:tc>
          <w:tcPr>
            <w:tcW w:w="7359" w:type="dxa"/>
            <w:shd w:val="clear" w:color="auto" w:fill="F4F7FB"/>
            <w:vAlign w:val="top"/>
          </w:tcPr>
          <w:p>
            <w:pPr>
              <w:pStyle w:val="TableText"/>
              <w:jc w:val="left"/>
            </w:pPr>
            <w:r>
              <w:t xml:space="preserve">Inline cards with an icon, title, one line and an optional small button (for example the indicative-price notice with</w:t>
            </w:r>
            <w:r>
              <w:t xml:space="preserve"> </w:t>
            </w:r>
            <w:r>
              <w:t xml:space="preserve">“</w:t>
            </w:r>
            <w:r>
              <w:t xml:space="preserve">Xác nhận giá chính thức</w:t>
            </w:r>
            <w:r>
              <w:t xml:space="preserve">”</w:t>
            </w:r>
            <w:r>
              <w:t xml:space="preserve">)</w:t>
            </w:r>
          </w:p>
        </w:tc>
      </w:tr>
      <w:tr>
        <w:trPr>
          <w:cantSplit/>
        </w:trPr>
        <w:tc>
          <w:tcPr>
            <w:tcW w:w="1668" w:type="dxa"/>
            <w:vAlign w:val="top"/>
          </w:tcPr>
          <w:p>
            <w:pPr>
              <w:pStyle w:val="TableText"/>
              <w:jc w:val="left"/>
            </w:pPr>
            <w:r>
              <w:t xml:space="preserve">Icon chips</w:t>
            </w:r>
          </w:p>
        </w:tc>
        <w:tc>
          <w:tcPr>
            <w:tcW w:w="7359" w:type="dxa"/>
            <w:vAlign w:val="top"/>
          </w:tcPr>
          <w:p>
            <w:pPr>
              <w:pStyle w:val="TableText"/>
              <w:jc w:val="left"/>
            </w:pPr>
            <w:r>
              <w:t xml:space="preserve">40 px rounded squares in light teal with a navy icon, used for products, benefits and list rows</w:t>
            </w:r>
          </w:p>
        </w:tc>
      </w:tr>
      <w:tr>
        <w:trPr>
          <w:cantSplit/>
        </w:trPr>
        <w:tc>
          <w:tcPr>
            <w:tcW w:w="1668" w:type="dxa"/>
            <w:shd w:val="clear" w:color="auto" w:fill="F4F7FB"/>
            <w:vAlign w:val="top"/>
          </w:tcPr>
          <w:p>
            <w:pPr>
              <w:pStyle w:val="TableText"/>
              <w:jc w:val="left"/>
            </w:pPr>
            <w:r>
              <w:t xml:space="preserve">Benefit carousel</w:t>
            </w:r>
          </w:p>
        </w:tc>
        <w:tc>
          <w:tcPr>
            <w:tcW w:w="7359" w:type="dxa"/>
            <w:shd w:val="clear" w:color="auto" w:fill="F4F7FB"/>
            <w:vAlign w:val="top"/>
          </w:tcPr>
          <w:p>
            <w:pPr>
              <w:pStyle w:val="TableText"/>
              <w:jc w:val="left"/>
            </w:pPr>
            <w:r>
              <w:t xml:space="preserve">Swipe sideways, one benefit per card with a dot indicator; the list is also reachable by keyboard</w:t>
            </w:r>
          </w:p>
        </w:tc>
      </w:tr>
      <w:tr>
        <w:trPr>
          <w:cantSplit/>
        </w:trPr>
        <w:tc>
          <w:tcPr>
            <w:tcW w:w="1668" w:type="dxa"/>
            <w:vAlign w:val="top"/>
          </w:tcPr>
          <w:p>
            <w:pPr>
              <w:pStyle w:val="TableText"/>
              <w:jc w:val="left"/>
            </w:pPr>
            <w:r>
              <w:t xml:space="preserve">Certificate card</w:t>
            </w:r>
          </w:p>
        </w:tc>
        <w:tc>
          <w:tcPr>
            <w:tcW w:w="7359" w:type="dxa"/>
            <w:vAlign w:val="top"/>
          </w:tcPr>
          <w:p>
            <w:pPr>
              <w:pStyle w:val="TableText"/>
              <w:jc w:val="left"/>
            </w:pPr>
            <w:r>
              <w:t xml:space="preserve">Navy header with the white wordmark, the policy number, period, plate and QR code; the QR opens full screen for roadside checks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5" w:name="_Toc300000061"/>
      <w:r>
        <w:rPr>
          <w:rStyle w:val="BookTitle"/>
          <w:bCs w:val="0"/>
          <w:i w:val="0"/>
          <w:iCs w:val="0"/>
          <w:spacing w:val="0"/>
        </w:rPr>
        <w:t xml:space="preserve">Dark theme</w:t>
      </w:r>
      <w:bookmarkEnd w:id="65"/>
    </w:p>
    <w:p>
      <w:pPr>
        <w:pStyle w:val="FirstParagraph"/>
      </w:pPr>
      <w:r>
        <w:t xml:space="preserve">The console offers Light, Dark and System (following the computer’s setting) in the user menu; the customer app and the certificate check follow the phone’s setting. Both themes use the same tokens, so components need no extra code.</w:t>
      </w:r>
    </w:p>
    <w:p>
      <w:pPr>
        <w:pStyle w:val="Compact"/>
        <w:numPr>
          <w:ilvl w:val="0"/>
          <w:numId w:val="1007"/>
        </w:numPr>
      </w:pPr>
      <w:r>
        <w:t xml:space="preserve">Surfaces are deep navy (#0B1430 page, #111D3F cards); text is near-white (#E8ECF4) and muted text #AEB9D0.</w:t>
      </w:r>
    </w:p>
    <w:p>
      <w:pPr>
        <w:pStyle w:val="Compact"/>
        <w:numPr>
          <w:ilvl w:val="0"/>
          <w:numId w:val="1007"/>
        </w:numPr>
      </w:pPr>
      <w:r>
        <w:t xml:space="preserve">Primary buttons invert to brand teal #6CC7C5 with deep-navy text (8.6:1). Links become #7FDCD8.</w:t>
      </w:r>
    </w:p>
    <w:p>
      <w:pPr>
        <w:pStyle w:val="Compact"/>
        <w:numPr>
          <w:ilvl w:val="0"/>
          <w:numId w:val="1007"/>
        </w:numPr>
      </w:pPr>
      <w:r>
        <w:t xml:space="preserve">The utility strip stays brand teal with deep-navy text, so the TASCO band is recognisable in both themes.</w:t>
      </w:r>
    </w:p>
    <w:p>
      <w:pPr>
        <w:pStyle w:val="Compact"/>
        <w:numPr>
          <w:ilvl w:val="0"/>
          <w:numId w:val="1007"/>
        </w:numPr>
      </w:pPr>
      <w:r>
        <w:t xml:space="preserve">The colour wordmark turns white and light teal; the support button turns light teal with a navy icon.</w:t>
      </w:r>
    </w:p>
    <w:p>
      <w:pPr>
        <w:pStyle w:val="Compact"/>
        <w:numPr>
          <w:ilvl w:val="0"/>
          <w:numId w:val="1007"/>
        </w:numPr>
      </w:pPr>
      <w:r>
        <w:t xml:space="preserve">Semantic tones and chart colours switch to lighter variants that keep at least 4.5:1 on the dark surfaces.</w:t>
      </w:r>
    </w:p>
    <w:p xmlns:a="http://schemas.openxmlformats.org/drawingml/2006/main" xmlns:pic="http://schemas.openxmlformats.org/drawingml/2006/picture">
      <w:pPr>
        <w:pStyle w:val="Figure"/>
      </w:pPr>
      <w:r>
        <w:drawing>
          <wp:inline>
            <wp:extent cx="5727700" cy="4979519"/>
            <wp:effectExtent b="0" l="0" r="0" t="0"/>
            <wp:docPr descr="Executive dashboard in the dark theme" title="" id="5016" name="Picture"/>
            <a:graphic>
              <a:graphicData uri="http://schemas.openxmlformats.org/drawingml/2006/picture">
                <pic:pic>
                  <pic:nvPicPr>
                    <pic:cNvPr descr="/tmp/claude-0/-home-user-TASCO/19e5534d-12b5-5956-9b60-3e77efde0f49/scratchpad/final/shots/dark-exec-dashboard.png" id="123" name="Picture"/>
                    <pic:cNvPicPr>
                      <a:picLocks noChangeArrowheads="1" noChangeAspect="1"/>
                    </pic:cNvPicPr>
                  </pic:nvPicPr>
                  <pic:blipFill>
                    <a:blip r:embed="rIdG16"/>
                    <a:stretch>
                      <a:fillRect/>
                    </a:stretch>
                  </pic:blipFill>
                  <pic:spPr bwMode="auto">
                    <a:xfrm>
                      <a:off x="0" y="0"/>
                      <a:ext cx="5727700" cy="4979519"/>
                    </a:xfrm>
                    <a:prstGeom prst="rect">
                      <a:avLst/>
                    </a:prstGeom>
                    <a:noFill/>
                    <a:ln w="9525">
                      <a:noFill/>
                      <a:headEnd/>
                      <a:tailEnd/>
                    </a:ln>
                  </pic:spPr>
                </pic:pic>
              </a:graphicData>
            </a:graphic>
          </wp:inline>
        </w:drawing>
      </w:r>
    </w:p>
    <w:p>
      <w:pPr>
        <w:pStyle w:val="Caption"/>
      </w:pPr>
      <w:r>
        <w:t xml:space="preserve">Figure 9 – Executive dashboard in the dark theme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6" w:name="_Toc300000062"/>
      <w:r>
        <w:rPr>
          <w:rStyle w:val="BookTitle"/>
          <w:bCs w:val="0"/>
          <w:i w:val="0"/>
          <w:iCs w:val="0"/>
          <w:spacing w:val="0"/>
        </w:rPr>
        <w:t xml:space="preserve">Governance of the design system</w:t>
      </w:r>
      <w:bookmarkEnd w:id="66"/>
    </w:p>
    <w:p>
      <w:pPr>
        <w:pStyle w:val="FirstParagraph"/>
      </w:pPr>
      <w:r>
        <w:t xml:space="preserve">Tokens, components and these rules change through the same pull-request review as the code. A change to a colour, a type size or a component’s behaviour updates</w:t>
      </w:r>
      <w:r>
        <w:t xml:space="preserve"> </w:t>
      </w:r>
      <w:r>
        <w:rPr>
          <w:rStyle w:val="CodeChar"/>
        </w:rPr>
        <w:t xml:space="preserve">tokens.css</w:t>
      </w:r>
      <w:r>
        <w:t xml:space="preserve"> </w:t>
      </w:r>
      <w:r>
        <w:t xml:space="preserve">or</w:t>
      </w:r>
      <w:r>
        <w:t xml:space="preserve"> </w:t>
      </w:r>
      <w:r>
        <w:rPr>
          <w:rStyle w:val="CodeChar"/>
        </w:rPr>
        <w:t xml:space="preserve">ui.js</w:t>
      </w:r>
      <w:r>
        <w:t xml:space="preserve">, the component reference kept with the source, and this document in the same release. New colour pairings are checked for contrast in both themes before review.</w:t>
      </w:r>
    </w:p>
    <w:p>
      <w:pPr>
        <w:pStyle w:val="BodyText"/>
      </w:pPr>
      <w:r>
        <w:t xml:space="preserve">TASCO marketing approves changes to brand elements: the logo, brand colours, typeface and co-brand lock-ups. The UX lead approves new components; a page-specific variant is preferred to a new component until the pattern is needed on a second page.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7" w:name="_Toc300000063"/>
      <w:r>
        <w:rPr>
          <w:rStyle w:val="BookTitle"/>
          <w:bCs w:val="0"/>
          <w:i w:val="0"/>
          <w:iCs w:val="0"/>
          <w:spacing w:val="0"/>
        </w:rPr>
        <w:t xml:space="preserve">Appendix</w:t>
      </w:r>
      <w:bookmarkEnd w:id="67"/>
    </w:p>
    <w:p>
      <w:pPr>
        <w:pStyle w:val="Heading2"/>
      </w:pPr>
      <w:bookmarkStart w:id="68" w:name="_Toc300000064"/>
      <w:r>
        <w:t xml:space="preserve">Contrast checks</w:t>
      </w:r>
      <w:bookmarkEnd w:id="68"/>
    </w:p>
    <w:p>
      <w:pPr>
        <w:pStyle w:val="FirstParagraph"/>
      </w:pPr>
      <w:r>
        <w:t xml:space="preserve">All ratios are computed with the WCAG 2.2 formula from the token values.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788"/>
        <w:gridCol w:w="2870"/>
        <w:gridCol w:w="1066"/>
        <w:gridCol w:w="2303"/>
      </w:tblGrid>
      <w:tr>
        <w:trPr>
          <w:cantSplit/>
          <w:tblHeader/>
        </w:trPr>
        <w:tc>
          <w:tcPr>
            <w:tcW w:w="2788" w:type="dxa"/>
            <w:shd w:val="clear" w:color="auto" w:fill="0F4761"/>
            <w:vAlign w:val="center"/>
          </w:tcPr>
          <w:p>
            <w:pPr>
              <w:pStyle w:val="TableHeading"/>
              <w:jc w:val="left"/>
            </w:pPr>
            <w:r>
              <w:rPr>
                <w:color w:val="FFFFFF"/>
              </w:rPr>
              <w:t xml:space="preserve">Foreground</w:t>
            </w:r>
          </w:p>
        </w:tc>
        <w:tc>
          <w:tcPr>
            <w:tcW w:w="2870" w:type="dxa"/>
            <w:shd w:val="clear" w:color="auto" w:fill="0F4761"/>
            <w:vAlign w:val="center"/>
          </w:tcPr>
          <w:p>
            <w:pPr>
              <w:pStyle w:val="TableHeading"/>
              <w:jc w:val="left"/>
            </w:pPr>
            <w:r>
              <w:rPr>
                <w:color w:val="FFFFFF"/>
              </w:rPr>
              <w:t xml:space="preserve">Background</w:t>
            </w:r>
          </w:p>
        </w:tc>
        <w:tc>
          <w:tcPr>
            <w:tcW w:w="1066" w:type="dxa"/>
            <w:shd w:val="clear" w:color="auto" w:fill="0F4761"/>
            <w:vAlign w:val="center"/>
          </w:tcPr>
          <w:p>
            <w:pPr>
              <w:pStyle w:val="TableHeading"/>
              <w:jc w:val="left"/>
            </w:pPr>
            <w:r>
              <w:rPr>
                <w:color w:val="FFFFFF"/>
              </w:rPr>
              <w:t xml:space="preserve">Ratio</w:t>
            </w:r>
          </w:p>
        </w:tc>
        <w:tc>
          <w:tcPr>
            <w:tcW w:w="2303" w:type="dxa"/>
            <w:shd w:val="clear" w:color="auto" w:fill="0F4761"/>
            <w:vAlign w:val="center"/>
          </w:tcPr>
          <w:p>
            <w:pPr>
              <w:pStyle w:val="TableHeading"/>
              <w:jc w:val="left"/>
            </w:pPr>
            <w:r>
              <w:rPr>
                <w:color w:val="FFFFFF"/>
              </w:rPr>
              <w:t xml:space="preserve">Result</w:t>
            </w:r>
          </w:p>
        </w:tc>
      </w:tr>
      <w:tr>
        <w:trPr>
          <w:cantSplit/>
        </w:trPr>
        <w:tc>
          <w:tcPr>
            <w:tcW w:w="2788" w:type="dxa"/>
            <w:vAlign w:val="top"/>
          </w:tcPr>
          <w:p>
            <w:pPr>
              <w:pStyle w:val="TableText"/>
              <w:jc w:val="left"/>
            </w:pPr>
            <w:r>
              <w:t xml:space="preserve">White #FFFFFF</w:t>
            </w:r>
          </w:p>
        </w:tc>
        <w:tc>
          <w:tcPr>
            <w:tcW w:w="2870" w:type="dxa"/>
            <w:vAlign w:val="top"/>
          </w:tcPr>
          <w:p>
            <w:pPr>
              <w:pStyle w:val="TableText"/>
              <w:jc w:val="left"/>
            </w:pPr>
            <w:r>
              <w:t xml:space="preserve">Brand teal #6CC7C5</w:t>
            </w:r>
          </w:p>
        </w:tc>
        <w:tc>
          <w:tcPr>
            <w:tcW w:w="1066" w:type="dxa"/>
            <w:vAlign w:val="top"/>
          </w:tcPr>
          <w:p>
            <w:pPr>
              <w:pStyle w:val="TableText"/>
              <w:jc w:val="left"/>
            </w:pPr>
            <w:r>
              <w:t xml:space="preserve">1.98:1</w:t>
            </w:r>
          </w:p>
        </w:tc>
        <w:tc>
          <w:tcPr>
            <w:tcW w:w="2303" w:type="dxa"/>
            <w:vAlign w:val="top"/>
          </w:tcPr>
          <w:p>
            <w:pPr>
              <w:pStyle w:val="TableText"/>
              <w:jc w:val="left"/>
            </w:pPr>
            <w:r>
              <w:t xml:space="preserve">Fails; never used for text</w:t>
            </w:r>
          </w:p>
        </w:tc>
      </w:tr>
      <w:tr>
        <w:trPr>
          <w:cantSplit/>
        </w:trPr>
        <w:tc>
          <w:tcPr>
            <w:tcW w:w="2788" w:type="dxa"/>
            <w:shd w:val="clear" w:color="auto" w:fill="F4F7FB"/>
            <w:vAlign w:val="top"/>
          </w:tcPr>
          <w:p>
            <w:pPr>
              <w:pStyle w:val="TableText"/>
              <w:jc w:val="left"/>
            </w:pPr>
            <w:r>
              <w:t xml:space="preserve">Navy #213368</w:t>
            </w:r>
          </w:p>
        </w:tc>
        <w:tc>
          <w:tcPr>
            <w:tcW w:w="2870" w:type="dxa"/>
            <w:shd w:val="clear" w:color="auto" w:fill="F4F7FB"/>
            <w:vAlign w:val="top"/>
          </w:tcPr>
          <w:p>
            <w:pPr>
              <w:pStyle w:val="TableText"/>
              <w:jc w:val="left"/>
            </w:pPr>
            <w:r>
              <w:t xml:space="preserve">Brand teal #6CC7C5</w:t>
            </w:r>
          </w:p>
        </w:tc>
        <w:tc>
          <w:tcPr>
            <w:tcW w:w="1066" w:type="dxa"/>
            <w:shd w:val="clear" w:color="auto" w:fill="F4F7FB"/>
            <w:vAlign w:val="top"/>
          </w:tcPr>
          <w:p>
            <w:pPr>
              <w:pStyle w:val="TableText"/>
              <w:jc w:val="left"/>
            </w:pPr>
            <w:r>
              <w:t xml:space="preserve">6.11:1</w:t>
            </w:r>
          </w:p>
        </w:tc>
        <w:tc>
          <w:tcPr>
            <w:tcW w:w="2303" w:type="dxa"/>
            <w:shd w:val="clear" w:color="auto" w:fill="F4F7FB"/>
            <w:vAlign w:val="top"/>
          </w:tcPr>
          <w:p>
            <w:pPr>
              <w:pStyle w:val="TableText"/>
              <w:jc w:val="left"/>
            </w:pPr>
            <w:r>
              <w:t xml:space="preserve">Passes AA</w:t>
            </w:r>
          </w:p>
        </w:tc>
      </w:tr>
      <w:tr>
        <w:trPr>
          <w:cantSplit/>
        </w:trPr>
        <w:tc>
          <w:tcPr>
            <w:tcW w:w="2788" w:type="dxa"/>
            <w:vAlign w:val="top"/>
          </w:tcPr>
          <w:p>
            <w:pPr>
              <w:pStyle w:val="TableText"/>
              <w:jc w:val="left"/>
            </w:pPr>
            <w:r>
              <w:t xml:space="preserve">White #FFFFFF</w:t>
            </w:r>
          </w:p>
        </w:tc>
        <w:tc>
          <w:tcPr>
            <w:tcW w:w="2870" w:type="dxa"/>
            <w:vAlign w:val="top"/>
          </w:tcPr>
          <w:p>
            <w:pPr>
              <w:pStyle w:val="TableText"/>
              <w:jc w:val="left"/>
            </w:pPr>
            <w:r>
              <w:t xml:space="preserve">Action teal #0F8482</w:t>
            </w:r>
          </w:p>
        </w:tc>
        <w:tc>
          <w:tcPr>
            <w:tcW w:w="1066" w:type="dxa"/>
            <w:vAlign w:val="top"/>
          </w:tcPr>
          <w:p>
            <w:pPr>
              <w:pStyle w:val="TableText"/>
              <w:jc w:val="left"/>
            </w:pPr>
            <w:r>
              <w:t xml:space="preserve">4.52:1</w:t>
            </w:r>
          </w:p>
        </w:tc>
        <w:tc>
          <w:tcPr>
            <w:tcW w:w="2303" w:type="dxa"/>
            <w:vAlign w:val="top"/>
          </w:tcPr>
          <w:p>
            <w:pPr>
              <w:pStyle w:val="TableText"/>
              <w:jc w:val="left"/>
            </w:pPr>
            <w:r>
              <w:t xml:space="preserve">Passes AA</w:t>
            </w:r>
          </w:p>
        </w:tc>
      </w:tr>
      <w:tr>
        <w:trPr>
          <w:cantSplit/>
        </w:trPr>
        <w:tc>
          <w:tcPr>
            <w:tcW w:w="2788" w:type="dxa"/>
            <w:shd w:val="clear" w:color="auto" w:fill="F4F7FB"/>
            <w:vAlign w:val="top"/>
          </w:tcPr>
          <w:p>
            <w:pPr>
              <w:pStyle w:val="TableText"/>
              <w:jc w:val="left"/>
            </w:pPr>
            <w:r>
              <w:t xml:space="preserve">Link teal #0B6B66</w:t>
            </w:r>
          </w:p>
        </w:tc>
        <w:tc>
          <w:tcPr>
            <w:tcW w:w="2870" w:type="dxa"/>
            <w:shd w:val="clear" w:color="auto" w:fill="F4F7FB"/>
            <w:vAlign w:val="top"/>
          </w:tcPr>
          <w:p>
            <w:pPr>
              <w:pStyle w:val="TableText"/>
              <w:jc w:val="left"/>
            </w:pPr>
            <w:r>
              <w:t xml:space="preserve">White #FFFFFF</w:t>
            </w:r>
          </w:p>
        </w:tc>
        <w:tc>
          <w:tcPr>
            <w:tcW w:w="1066" w:type="dxa"/>
            <w:shd w:val="clear" w:color="auto" w:fill="F4F7FB"/>
            <w:vAlign w:val="top"/>
          </w:tcPr>
          <w:p>
            <w:pPr>
              <w:pStyle w:val="TableText"/>
              <w:jc w:val="left"/>
            </w:pPr>
            <w:r>
              <w:t xml:space="preserve">6.35:1</w:t>
            </w:r>
          </w:p>
        </w:tc>
        <w:tc>
          <w:tcPr>
            <w:tcW w:w="2303" w:type="dxa"/>
            <w:shd w:val="clear" w:color="auto" w:fill="F4F7FB"/>
            <w:vAlign w:val="top"/>
          </w:tcPr>
          <w:p>
            <w:pPr>
              <w:pStyle w:val="TableText"/>
              <w:jc w:val="left"/>
            </w:pPr>
            <w:r>
              <w:t xml:space="preserve">Passes AA</w:t>
            </w:r>
          </w:p>
        </w:tc>
      </w:tr>
      <w:tr>
        <w:trPr>
          <w:cantSplit/>
        </w:trPr>
        <w:tc>
          <w:tcPr>
            <w:tcW w:w="2788" w:type="dxa"/>
            <w:vAlign w:val="top"/>
          </w:tcPr>
          <w:p>
            <w:pPr>
              <w:pStyle w:val="TableText"/>
              <w:jc w:val="left"/>
            </w:pPr>
            <w:r>
              <w:t xml:space="preserve">Link teal #0B6B66</w:t>
            </w:r>
          </w:p>
        </w:tc>
        <w:tc>
          <w:tcPr>
            <w:tcW w:w="2870" w:type="dxa"/>
            <w:vAlign w:val="top"/>
          </w:tcPr>
          <w:p>
            <w:pPr>
              <w:pStyle w:val="TableText"/>
              <w:jc w:val="left"/>
            </w:pPr>
            <w:r>
              <w:t xml:space="preserve">Page #F5F6F8</w:t>
            </w:r>
          </w:p>
        </w:tc>
        <w:tc>
          <w:tcPr>
            <w:tcW w:w="1066" w:type="dxa"/>
            <w:vAlign w:val="top"/>
          </w:tcPr>
          <w:p>
            <w:pPr>
              <w:pStyle w:val="TableText"/>
              <w:jc w:val="left"/>
            </w:pPr>
            <w:r>
              <w:t xml:space="preserve">5.87:1</w:t>
            </w:r>
          </w:p>
        </w:tc>
        <w:tc>
          <w:tcPr>
            <w:tcW w:w="2303" w:type="dxa"/>
            <w:vAlign w:val="top"/>
          </w:tcPr>
          <w:p>
            <w:pPr>
              <w:pStyle w:val="TableText"/>
              <w:jc w:val="left"/>
            </w:pPr>
            <w:r>
              <w:t xml:space="preserve">Passes AA</w:t>
            </w:r>
          </w:p>
        </w:tc>
      </w:tr>
      <w:tr>
        <w:trPr>
          <w:cantSplit/>
        </w:trPr>
        <w:tc>
          <w:tcPr>
            <w:tcW w:w="2788" w:type="dxa"/>
            <w:shd w:val="clear" w:color="auto" w:fill="F4F7FB"/>
            <w:vAlign w:val="top"/>
          </w:tcPr>
          <w:p>
            <w:pPr>
              <w:pStyle w:val="TableText"/>
              <w:jc w:val="left"/>
            </w:pPr>
            <w:r>
              <w:t xml:space="preserve">Navy #213368</w:t>
            </w:r>
          </w:p>
        </w:tc>
        <w:tc>
          <w:tcPr>
            <w:tcW w:w="2870" w:type="dxa"/>
            <w:shd w:val="clear" w:color="auto" w:fill="F4F7FB"/>
            <w:vAlign w:val="top"/>
          </w:tcPr>
          <w:p>
            <w:pPr>
              <w:pStyle w:val="TableText"/>
              <w:jc w:val="left"/>
            </w:pPr>
            <w:r>
              <w:t xml:space="preserve">Active nav tint #E5F5F5</w:t>
            </w:r>
          </w:p>
        </w:tc>
        <w:tc>
          <w:tcPr>
            <w:tcW w:w="1066" w:type="dxa"/>
            <w:shd w:val="clear" w:color="auto" w:fill="F4F7FB"/>
            <w:vAlign w:val="top"/>
          </w:tcPr>
          <w:p>
            <w:pPr>
              <w:pStyle w:val="TableText"/>
              <w:jc w:val="left"/>
            </w:pPr>
            <w:r>
              <w:t xml:space="preserve">10.77:1</w:t>
            </w:r>
          </w:p>
        </w:tc>
        <w:tc>
          <w:tcPr>
            <w:tcW w:w="2303" w:type="dxa"/>
            <w:shd w:val="clear" w:color="auto" w:fill="F4F7FB"/>
            <w:vAlign w:val="top"/>
          </w:tcPr>
          <w:p>
            <w:pPr>
              <w:pStyle w:val="TableText"/>
              <w:jc w:val="left"/>
            </w:pPr>
            <w:r>
              <w:t xml:space="preserve">Passes AAA</w:t>
            </w:r>
          </w:p>
        </w:tc>
      </w:tr>
      <w:tr>
        <w:trPr>
          <w:cantSplit/>
        </w:trPr>
        <w:tc>
          <w:tcPr>
            <w:tcW w:w="2788" w:type="dxa"/>
            <w:vAlign w:val="top"/>
          </w:tcPr>
          <w:p>
            <w:pPr>
              <w:pStyle w:val="TableText"/>
              <w:jc w:val="left"/>
            </w:pPr>
            <w:r>
              <w:t xml:space="preserve">Subtle text #667085</w:t>
            </w:r>
          </w:p>
        </w:tc>
        <w:tc>
          <w:tcPr>
            <w:tcW w:w="2870" w:type="dxa"/>
            <w:vAlign w:val="top"/>
          </w:tcPr>
          <w:p>
            <w:pPr>
              <w:pStyle w:val="TableText"/>
              <w:jc w:val="left"/>
            </w:pPr>
            <w:r>
              <w:t xml:space="preserve">Page #F5F6F8</w:t>
            </w:r>
          </w:p>
        </w:tc>
        <w:tc>
          <w:tcPr>
            <w:tcW w:w="1066" w:type="dxa"/>
            <w:vAlign w:val="top"/>
          </w:tcPr>
          <w:p>
            <w:pPr>
              <w:pStyle w:val="TableText"/>
              <w:jc w:val="left"/>
            </w:pPr>
            <w:r>
              <w:t xml:space="preserve">4.60:1</w:t>
            </w:r>
          </w:p>
        </w:tc>
        <w:tc>
          <w:tcPr>
            <w:tcW w:w="2303" w:type="dxa"/>
            <w:vAlign w:val="top"/>
          </w:tcPr>
          <w:p>
            <w:pPr>
              <w:pStyle w:val="TableText"/>
              <w:jc w:val="left"/>
            </w:pPr>
            <w:r>
              <w:t xml:space="preserve">Passes AA</w:t>
            </w:r>
          </w:p>
        </w:tc>
      </w:tr>
      <w:tr>
        <w:trPr>
          <w:cantSplit/>
        </w:trPr>
        <w:tc>
          <w:tcPr>
            <w:tcW w:w="2788" w:type="dxa"/>
            <w:shd w:val="clear" w:color="auto" w:fill="F4F7FB"/>
            <w:vAlign w:val="top"/>
          </w:tcPr>
          <w:p>
            <w:pPr>
              <w:pStyle w:val="TableText"/>
              <w:jc w:val="left"/>
            </w:pPr>
            <w:r>
              <w:t xml:space="preserve">Deep navy #0E1A3D</w:t>
            </w:r>
          </w:p>
        </w:tc>
        <w:tc>
          <w:tcPr>
            <w:tcW w:w="2870" w:type="dxa"/>
            <w:shd w:val="clear" w:color="auto" w:fill="F4F7FB"/>
            <w:vAlign w:val="top"/>
          </w:tcPr>
          <w:p>
            <w:pPr>
              <w:pStyle w:val="TableText"/>
              <w:jc w:val="left"/>
            </w:pPr>
            <w:r>
              <w:t xml:space="preserve">Brand teal #6CC7C5 (dark buttons)</w:t>
            </w:r>
          </w:p>
        </w:tc>
        <w:tc>
          <w:tcPr>
            <w:tcW w:w="1066" w:type="dxa"/>
            <w:shd w:val="clear" w:color="auto" w:fill="F4F7FB"/>
            <w:vAlign w:val="top"/>
          </w:tcPr>
          <w:p>
            <w:pPr>
              <w:pStyle w:val="TableText"/>
              <w:jc w:val="left"/>
            </w:pPr>
            <w:r>
              <w:t xml:space="preserve">8.60:1</w:t>
            </w:r>
          </w:p>
        </w:tc>
        <w:tc>
          <w:tcPr>
            <w:tcW w:w="2303" w:type="dxa"/>
            <w:shd w:val="clear" w:color="auto" w:fill="F4F7FB"/>
            <w:vAlign w:val="top"/>
          </w:tcPr>
          <w:p>
            <w:pPr>
              <w:pStyle w:val="TableText"/>
              <w:jc w:val="left"/>
            </w:pPr>
            <w:r>
              <w:t xml:space="preserve">Passes AAA</w:t>
            </w:r>
          </w:p>
        </w:tc>
      </w:tr>
      <w:tr>
        <w:trPr>
          <w:cantSplit/>
        </w:trPr>
        <w:tc>
          <w:tcPr>
            <w:tcW w:w="2788" w:type="dxa"/>
            <w:vAlign w:val="top"/>
          </w:tcPr>
          <w:p>
            <w:pPr>
              <w:pStyle w:val="TableText"/>
              <w:jc w:val="left"/>
            </w:pPr>
            <w:r>
              <w:t xml:space="preserve">Subtle text #8F9CB8</w:t>
            </w:r>
          </w:p>
        </w:tc>
        <w:tc>
          <w:tcPr>
            <w:tcW w:w="2870" w:type="dxa"/>
            <w:vAlign w:val="top"/>
          </w:tcPr>
          <w:p>
            <w:pPr>
              <w:pStyle w:val="TableText"/>
              <w:jc w:val="left"/>
            </w:pPr>
            <w:r>
              <w:t xml:space="preserve">Dark card #111D3F</w:t>
            </w:r>
          </w:p>
        </w:tc>
        <w:tc>
          <w:tcPr>
            <w:tcW w:w="1066" w:type="dxa"/>
            <w:vAlign w:val="top"/>
          </w:tcPr>
          <w:p>
            <w:pPr>
              <w:pStyle w:val="TableText"/>
              <w:jc w:val="left"/>
            </w:pPr>
            <w:r>
              <w:t xml:space="preserve">5.99:1</w:t>
            </w:r>
          </w:p>
        </w:tc>
        <w:tc>
          <w:tcPr>
            <w:tcW w:w="2303" w:type="dxa"/>
            <w:vAlign w:val="top"/>
          </w:tcPr>
          <w:p>
            <w:pPr>
              <w:pStyle w:val="TableText"/>
              <w:jc w:val="left"/>
            </w:pPr>
            <w:r>
              <w:t xml:space="preserve">Passes AA</w:t>
            </w:r>
          </w:p>
        </w:tc>
      </w:tr>
      <w:tr>
        <w:trPr>
          <w:cantSplit/>
        </w:trPr>
        <w:tc>
          <w:tcPr>
            <w:tcW w:w="2788" w:type="dxa"/>
            <w:shd w:val="clear" w:color="auto" w:fill="F4F7FB"/>
            <w:vAlign w:val="top"/>
          </w:tcPr>
          <w:p>
            <w:pPr>
              <w:pStyle w:val="TableText"/>
              <w:jc w:val="left"/>
            </w:pPr>
            <w:r>
              <w:t xml:space="preserve">Action teal #0F8482 (focus line)</w:t>
            </w:r>
          </w:p>
        </w:tc>
        <w:tc>
          <w:tcPr>
            <w:tcW w:w="2870" w:type="dxa"/>
            <w:shd w:val="clear" w:color="auto" w:fill="F4F7FB"/>
            <w:vAlign w:val="top"/>
          </w:tcPr>
          <w:p>
            <w:pPr>
              <w:pStyle w:val="TableText"/>
              <w:jc w:val="left"/>
            </w:pPr>
            <w:r>
              <w:t xml:space="preserve">White #FFFFFF</w:t>
            </w:r>
          </w:p>
        </w:tc>
        <w:tc>
          <w:tcPr>
            <w:tcW w:w="1066" w:type="dxa"/>
            <w:shd w:val="clear" w:color="auto" w:fill="F4F7FB"/>
            <w:vAlign w:val="top"/>
          </w:tcPr>
          <w:p>
            <w:pPr>
              <w:pStyle w:val="TableText"/>
              <w:jc w:val="left"/>
            </w:pPr>
            <w:r>
              <w:t xml:space="preserve">4.52:1</w:t>
            </w:r>
          </w:p>
        </w:tc>
        <w:tc>
          <w:tcPr>
            <w:tcW w:w="2303" w:type="dxa"/>
            <w:shd w:val="clear" w:color="auto" w:fill="F4F7FB"/>
            <w:vAlign w:val="top"/>
          </w:tcPr>
          <w:p>
            <w:pPr>
              <w:pStyle w:val="TableText"/>
              <w:jc w:val="left"/>
            </w:pPr>
            <w:r>
              <w:t xml:space="preserve">Passes the 3:1 non-text rule</w:t>
            </w:r>
          </w:p>
        </w:tc>
      </w:tr>
    </w:tbl>
    <w:p>
      <w:pPr>
        <w:pStyle w:val="Heading2"/>
      </w:pPr>
      <w:bookmarkStart w:id="69" w:name="_Toc300000065"/>
      <w:r>
        <w:t xml:space="preserve">Where things live</w:t>
      </w:r>
      <w:bookmarkEnd w:id="6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468"/>
        <w:gridCol w:w="5559"/>
      </w:tblGrid>
      <w:tr>
        <w:trPr>
          <w:cantSplit/>
          <w:tblHeader/>
        </w:trPr>
        <w:tc>
          <w:tcPr>
            <w:tcW w:w="3468" w:type="dxa"/>
            <w:shd w:val="clear" w:color="auto" w:fill="0F4761"/>
            <w:vAlign w:val="center"/>
          </w:tcPr>
          <w:p>
            <w:pPr>
              <w:pStyle w:val="TableHeading"/>
              <w:jc w:val="left"/>
            </w:pPr>
            <w:r>
              <w:rPr>
                <w:color w:val="FFFFFF"/>
              </w:rPr>
              <w:t xml:space="preserve">Item</w:t>
            </w:r>
          </w:p>
        </w:tc>
        <w:tc>
          <w:tcPr>
            <w:tcW w:w="5559" w:type="dxa"/>
            <w:shd w:val="clear" w:color="auto" w:fill="0F4761"/>
            <w:vAlign w:val="center"/>
          </w:tcPr>
          <w:p>
            <w:pPr>
              <w:pStyle w:val="TableHeading"/>
              <w:jc w:val="left"/>
            </w:pPr>
            <w:r>
              <w:rPr>
                <w:color w:val="FFFFFF"/>
              </w:rPr>
              <w:t xml:space="preserve">Source</w:t>
            </w:r>
          </w:p>
        </w:tc>
      </w:tr>
      <w:tr>
        <w:trPr>
          <w:cantSplit/>
        </w:trPr>
        <w:tc>
          <w:tcPr>
            <w:tcW w:w="3468" w:type="dxa"/>
            <w:vAlign w:val="top"/>
          </w:tcPr>
          <w:p>
            <w:pPr>
              <w:pStyle w:val="TableText"/>
              <w:jc w:val="left"/>
            </w:pPr>
            <w:r>
              <w:t xml:space="preserve">Tokens and font declarations</w:t>
            </w:r>
          </w:p>
        </w:tc>
        <w:tc>
          <w:tcPr>
            <w:tcW w:w="5559" w:type="dxa"/>
            <w:vAlign w:val="top"/>
          </w:tcPr>
          <w:p>
            <w:pPr>
              <w:pStyle w:val="TableText"/>
              <w:jc w:val="left"/>
            </w:pPr>
            <w:r>
              <w:rPr>
                <w:rStyle w:val="CodeChar"/>
              </w:rPr>
              <w:t xml:space="preserve">public/css/tokens.css</w:t>
            </w:r>
          </w:p>
        </w:tc>
      </w:tr>
      <w:tr>
        <w:trPr>
          <w:cantSplit/>
        </w:trPr>
        <w:tc>
          <w:tcPr>
            <w:tcW w:w="3468" w:type="dxa"/>
            <w:shd w:val="clear" w:color="auto" w:fill="F4F7FB"/>
            <w:vAlign w:val="top"/>
          </w:tcPr>
          <w:p>
            <w:pPr>
              <w:pStyle w:val="TableText"/>
              <w:jc w:val="left"/>
            </w:pPr>
            <w:r>
              <w:t xml:space="preserve">Console components and brand layer</w:t>
            </w:r>
          </w:p>
        </w:tc>
        <w:tc>
          <w:tcPr>
            <w:tcW w:w="5559" w:type="dxa"/>
            <w:shd w:val="clear" w:color="auto" w:fill="F4F7FB"/>
            <w:vAlign w:val="top"/>
          </w:tcPr>
          <w:p>
            <w:pPr>
              <w:pStyle w:val="TableText"/>
              <w:jc w:val="left"/>
            </w:pPr>
            <w:r>
              <w:rPr>
                <w:rStyle w:val="CodeChar"/>
              </w:rPr>
              <w:t xml:space="preserve">public/js/console/ui.js</w:t>
            </w:r>
            <w:r>
              <w:t xml:space="preserve">,</w:t>
            </w:r>
            <w:r>
              <w:t xml:space="preserve"> </w:t>
            </w:r>
            <w:r>
              <w:rPr>
                <w:rStyle w:val="CodeChar"/>
              </w:rPr>
              <w:t xml:space="preserve">public/css/components.css</w:t>
            </w:r>
          </w:p>
        </w:tc>
      </w:tr>
      <w:tr>
        <w:trPr>
          <w:cantSplit/>
        </w:trPr>
        <w:tc>
          <w:tcPr>
            <w:tcW w:w="3468" w:type="dxa"/>
            <w:vAlign w:val="top"/>
          </w:tcPr>
          <w:p>
            <w:pPr>
              <w:pStyle w:val="TableText"/>
              <w:jc w:val="left"/>
            </w:pPr>
            <w:r>
              <w:t xml:space="preserve">Console shell and sign-in</w:t>
            </w:r>
          </w:p>
        </w:tc>
        <w:tc>
          <w:tcPr>
            <w:tcW w:w="5559" w:type="dxa"/>
            <w:vAlign w:val="top"/>
          </w:tcPr>
          <w:p>
            <w:pPr>
              <w:pStyle w:val="TableText"/>
              <w:jc w:val="left"/>
            </w:pPr>
            <w:r>
              <w:rPr>
                <w:rStyle w:val="CodeChar"/>
              </w:rPr>
              <w:t xml:space="preserve">public/js/console/main.js</w:t>
            </w:r>
            <w:r>
              <w:t xml:space="preserve">,</w:t>
            </w:r>
            <w:r>
              <w:t xml:space="preserve"> </w:t>
            </w:r>
            <w:r>
              <w:rPr>
                <w:rStyle w:val="CodeChar"/>
              </w:rPr>
              <w:t xml:space="preserve">public/css/console.css</w:t>
            </w:r>
          </w:p>
        </w:tc>
      </w:tr>
      <w:tr>
        <w:trPr>
          <w:cantSplit/>
        </w:trPr>
        <w:tc>
          <w:tcPr>
            <w:tcW w:w="3468" w:type="dxa"/>
            <w:shd w:val="clear" w:color="auto" w:fill="F4F7FB"/>
            <w:vAlign w:val="top"/>
          </w:tcPr>
          <w:p>
            <w:pPr>
              <w:pStyle w:val="TableText"/>
              <w:jc w:val="left"/>
            </w:pPr>
            <w:r>
              <w:t xml:space="preserve">Customer app components</w:t>
            </w:r>
          </w:p>
        </w:tc>
        <w:tc>
          <w:tcPr>
            <w:tcW w:w="5559" w:type="dxa"/>
            <w:shd w:val="clear" w:color="auto" w:fill="F4F7FB"/>
            <w:vAlign w:val="top"/>
          </w:tcPr>
          <w:p>
            <w:pPr>
              <w:pStyle w:val="TableText"/>
              <w:jc w:val="left"/>
            </w:pPr>
            <w:r>
              <w:rPr>
                <w:rStyle w:val="CodeChar"/>
              </w:rPr>
              <w:t xml:space="preserve">public/js/customer/app.js</w:t>
            </w:r>
            <w:r>
              <w:t xml:space="preserve">,</w:t>
            </w:r>
            <w:r>
              <w:t xml:space="preserve"> </w:t>
            </w:r>
            <w:r>
              <w:rPr>
                <w:rStyle w:val="CodeChar"/>
              </w:rPr>
              <w:t xml:space="preserve">public/css/customer.css</w:t>
            </w:r>
          </w:p>
        </w:tc>
      </w:tr>
      <w:tr>
        <w:trPr>
          <w:cantSplit/>
        </w:trPr>
        <w:tc>
          <w:tcPr>
            <w:tcW w:w="3468" w:type="dxa"/>
            <w:vAlign w:val="top"/>
          </w:tcPr>
          <w:p>
            <w:pPr>
              <w:pStyle w:val="TableText"/>
              <w:jc w:val="left"/>
            </w:pPr>
            <w:r>
              <w:t xml:space="preserve">Wordmark</w:t>
            </w:r>
          </w:p>
        </w:tc>
        <w:tc>
          <w:tcPr>
            <w:tcW w:w="5559" w:type="dxa"/>
            <w:vAlign w:val="top"/>
          </w:tcPr>
          <w:p>
            <w:pPr>
              <w:pStyle w:val="TableText"/>
              <w:jc w:val="left"/>
            </w:pPr>
            <w:r>
              <w:rPr>
                <w:rStyle w:val="CodeChar"/>
              </w:rPr>
              <w:t xml:space="preserve">public/js/shared/brand.js</w:t>
            </w:r>
          </w:p>
        </w:tc>
      </w:tr>
      <w:tr>
        <w:trPr>
          <w:cantSplit/>
        </w:trPr>
        <w:tc>
          <w:tcPr>
            <w:tcW w:w="3468" w:type="dxa"/>
            <w:shd w:val="clear" w:color="auto" w:fill="F4F7FB"/>
            <w:vAlign w:val="top"/>
          </w:tcPr>
          <w:p>
            <w:pPr>
              <w:pStyle w:val="TableText"/>
              <w:jc w:val="left"/>
            </w:pPr>
            <w:r>
              <w:t xml:space="preserve">Icons</w:t>
            </w:r>
          </w:p>
        </w:tc>
        <w:tc>
          <w:tcPr>
            <w:tcW w:w="5559" w:type="dxa"/>
            <w:shd w:val="clear" w:color="auto" w:fill="F4F7FB"/>
            <w:vAlign w:val="top"/>
          </w:tcPr>
          <w:p>
            <w:pPr>
              <w:pStyle w:val="TableText"/>
              <w:jc w:val="left"/>
            </w:pPr>
            <w:r>
              <w:rPr>
                <w:rStyle w:val="CodeChar"/>
              </w:rPr>
              <w:t xml:space="preserve">public/js/shared/icons.js</w:t>
            </w:r>
            <w:r>
              <w:t xml:space="preserve"> </w:t>
            </w:r>
            <w:r>
              <w:t xml:space="preserve">(Lucide, ISC licence)</w:t>
            </w:r>
          </w:p>
        </w:tc>
      </w:tr>
      <w:tr>
        <w:trPr>
          <w:cantSplit/>
        </w:trPr>
        <w:tc>
          <w:tcPr>
            <w:tcW w:w="3468" w:type="dxa"/>
            <w:vAlign w:val="top"/>
          </w:tcPr>
          <w:p>
            <w:pPr>
              <w:pStyle w:val="TableText"/>
              <w:jc w:val="left"/>
            </w:pPr>
            <w:r>
              <w:t xml:space="preserve">Labels in Vietnamese and English</w:t>
            </w:r>
          </w:p>
        </w:tc>
        <w:tc>
          <w:tcPr>
            <w:tcW w:w="5559" w:type="dxa"/>
            <w:vAlign w:val="top"/>
          </w:tcPr>
          <w:p>
            <w:pPr>
              <w:pStyle w:val="TableText"/>
              <w:jc w:val="left"/>
            </w:pPr>
            <w:r>
              <w:rPr>
                <w:rStyle w:val="CodeChar"/>
              </w:rPr>
              <w:t xml:space="preserve">public/js/shared/i18n.js</w:t>
            </w:r>
          </w:p>
        </w:tc>
      </w:tr>
      <w:tr>
        <w:trPr>
          <w:cantSplit/>
        </w:trPr>
        <w:tc>
          <w:tcPr>
            <w:tcW w:w="3468" w:type="dxa"/>
            <w:shd w:val="clear" w:color="auto" w:fill="F4F7FB"/>
            <w:vAlign w:val="top"/>
          </w:tcPr>
          <w:p>
            <w:pPr>
              <w:pStyle w:val="TableText"/>
              <w:jc w:val="left"/>
            </w:pPr>
            <w:r>
              <w:t xml:space="preserve">Fonts and licences</w:t>
            </w:r>
          </w:p>
        </w:tc>
        <w:tc>
          <w:tcPr>
            <w:tcW w:w="5559" w:type="dxa"/>
            <w:shd w:val="clear" w:color="auto" w:fill="F4F7FB"/>
            <w:vAlign w:val="top"/>
          </w:tcPr>
          <w:p>
            <w:pPr>
              <w:pStyle w:val="TableText"/>
              <w:jc w:val="left"/>
            </w:pPr>
            <w:r>
              <w:rPr>
                <w:rStyle w:val="CodeChar"/>
              </w:rPr>
              <w:t xml:space="preserve">public/fonts</w:t>
            </w:r>
            <w:r>
              <w:t xml:space="preserve"> </w:t>
            </w:r>
            <w:r>
              <w:t xml:space="preserve">(Lexend and Inter, SIL OFL)</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0" w:name="_Toc300000066"/>
      <w:r>
        <w:rPr>
          <w:rStyle w:val="BookTitle"/>
          <w:bCs w:val="0"/>
          <w:i w:val="0"/>
          <w:iCs w:val="0"/>
          <w:spacing w:val="0"/>
        </w:rPr>
        <w:t xml:space="preserve">Sign-Off</w:t>
      </w:r>
      <w:bookmarkEnd w:id="7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227"/>
        <w:gridCol w:w="1856"/>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227"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856"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2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Official TASCO Insurance logo files (vector and PNG, colour and white versions) supplied by TASCO marketing to replace the stand-in wordmark</w:t>
            </w:r>
          </w:p>
        </w:tc>
        <w:tc>
          <w:tcPr>
            <w:tcW w:w="18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Marketing</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2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Brand colours confirmed: navy #213368 and brand teal #6CC7C5, with the darker action teal #0F8482 and link teal #0B6B66 used to meet contrast rules</w:t>
            </w:r>
          </w:p>
        </w:tc>
        <w:tc>
          <w:tcPr>
            <w:tcW w:w="18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Marketing</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2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Lexend confirmed as the brand typeface, or TASCO's own font files supplied with a licence for web use</w:t>
            </w:r>
          </w:p>
        </w:tc>
        <w:tc>
          <w:tcPr>
            <w:tcW w:w="18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Marketing</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2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Co-brand lock-up "TASCO × VETC" in the VETC app and the Zalo Mini App approved</w:t>
            </w:r>
          </w:p>
        </w:tc>
        <w:tc>
          <w:tcPr>
            <w:tcW w:w="18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Marketing and VETC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52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Abstract brand art on the staff sign-in page accepted in place of TASCO photography, or a licensed photograph supplied</w:t>
            </w:r>
          </w:p>
        </w:tc>
        <w:tc>
          <w:tcPr>
            <w:tcW w:w="18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Marketing</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03"/>
        <w:gridCol w:w="1422"/>
        <w:gridCol w:w="2228"/>
        <w:gridCol w:w="4474"/>
      </w:tblGrid>
      <w:tr w:rsidR="002B183A" w14:paraId="731A77C7" w14:textId="77777777" w:rsidTr="002923F3">
        <w:trPr>
          <w:cantSplit/>
          <w:trHeight w:val="440"/>
          <w:tblHeader/>
        </w:trPr>
        <w:tc>
          <w:tcPr>
            <w:tcW w:w="903"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422"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22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4474"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90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22"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2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47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90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22"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2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47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Marketing and Product Owner</w:t>
            </w:r>
          </w:p>
        </w:tc>
      </w:tr>
      <w:tr w:rsidR="002B183A" w:rsidRPr="00BB346A" w14:paraId="2AD1806B" w14:textId="77777777" w:rsidTr="002923F3">
        <w:trPr>
          <w:cantSplit/>
          <w:trHeight w:val="760"/>
        </w:trPr>
        <w:tc>
          <w:tcPr>
            <w:tcW w:w="90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22"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2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447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Analysis and User Experience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 Id="rIdG4" Type="http://schemas.openxmlformats.org/officeDocument/2006/relationships/image" Target="media/body_004.png"/><Relationship Id="rIdG5" Type="http://schemas.openxmlformats.org/officeDocument/2006/relationships/image" Target="media/body_005.png"/><Relationship Id="rIdG6" Type="http://schemas.openxmlformats.org/officeDocument/2006/relationships/image" Target="media/body_006.png"/><Relationship Id="rIdG7" Type="http://schemas.openxmlformats.org/officeDocument/2006/relationships/image" Target="media/body_007.png"/><Relationship Id="rIdG8" Type="http://schemas.openxmlformats.org/officeDocument/2006/relationships/image" Target="media/body_008.png"/><Relationship Id="rIdG9" Type="http://schemas.openxmlformats.org/officeDocument/2006/relationships/image" Target="media/body_009.png"/><Relationship Id="rIdG10" Type="http://schemas.openxmlformats.org/officeDocument/2006/relationships/image" Target="media/body_010.png"/><Relationship Id="rIdG11" Type="http://schemas.openxmlformats.org/officeDocument/2006/relationships/image" Target="media/body_011.png"/><Relationship Id="rIdG12" Type="http://schemas.openxmlformats.org/officeDocument/2006/relationships/hyperlink" Target="mailto:info@baohiemtasco.vn" TargetMode="External"/><Relationship Id="rIdG13" Type="http://schemas.openxmlformats.org/officeDocument/2006/relationships/image" Target="media/body_012.png"/><Relationship Id="rIdG14" Type="http://schemas.openxmlformats.org/officeDocument/2006/relationships/image" Target="media/body_013.png"/><Relationship Id="rIdG15" Type="http://schemas.openxmlformats.org/officeDocument/2006/relationships/image" Target="media/body_014.png"/><Relationship Id="rIdG16" Type="http://schemas.openxmlformats.org/officeDocument/2006/relationships/image" Target="media/body_015.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System</dc:title>
  <dc:subject>TGP-UX-01</dc:subject>
  <dc:creator>iorta TechNXT</dc:creator>
  <cp:keywords>TGP-UX-01; TASCO Insurance; iorta TechNXT</cp:keywords>
  <dc:description>TASCO Motor Insurance Growth Platform</dc:description>
  <cp:lastModifiedBy>iorta TechNXT</cp:lastModifiedBy>
  <cp:revision>1</cp:revision>
  <dcterms:created xsi:type="dcterms:W3CDTF">2026-10-08T02:23:49Z</dcterms:created>
  <dcterms:modified xsi:type="dcterms:W3CDTF">2026-10-08T02:23:49Z</dcterms:modified>
</cp:coreProperties>
</file>