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C0552E"/>
          <w:sz w:val="30"/>
          <w:szCs w:val="30"/>
        </w:rPr>
        <w:t xml:space="preserve">Canton Collective</w:t>
      </w:r>
    </w:p>
    <w:p>
      <w:pPr>
        <w:spacing w:after="40"/>
      </w:pPr>
      <w:r>
        <w:rPr>
          <w:b/>
          <w:bCs/>
          <w:color w:val="1F3A5F"/>
          <w:sz w:val="52"/>
          <w:szCs w:val="52"/>
        </w:rPr>
        <w:t xml:space="preserve">Conversion Rate Optimization — Action Plan</w:t>
      </w:r>
    </w:p>
    <w:p>
      <w:pPr>
        <w:spacing w:after="240"/>
      </w:pPr>
      <w:r>
        <w:rPr>
          <w:color w:val="5F5E5A"/>
          <w:sz w:val="26"/>
          <w:szCs w:val="26"/>
        </w:rPr>
        <w:t xml:space="preserve">A mobile-first roadmap to the break-even point</w:t>
      </w:r>
    </w:p>
    <w:p>
      <w:pPr>
        <w:pBdr>
          <w:bottom w:val="single" w:color="C0552E" w:sz="6" w:space="4"/>
        </w:pBdr>
      </w:pPr>
      <w:r>
        <w:t xml:space="preserve"/>
      </w:r>
    </w:p>
    <w:p>
      <w:pPr>
        <w:spacing w:before="200"/>
      </w:pPr>
      <w:r>
        <w:rPr>
          <w:color w:val="5F5E5A"/>
          <w:sz w:val="20"/>
          <w:szCs w:val="20"/>
        </w:rPr>
        <w:t xml:space="preserve">Prepared June 23, 2026</w:t>
      </w:r>
    </w:p>
    <w:p>
      <w:r>
        <w:rPr>
          <w:color w:val="5F5E5A"/>
          <w:sz w:val="18"/>
          <w:szCs w:val="18"/>
        </w:rPr>
        <w:t xml:space="preserve">Scope: cantoncollective.com (USD, Advanced plan). Data window: last 30 days + weekly report May 11 – Jun 21, 2026.</w:t>
      </w:r>
    </w:p>
    <w:p>
      <w:r>
        <w:rPr>
          <w:i/>
          <w:iCs/>
          <w:color w:val="5F5E5A"/>
          <w:sz w:val="18"/>
          <w:szCs w:val="18"/>
        </w:rPr>
        <w:t xml:space="preserve">Note: every live change below (theme edits, checkout settings, Klaviyo sends) is proposed for your sign-off before execution.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Canton Collective does not have a traffic problem or a product problem. Traffic grew about 7% over the last six weeks and AOV climbed to roughly $106. The single thing holding the store back is </w:t>
      </w:r>
      <w:r>
        <w:rPr>
          <w:b/>
          <w:bCs/>
        </w:rPr>
        <w:t xml:space="preserve">conversion</w:t>
      </w:r>
      <w:r>
        <w:t xml:space="preserve">, and conversion is almost entirely a </w:t>
      </w:r>
      <w:r>
        <w:rPr>
          <w:b/>
          <w:bCs/>
        </w:rPr>
        <w:t xml:space="preserve">mobile</w:t>
      </w:r>
      <w:r>
        <w:t xml:space="preserve"> problem.</w:t>
      </w:r>
    </w:p>
    <w:p>
      <w:pPr>
        <w:spacing w:after="120"/>
      </w:pPr>
      <w:r>
        <w:t xml:space="preserve">Over the last 30 days, mobile carried </w:t>
      </w:r>
      <w:r>
        <w:rPr>
          <w:b/>
          <w:bCs/>
        </w:rPr>
        <w:t xml:space="preserve">94% of all sessions</w:t>
      </w:r>
      <w:r>
        <w:t xml:space="preserve"> (108,818 of 115,802) yet converted at just </w:t>
      </w:r>
      <w:r>
        <w:rPr>
          <w:b/>
          <w:bCs/>
        </w:rPr>
        <w:t xml:space="preserve">0.43%</w:t>
      </w:r>
      <w:r>
        <w:t xml:space="preserve">, while desktop — a thin 5% of traffic — converted at </w:t>
      </w:r>
      <w:r>
        <w:rPr>
          <w:b/>
          <w:bCs/>
        </w:rPr>
        <w:t xml:space="preserve">1.42%</w:t>
      </w:r>
      <w:r>
        <w:t xml:space="preserve">, more than three times higher. The leak is concentrated at the very top of the mobile funnel: mobile visitors add to cart at 3.5% of sessions versus desktop's 7.9%. In short, the mobile storefront is losing shoppers before they ever reach the cart.</w:t>
      </w:r>
    </w:p>
    <w:p>
      <w:pPr>
        <w:spacing w:after="120"/>
      </w:pPr>
      <w:r>
        <w:t xml:space="preserve">This matters because of the math you set: at a $39,000/month ad ceiling, 60% gross margin, and $20,000/month fixed costs, the store breaks even at </w:t>
      </w:r>
      <w:r>
        <w:rPr>
          <w:b/>
          <w:bCs/>
        </w:rPr>
        <w:t xml:space="preserve">$98,300/month in GMV</w:t>
      </w:r>
      <w:r>
        <w:t xml:space="preserve"> — about </w:t>
      </w:r>
      <w:r>
        <w:rPr>
          <w:b/>
          <w:bCs/>
        </w:rPr>
        <w:t xml:space="preserve">+42% above the current ~$69,000 run-rate</w:t>
      </w:r>
      <w:r>
        <w:t xml:space="preserve">. That entire gap can be closed through conversion alone, with no extra ad spend, by fixing mobile.</w:t>
      </w:r>
    </w:p>
    <w:p>
      <w:pPr>
        <w:spacing w:after="120"/>
      </w:pPr>
      <w:r>
        <w:t xml:space="preserve">The target is concrete and achievable: lift blended conversion from </w:t>
      </w:r>
      <w:r>
        <w:rPr>
          <w:b/>
          <w:bCs/>
        </w:rPr>
        <w:t xml:space="preserve">0.56% to 0.80%</w:t>
      </w:r>
      <w:r>
        <w:t xml:space="preserve">. Holding desktop steady, that means moving </w:t>
      </w:r>
      <w:r>
        <w:rPr>
          <w:b/>
          <w:bCs/>
        </w:rPr>
        <w:t xml:space="preserve">mobile conversion from 0.43% to 0.77%</w:t>
      </w:r>
      <w:r>
        <w:t xml:space="preserve"> — still only about half of desktop's rate, i.e. closing roughly a third of the mobile-to-desktop gap. This plan is the prioritized path to get there.</w:t>
      </w:r>
    </w:p>
    <w:p>
      <w:pPr>
        <w:pStyle w:val="Heading2"/>
      </w:pPr>
      <w:r>
        <w:t xml:space="preserve">The four findings driving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Finding</w:t>
            </w:r>
          </w:p>
        </w:tc>
        <w:tc>
          <w:tcPr>
            <w:tcW w:type="dxa" w:w="6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What the data shows</w:t>
            </w:r>
          </w:p>
        </w:tc>
      </w:tr>
      <w:tr>
        <w:trPr>
          <w:tblHeader w:val="false"/>
        </w:trPr>
        <w:tc>
          <w:tcPr>
            <w:tcW w:type="dxa" w:w="260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bCs/>
                <w:color w:val="000000"/>
                <w:sz w:val="18"/>
                <w:szCs w:val="18"/>
              </w:rPr>
              <w:t xml:space="preserve">Mobile conversion crisis</w:t>
            </w:r>
          </w:p>
        </w:tc>
        <w:tc>
          <w:tcPr>
            <w:tcW w:type="dxa" w:w="676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94% of traffic is mobile at 0.43% vs 1.42% on desktop. This is the whole problem.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8"/>
                <w:szCs w:val="18"/>
              </w:rPr>
              <w:t xml:space="preserve">Browse → cart is the leak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Mobile adds to cart at 3.5% of sessions vs 7.9% on desktop. Shoppers leave before the cart.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8"/>
                <w:szCs w:val="18"/>
              </w:rPr>
              <w:t xml:space="preserve">Cross-border friction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70% of sessions are US shoppers buying from a Singapore-based store — shipping time, duties and trust create hesitation.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8"/>
                <w:szCs w:val="18"/>
              </w:rPr>
              <w:t xml:space="preserve">Weak retention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Returning-customer rate is only 11.5% and email is barely used (~$0.8k attributed). Every order is bought fresh with ad dollars.</w:t>
            </w:r>
          </w:p>
        </w:tc>
      </w:tr>
    </w:tbl>
    <w:p>
      <w:r>
        <w:br w:type="page"/>
      </w:r>
    </w:p>
    <w:p>
      <w:pPr>
        <w:pStyle w:val="Heading1"/>
      </w:pPr>
      <w:r>
        <w:t xml:space="preserve">2. The diagnosis</w:t>
      </w:r>
    </w:p>
    <w:p>
      <w:pPr>
        <w:pStyle w:val="Heading2"/>
      </w:pPr>
      <w:r>
        <w:t xml:space="preserve">2.1 Conversion, not traffic, is the constraint</w:t>
      </w:r>
    </w:p>
    <w:p>
      <w:pPr>
        <w:spacing w:after="120"/>
      </w:pPr>
      <w:r>
        <w:t xml:space="preserve">Across the six-week window, sessions rose from ~24,200 to ~25,900/week and AOV rose ~9.5% to $107. Over the same span conversion fell from 0.61% to 0.42% — a 30% relative decline. Because traffic and basket size were both moving in the right direction, the drop in conversion is what pulled weekly GMV from $16.0k down to $13.9k. The store's own weekly report flagged “conversion collapse (browse→cart)” twice.</w:t>
      </w:r>
    </w:p>
    <w:p>
      <w:pPr>
        <w:pStyle w:val="Heading2"/>
      </w:pPr>
      <w:r>
        <w:t xml:space="preserve">2.2 The leak lives on mobile</w:t>
      </w:r>
    </w:p>
    <w:p>
      <w:pPr>
        <w:spacing w:after="120"/>
      </w:pPr>
      <w:r>
        <w:t xml:space="preserve">Splitting the last 30 days by device makes the cause unmistakable: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20"/>
        <w:gridCol w:w="1820"/>
        <w:gridCol w:w="182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Device</w:t>
            </w:r>
          </w:p>
        </w:tc>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Share of sessions</w:t>
            </w:r>
          </w:p>
        </w:tc>
        <w:tc>
          <w:tcPr>
            <w:tcW w:type="dxa" w:w="18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Conversion rate</w:t>
            </w:r>
          </w:p>
        </w:tc>
        <w:tc>
          <w:tcPr>
            <w:tcW w:type="dxa" w:w="18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Add-to-cart rate</w:t>
            </w:r>
          </w:p>
        </w:tc>
        <w:tc>
          <w:tcPr>
            <w:tcW w:type="dxa" w:w="18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Reached checkout</w:t>
            </w:r>
          </w:p>
        </w:tc>
      </w:tr>
      <w:tr>
        <w:trPr>
          <w:tblHeader w:val="false"/>
        </w:trPr>
        <w:tc>
          <w:tcPr>
            <w:tcW w:type="dxa" w:w="240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bCs/>
                <w:color w:val="000000"/>
                <w:sz w:val="18"/>
                <w:szCs w:val="18"/>
              </w:rPr>
              <w:t xml:space="preserve">Mobile</w:t>
            </w:r>
          </w:p>
        </w:tc>
        <w:tc>
          <w:tcPr>
            <w:tcW w:type="dxa" w:w="150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94.0%</w:t>
            </w:r>
          </w:p>
        </w:tc>
        <w:tc>
          <w:tcPr>
            <w:tcW w:type="dxa" w:w="182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0.43%</w:t>
            </w:r>
          </w:p>
        </w:tc>
        <w:tc>
          <w:tcPr>
            <w:tcW w:type="dxa" w:w="182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3.5%</w:t>
            </w:r>
          </w:p>
        </w:tc>
        <w:tc>
          <w:tcPr>
            <w:tcW w:type="dxa" w:w="182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1.1%</w:t>
            </w:r>
          </w:p>
        </w:tc>
      </w:tr>
      <w:tr>
        <w:trPr>
          <w:tblHeader w:val="false"/>
        </w:trPr>
        <w:tc>
          <w:tcPr>
            <w:tcW w:type="dxa" w:w="240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bCs/>
                <w:color w:val="000000"/>
                <w:sz w:val="18"/>
                <w:szCs w:val="18"/>
              </w:rPr>
              <w:t xml:space="preserve">Desktop</w:t>
            </w:r>
          </w:p>
        </w:tc>
        <w:tc>
          <w:tcPr>
            <w:tcW w:type="dxa" w:w="150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5.5%</w:t>
            </w:r>
          </w:p>
        </w:tc>
        <w:tc>
          <w:tcPr>
            <w:tcW w:type="dxa" w:w="182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1.42%</w:t>
            </w:r>
          </w:p>
        </w:tc>
        <w:tc>
          <w:tcPr>
            <w:tcW w:type="dxa" w:w="182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7.9%</w:t>
            </w:r>
          </w:p>
        </w:tc>
        <w:tc>
          <w:tcPr>
            <w:tcW w:type="dxa" w:w="182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3.5%</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Tablet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0.6%</w:t>
            </w:r>
          </w:p>
        </w:tc>
        <w:tc>
          <w:tcPr>
            <w:tcW w:type="dxa" w:w="18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0.46%</w:t>
            </w:r>
          </w:p>
        </w:tc>
        <w:tc>
          <w:tcPr>
            <w:tcW w:type="dxa" w:w="18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4.6%</w:t>
            </w:r>
          </w:p>
        </w:tc>
        <w:tc>
          <w:tcPr>
            <w:tcW w:type="dxa" w:w="182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1.2%</w:t>
            </w:r>
          </w:p>
        </w:tc>
      </w:tr>
    </w:tbl>
    <w:p>
      <w:pPr>
        <w:spacing w:after="120"/>
      </w:pPr>
      <w:r>
        <w:t xml:space="preserve">Mobile and desktop complete checkout at a similar rate once they get there (~40%), so the final payment step is not the main villain. The damage is done earlier — on the mobile product page and the step into the cart. That points squarely at mobile page experience: speed, the buy box, variant selection, and trust signals.</w:t>
      </w:r>
    </w:p>
    <w:p>
      <w:pPr>
        <w:pStyle w:val="Heading2"/>
      </w:pPr>
      <w:r>
        <w:t xml:space="preserve">2.3 Where each visitor is lost (mobile funnel)</w:t>
      </w:r>
    </w:p>
    <w:p>
      <w:pPr>
        <w:spacing w:after="120"/>
      </w:pPr>
      <w:r>
        <w:t xml:space="preserve">For every 1,000 mobile sessions:</w:t>
      </w:r>
    </w:p>
    <w:p>
      <w:pPr>
        <w:pStyle w:val="ListParagraph"/>
        <w:numPr>
          <w:ilvl w:val="0"/>
          <w:numId w:val="2"/>
        </w:numPr>
        <w:spacing w:after="60"/>
      </w:pPr>
      <w:r>
        <w:rPr>
          <w:b/>
          <w:bCs/>
        </w:rPr>
        <w:t xml:space="preserve">~35 add to cart</w:t>
      </w:r>
      <w:r>
        <w:t xml:space="preserve"> — 965 leave on the product or collection page (the biggest single leak).</w:t>
      </w:r>
    </w:p>
    <w:p>
      <w:pPr>
        <w:pStyle w:val="ListParagraph"/>
        <w:numPr>
          <w:ilvl w:val="0"/>
          <w:numId w:val="2"/>
        </w:numPr>
        <w:spacing w:after="60"/>
      </w:pPr>
      <w:r>
        <w:rPr>
          <w:b/>
          <w:bCs/>
        </w:rPr>
        <w:t xml:space="preserve">~11 reach checkout</w:t>
      </w:r>
      <w:r>
        <w:t xml:space="preserve"> — about two-thirds of carts never start checkout.</w:t>
      </w:r>
    </w:p>
    <w:p>
      <w:pPr>
        <w:pStyle w:val="ListParagraph"/>
        <w:numPr>
          <w:ilvl w:val="0"/>
          <w:numId w:val="2"/>
        </w:numPr>
        <w:spacing w:after="60"/>
      </w:pPr>
      <w:r>
        <w:rPr>
          <w:b/>
          <w:bCs/>
        </w:rPr>
        <w:t xml:space="preserve">~4 complete the purchase</w:t>
      </w:r>
      <w:r>
        <w:t xml:space="preserve"> — roughly 60% abandon during checkout.</w:t>
      </w:r>
    </w:p>
    <w:p>
      <w:pPr>
        <w:spacing w:after="120"/>
      </w:pPr>
      <w:r>
        <w:t xml:space="preserve">Closing even part of the first two gaps is where the break-even revenue comes from.</w:t>
      </w:r>
    </w:p>
    <w:p>
      <w:pPr>
        <w:pStyle w:val="Heading2"/>
      </w:pPr>
      <w:r>
        <w:t xml:space="preserve">2.4 Cross-border context</w:t>
      </w:r>
    </w:p>
    <w:p>
      <w:pPr>
        <w:spacing w:after="120"/>
      </w:pPr>
      <w:r>
        <w:t xml:space="preserve">Traffic is led by the United States (81,232 sessions, ~70%), then Australia, Japan, the UK, South Korea and Germany. The store is based in Singapore and prices in USD. For a US shopper, an Asia-based indie store raises predictable questions — how long will shipping take, will I be charged customs, can I return it. Answering these clearly and early is itself a conversion lever, especially on mobile where attention is short.</w:t>
      </w:r>
    </w:p>
    <w:p>
      <w:r>
        <w:br w:type="page"/>
      </w:r>
    </w:p>
    <w:p>
      <w:pPr>
        <w:pStyle w:val="Heading1"/>
      </w:pPr>
      <w:r>
        <w:t xml:space="preserve">3. The break-even target</w:t>
      </w:r>
    </w:p>
    <w:p>
      <w:pPr>
        <w:spacing w:after="120"/>
      </w:pPr>
      <w:r>
        <w:t xml:space="preserve">Your inputs: gross margin 60%, ad ceiling $39,000/month (to scale as ROAS improves), fixed costs $20,000/month.</w:t>
      </w:r>
    </w:p>
    <w:p>
      <w:pPr>
        <w:spacing w:after="120"/>
      </w:pPr>
      <w:r>
        <w:rPr>
          <w:b/>
          <w:bCs/>
        </w:rPr>
        <w:t xml:space="preserve">Break-even GMV = ($39,000 + $20,000) ÷ 0.60 = $98,300/month.</w:t>
      </w:r>
      <w:r>
        <w:t xml:space="preserve"> Current run-rate is ~$69,000, so the store needs about +42% more GMV. With traffic and AOV already healthy, the cleanest lever is conversion — and because ad spend is fixed, every incremental order drops almost entirely to gross profit.</w:t>
      </w:r>
    </w:p>
    <w:p>
      <w:pPr>
        <w:pStyle w:val="Heading2"/>
      </w:pPr>
      <w:r>
        <w:t xml:space="preserve">3.1 The conversion ladder</w:t>
      </w:r>
    </w:p>
    <w:p>
      <w:pPr>
        <w:spacing w:after="120"/>
      </w:pPr>
      <w:r>
        <w:t xml:space="preserve">Holding sessions at ~115,800/month and AOV at $106, here is what each conversion level produces. “Net” is gross profit minus the full $39k ads + $20k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30"/>
        <w:gridCol w:w="243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Blended conv.</w:t>
            </w:r>
          </w:p>
        </w:tc>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Implied mobile conv.</w:t>
            </w:r>
          </w:p>
        </w:tc>
        <w:tc>
          <w:tcPr>
            <w:tcW w:type="dxa" w:w="243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Monthly GMV</w:t>
            </w:r>
          </w:p>
        </w:tc>
        <w:tc>
          <w:tcPr>
            <w:tcW w:type="dxa" w:w="243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Net after ads + fixed</w:t>
            </w:r>
          </w:p>
        </w:tc>
      </w:tr>
      <w:tr>
        <w:trPr>
          <w:tblHeader w:val="false"/>
        </w:trPr>
        <w:tc>
          <w:tcPr>
            <w:tcW w:type="dxa" w:w="190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0.56% (today)</w:t>
            </w:r>
          </w:p>
        </w:tc>
        <w:tc>
          <w:tcPr>
            <w:tcW w:type="dxa" w:w="260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0.43%</w:t>
            </w:r>
          </w:p>
        </w:tc>
        <w:tc>
          <w:tcPr>
            <w:tcW w:type="dxa" w:w="243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$68,800</w:t>
            </w:r>
          </w:p>
        </w:tc>
        <w:tc>
          <w:tcPr>
            <w:tcW w:type="dxa" w:w="2430"/>
            <w:tcBorders>
              <w:top w:val="single" w:color="CCCCCC" w:sz="1"/>
              <w:left w:val="single" w:color="CCCCCC" w:sz="1"/>
              <w:bottom w:val="single" w:color="CCCCCC" w:sz="1"/>
              <w:right w:val="single" w:color="CCCCCC" w:sz="1"/>
            </w:tcBorders>
            <w:shd w:fill="FCEBEB" w:val="clear"/>
            <w:tcMar>
              <w:top w:type="dxa" w:w="60"/>
              <w:left w:type="dxa" w:w="110"/>
              <w:bottom w:type="dxa" w:w="60"/>
              <w:right w:type="dxa" w:w="110"/>
            </w:tcMar>
          </w:tcPr>
          <w:p>
            <w:pPr>
              <w:jc w:val="left"/>
            </w:pPr>
            <w:r>
              <w:rPr>
                <w:b w:val="false"/>
                <w:bCs w:val="false"/>
                <w:color w:val="000000"/>
                <w:sz w:val="18"/>
                <w:szCs w:val="18"/>
              </w:rPr>
              <w:t xml:space="preserve">–$17,700</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0.62%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0.51%</w:t>
            </w:r>
          </w:p>
        </w:tc>
        <w:tc>
          <w:tcPr>
            <w:tcW w:type="dxa" w:w="24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$76,100</w:t>
            </w:r>
          </w:p>
        </w:tc>
        <w:tc>
          <w:tcPr>
            <w:tcW w:type="dxa" w:w="24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–$13,300</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0.68%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0.59%</w:t>
            </w:r>
          </w:p>
        </w:tc>
        <w:tc>
          <w:tcPr>
            <w:tcW w:type="dxa" w:w="24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$83,500</w:t>
            </w:r>
          </w:p>
        </w:tc>
        <w:tc>
          <w:tcPr>
            <w:tcW w:type="dxa" w:w="24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–$8,900</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0.74%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0.68%</w:t>
            </w:r>
          </w:p>
        </w:tc>
        <w:tc>
          <w:tcPr>
            <w:tcW w:type="dxa" w:w="24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$90,900</w:t>
            </w:r>
          </w:p>
        </w:tc>
        <w:tc>
          <w:tcPr>
            <w:tcW w:type="dxa" w:w="24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–$4,500</w:t>
            </w:r>
          </w:p>
        </w:tc>
      </w:tr>
      <w:tr>
        <w:trPr>
          <w:tblHeader w:val="false"/>
        </w:trPr>
        <w:tc>
          <w:tcPr>
            <w:tcW w:type="dxa" w:w="190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0.80% (break-even)</w:t>
            </w:r>
          </w:p>
        </w:tc>
        <w:tc>
          <w:tcPr>
            <w:tcW w:type="dxa" w:w="260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0.77%</w:t>
            </w:r>
          </w:p>
        </w:tc>
        <w:tc>
          <w:tcPr>
            <w:tcW w:type="dxa" w:w="243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$98,200</w:t>
            </w:r>
          </w:p>
        </w:tc>
        <w:tc>
          <w:tcPr>
            <w:tcW w:type="dxa" w:w="243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val="false"/>
                <w:bCs w:val="false"/>
                <w:color w:val="000000"/>
                <w:sz w:val="18"/>
                <w:szCs w:val="18"/>
              </w:rPr>
              <w:t xml:space="preserve">~$0</w:t>
            </w:r>
          </w:p>
        </w:tc>
      </w:tr>
    </w:tbl>
    <w:p>
      <w:pPr>
        <w:spacing w:after="120"/>
      </w:pPr>
      <w:r>
        <w:t xml:space="preserve">The break-even mobile conversion of 0.77% is still only ~54% of what desktop already does, so the goal is realistic. Beyond break-even, the same fixed-ad-spend dynamic means profit scales quickly: at 0.90% blended conversion the store would clear roughly +$13k/month before any ad increase.</w:t>
      </w:r>
    </w:p>
    <w:p>
      <w:r>
        <w:br w:type="page"/>
      </w:r>
    </w:p>
    <w:p>
      <w:pPr>
        <w:pStyle w:val="Heading1"/>
      </w:pPr>
      <w:r>
        <w:t xml:space="preserve">4. The CRO action plan</w:t>
      </w:r>
    </w:p>
    <w:p>
      <w:pPr>
        <w:spacing w:after="120"/>
      </w:pPr>
      <w:r>
        <w:t xml:space="preserve">Actions are grouped into three tiers by sequence and leverage. Tier 1 attacks the mobile browse→cart leak (the largest), Tier 2 fixes the cart→checkout step and cross-border trust, and Tier 3 builds the retention and AOV engine that compounds over time. Each action notes the expected impact, the effort, and the suggested owner.</w:t>
      </w:r>
    </w:p>
    <w:p>
      <w:pPr>
        <w:pStyle w:val="Heading2"/>
      </w:pPr>
      <w:r>
        <w:t xml:space="preserve">Tier 1 — Mobile browse → cart (Weeks 1–3, highest leverage)</w:t>
      </w:r>
    </w:p>
    <w:p>
      <w:pPr>
        <w:spacing w:after="120"/>
      </w:pPr>
      <w:r>
        <w:t xml:space="preserve">Goal: lift mobile add-to-cart rate from 3.5% toward desktop's 7.9%. This tier alone should move blended conversion most of the way to break-even.</w:t>
      </w:r>
    </w:p>
    <w:p>
      <w:pPr>
        <w:pStyle w:val="Heading3"/>
      </w:pPr>
      <w:r>
        <w:t xml:space="preserve">1.1 Fix mobile page speed</w:t>
      </w:r>
    </w:p>
    <w:p>
      <w:pPr>
        <w:pStyle w:val="ListParagraph"/>
        <w:numPr>
          <w:ilvl w:val="0"/>
          <w:numId w:val="2"/>
        </w:numPr>
        <w:spacing w:after="60"/>
      </w:pPr>
      <w:r>
        <w:rPr>
          <w:b/>
          <w:bCs/>
        </w:rPr>
        <w:t xml:space="preserve">Why:</w:t>
      </w:r>
      <w:r>
        <w:t xml:space="preserve"> On mobile, every additional second of load time sheds add-to-cart rate. A 0.43% mobile rate with healthy traffic is the classic signature of a slow or janky mobile PDP.</w:t>
      </w:r>
    </w:p>
    <w:p>
      <w:pPr>
        <w:pStyle w:val="ListParagraph"/>
        <w:numPr>
          <w:ilvl w:val="0"/>
          <w:numId w:val="2"/>
        </w:numPr>
        <w:spacing w:after="60"/>
      </w:pPr>
      <w:r>
        <w:rPr>
          <w:b/>
          <w:bCs/>
        </w:rPr>
        <w:t xml:space="preserve">Do:</w:t>
      </w:r>
      <w:r>
        <w:t xml:space="preserve"> Run the Shopify Online Store → Speed report and a mobile PageSpeed test on the homepage and a top PDP. Target Largest Contentful Paint under 2.5s. Audit installed apps and remove/defer any that inject render-blocking scripts; lazy-load below-the-fold images (your images are already .webp, which is good); cap hero image weight.</w:t>
      </w:r>
    </w:p>
    <w:p>
      <w:pPr>
        <w:pStyle w:val="ListParagraph"/>
        <w:numPr>
          <w:ilvl w:val="0"/>
          <w:numId w:val="2"/>
        </w:numPr>
        <w:spacing w:after="60"/>
      </w:pPr>
      <w:r>
        <w:rPr>
          <w:b/>
          <w:bCs/>
        </w:rPr>
        <w:t xml:space="preserve">Impact:</w:t>
      </w:r>
      <w:r>
        <w:t xml:space="preserve"> High · </w:t>
      </w:r>
      <w:r>
        <w:rPr>
          <w:b/>
          <w:bCs/>
        </w:rPr>
        <w:t xml:space="preserve">Effort:</w:t>
      </w:r>
      <w:r>
        <w:t xml:space="preserve"> Medium · </w:t>
      </w:r>
      <w:r>
        <w:rPr>
          <w:b/>
          <w:bCs/>
        </w:rPr>
        <w:t xml:space="preserve">Owner:</w:t>
      </w:r>
      <w:r>
        <w:t xml:space="preserve"> Dev / theme</w:t>
      </w:r>
    </w:p>
    <w:p>
      <w:pPr>
        <w:pStyle w:val="Heading3"/>
      </w:pPr>
      <w:r>
        <w:t xml:space="preserve">1.2 Sticky add-to-cart and an above-the-fold buy box</w:t>
      </w:r>
    </w:p>
    <w:p>
      <w:pPr>
        <w:pStyle w:val="ListParagraph"/>
        <w:numPr>
          <w:ilvl w:val="0"/>
          <w:numId w:val="2"/>
        </w:numPr>
        <w:spacing w:after="60"/>
      </w:pPr>
      <w:r>
        <w:rPr>
          <w:b/>
          <w:bCs/>
        </w:rPr>
        <w:t xml:space="preserve">Why:</w:t>
      </w:r>
      <w:r>
        <w:t xml:space="preserve"> If a mobile shopper has to scroll past long editorial copy to find the size selector and the buy button, most never do. The product detail is good — but it should not sit between the visitor and the cart.</w:t>
      </w:r>
    </w:p>
    <w:p>
      <w:pPr>
        <w:pStyle w:val="ListParagraph"/>
        <w:numPr>
          <w:ilvl w:val="0"/>
          <w:numId w:val="2"/>
        </w:numPr>
        <w:spacing w:after="60"/>
      </w:pPr>
      <w:r>
        <w:rPr>
          <w:b/>
          <w:bCs/>
        </w:rPr>
        <w:t xml:space="preserve">Do:</w:t>
      </w:r>
      <w:r>
        <w:t xml:space="preserve"> Add a persistent sticky add-to-cart bar on mobile PDPs (price + variant + ATC always visible). Ensure price, rating, and the ATC button appear within the first mobile screen.</w:t>
      </w:r>
    </w:p>
    <w:p>
      <w:pPr>
        <w:pStyle w:val="ListParagraph"/>
        <w:numPr>
          <w:ilvl w:val="0"/>
          <w:numId w:val="2"/>
        </w:numPr>
        <w:spacing w:after="60"/>
      </w:pPr>
      <w:r>
        <w:rPr>
          <w:b/>
          <w:bCs/>
        </w:rPr>
        <w:t xml:space="preserve">Impact:</w:t>
      </w:r>
      <w:r>
        <w:t xml:space="preserve"> High · </w:t>
      </w:r>
      <w:r>
        <w:rPr>
          <w:b/>
          <w:bCs/>
        </w:rPr>
        <w:t xml:space="preserve">Effort:</w:t>
      </w:r>
      <w:r>
        <w:t xml:space="preserve"> Low–Medium · </w:t>
      </w:r>
      <w:r>
        <w:rPr>
          <w:b/>
          <w:bCs/>
        </w:rPr>
        <w:t xml:space="preserve">Owner:</w:t>
      </w:r>
      <w:r>
        <w:t xml:space="preserve"> Theme</w:t>
      </w:r>
    </w:p>
    <w:p>
      <w:pPr>
        <w:pStyle w:val="Heading3"/>
      </w:pPr>
      <w:r>
        <w:t xml:space="preserve">1.3 Make variant selection effortless</w:t>
      </w:r>
    </w:p>
    <w:p>
      <w:pPr>
        <w:pStyle w:val="ListParagraph"/>
        <w:numPr>
          <w:ilvl w:val="0"/>
          <w:numId w:val="2"/>
        </w:numPr>
        <w:spacing w:after="60"/>
      </w:pPr>
      <w:r>
        <w:rPr>
          <w:b/>
          <w:bCs/>
        </w:rPr>
        <w:t xml:space="preserve">Why:</w:t>
      </w:r>
      <w:r>
        <w:t xml:space="preserve"> Catalog items carry many variants (e.g. up to 12 size/color combinations). On mobile, dropdown pickers and unclear out-of-stock states are a common silent drop-off.</w:t>
      </w:r>
    </w:p>
    <w:p>
      <w:pPr>
        <w:pStyle w:val="ListParagraph"/>
        <w:numPr>
          <w:ilvl w:val="0"/>
          <w:numId w:val="2"/>
        </w:numPr>
        <w:spacing w:after="60"/>
      </w:pPr>
      <w:r>
        <w:rPr>
          <w:b/>
          <w:bCs/>
        </w:rPr>
        <w:t xml:space="preserve">Do:</w:t>
      </w:r>
      <w:r>
        <w:t xml:space="preserve"> Use tappable color swatches and size chips (not dropdowns), grey-out unavailable combinations, and add a clear size guide link near the selector. Pre-select nothing only if inventory is broad; otherwise default to the in-stock variant.</w:t>
      </w:r>
    </w:p>
    <w:p>
      <w:pPr>
        <w:pStyle w:val="ListParagraph"/>
        <w:numPr>
          <w:ilvl w:val="0"/>
          <w:numId w:val="2"/>
        </w:numPr>
        <w:spacing w:after="60"/>
      </w:pPr>
      <w:r>
        <w:rPr>
          <w:b/>
          <w:bCs/>
        </w:rPr>
        <w:t xml:space="preserve">Impact:</w:t>
      </w:r>
      <w:r>
        <w:t xml:space="preserve"> Medium–High · </w:t>
      </w:r>
      <w:r>
        <w:rPr>
          <w:b/>
          <w:bCs/>
        </w:rPr>
        <w:t xml:space="preserve">Effort:</w:t>
      </w:r>
      <w:r>
        <w:t xml:space="preserve"> Medium · </w:t>
      </w:r>
      <w:r>
        <w:rPr>
          <w:b/>
          <w:bCs/>
        </w:rPr>
        <w:t xml:space="preserve">Owner:</w:t>
      </w:r>
      <w:r>
        <w:t xml:space="preserve"> Theme / merchandising</w:t>
      </w:r>
    </w:p>
    <w:p>
      <w:pPr>
        <w:pStyle w:val="Heading3"/>
      </w:pPr>
      <w:r>
        <w:t xml:space="preserve">1.4 Match the ad creative to the landing page</w:t>
      </w:r>
    </w:p>
    <w:p>
      <w:pPr>
        <w:pStyle w:val="ListParagraph"/>
        <w:numPr>
          <w:ilvl w:val="0"/>
          <w:numId w:val="2"/>
        </w:numPr>
        <w:spacing w:after="60"/>
      </w:pPr>
      <w:r>
        <w:rPr>
          <w:b/>
          <w:bCs/>
        </w:rPr>
        <w:t xml:space="preserve">Why:</w:t>
      </w:r>
      <w:r>
        <w:t xml:space="preserve"> Most traffic arrives from TikTok / Xiaohongshu / Instagram with a specific look in mind. If the tapped ad lands on a generic collection or a mismatched PDP, intent evaporates before the cart.</w:t>
      </w:r>
    </w:p>
    <w:p>
      <w:pPr>
        <w:pStyle w:val="ListParagraph"/>
        <w:numPr>
          <w:ilvl w:val="0"/>
          <w:numId w:val="2"/>
        </w:numPr>
        <w:spacing w:after="60"/>
      </w:pPr>
      <w:r>
        <w:rPr>
          <w:b/>
          <w:bCs/>
        </w:rPr>
        <w:t xml:space="preserve">Do:</w:t>
      </w:r>
      <w:r>
        <w:t xml:space="preserve"> Send each drop's paid and social traffic to a dedicated PDP or a tightly-curated landing page that shows the exact item from the creative, above the fold, with the same styling. Audit your top-spend ads for creative→landing consistency.</w:t>
      </w:r>
    </w:p>
    <w:p>
      <w:pPr>
        <w:pStyle w:val="ListParagraph"/>
        <w:numPr>
          <w:ilvl w:val="0"/>
          <w:numId w:val="2"/>
        </w:numPr>
        <w:spacing w:after="60"/>
      </w:pPr>
      <w:r>
        <w:rPr>
          <w:b/>
          <w:bCs/>
        </w:rPr>
        <w:t xml:space="preserve">Impact:</w:t>
      </w:r>
      <w:r>
        <w:t xml:space="preserve"> High · </w:t>
      </w:r>
      <w:r>
        <w:rPr>
          <w:b/>
          <w:bCs/>
        </w:rPr>
        <w:t xml:space="preserve">Effort:</w:t>
      </w:r>
      <w:r>
        <w:t xml:space="preserve"> Low · </w:t>
      </w:r>
      <w:r>
        <w:rPr>
          <w:b/>
          <w:bCs/>
        </w:rPr>
        <w:t xml:space="preserve">Owner:</w:t>
      </w:r>
      <w:r>
        <w:t xml:space="preserve"> Media / content</w:t>
      </w:r>
    </w:p>
    <w:p>
      <w:pPr>
        <w:pStyle w:val="Heading3"/>
      </w:pPr>
      <w:r>
        <w:t xml:space="preserve">1.5 Slide-out cart with a free-shipping progress bar</w:t>
      </w:r>
    </w:p>
    <w:p>
      <w:pPr>
        <w:pStyle w:val="ListParagraph"/>
        <w:numPr>
          <w:ilvl w:val="0"/>
          <w:numId w:val="2"/>
        </w:numPr>
        <w:spacing w:after="60"/>
      </w:pPr>
      <w:r>
        <w:rPr>
          <w:b/>
          <w:bCs/>
        </w:rPr>
        <w:t xml:space="preserve">Why:</w:t>
      </w:r>
      <w:r>
        <w:t xml:space="preserve"> A full-page redirect to the cart loses momentum on mobile; a drawer keeps shoppers browsing. The progress bar nudges AOV at the same time.</w:t>
      </w:r>
    </w:p>
    <w:p>
      <w:pPr>
        <w:pStyle w:val="ListParagraph"/>
        <w:numPr>
          <w:ilvl w:val="0"/>
          <w:numId w:val="2"/>
        </w:numPr>
        <w:spacing w:after="60"/>
      </w:pPr>
      <w:r>
        <w:rPr>
          <w:b/>
          <w:bCs/>
        </w:rPr>
        <w:t xml:space="preserve">Do:</w:t>
      </w:r>
      <w:r>
        <w:t xml:space="preserve"> Enable an AJAX cart drawer that confirms the add without a page reload and shows “You’re $X away from free shipping.”</w:t>
      </w:r>
    </w:p>
    <w:p>
      <w:pPr>
        <w:pStyle w:val="ListParagraph"/>
        <w:numPr>
          <w:ilvl w:val="0"/>
          <w:numId w:val="2"/>
        </w:numPr>
        <w:spacing w:after="60"/>
      </w:pPr>
      <w:r>
        <w:rPr>
          <w:b/>
          <w:bCs/>
        </w:rPr>
        <w:t xml:space="preserve">Impact:</w:t>
      </w:r>
      <w:r>
        <w:t xml:space="preserve"> Medium · </w:t>
      </w:r>
      <w:r>
        <w:rPr>
          <w:b/>
          <w:bCs/>
        </w:rPr>
        <w:t xml:space="preserve">Effort:</w:t>
      </w:r>
      <w:r>
        <w:t xml:space="preserve"> Low–Medium · </w:t>
      </w:r>
      <w:r>
        <w:rPr>
          <w:b/>
          <w:bCs/>
        </w:rPr>
        <w:t xml:space="preserve">Owner:</w:t>
      </w:r>
      <w:r>
        <w:t xml:space="preserve"> Theme</w:t>
      </w:r>
    </w:p>
    <w:p>
      <w:pPr>
        <w:pStyle w:val="Heading2"/>
      </w:pPr>
      <w:r>
        <w:t xml:space="preserve">Tier 2 — Cart → checkout &amp; cross-border trust (Weeks 3–6)</w:t>
      </w:r>
    </w:p>
    <w:p>
      <w:pPr>
        <w:spacing w:after="120"/>
      </w:pPr>
      <w:r>
        <w:t xml:space="preserve">Goal: lift mobile cart→checkout from 30.6% toward desktop's 44.5%, and nudge checkout completion above 40%.</w:t>
      </w:r>
    </w:p>
    <w:p>
      <w:pPr>
        <w:pStyle w:val="Heading3"/>
      </w:pPr>
      <w:r>
        <w:t xml:space="preserve">2.1 Turn on accelerated mobile checkout</w:t>
      </w:r>
    </w:p>
    <w:p>
      <w:pPr>
        <w:pStyle w:val="ListParagraph"/>
        <w:numPr>
          <w:ilvl w:val="0"/>
          <w:numId w:val="2"/>
        </w:numPr>
        <w:spacing w:after="60"/>
      </w:pPr>
      <w:r>
        <w:rPr>
          <w:b/>
          <w:bCs/>
        </w:rPr>
        <w:t xml:space="preserve">Why:</w:t>
      </w:r>
      <w:r>
        <w:t xml:space="preserve"> On mobile, typing an address is the highest-friction moment. Wallet checkouts remove it almost entirely.</w:t>
      </w:r>
    </w:p>
    <w:p>
      <w:pPr>
        <w:pStyle w:val="ListParagraph"/>
        <w:numPr>
          <w:ilvl w:val="0"/>
          <w:numId w:val="2"/>
        </w:numPr>
        <w:spacing w:after="60"/>
      </w:pPr>
      <w:r>
        <w:rPr>
          <w:b/>
          <w:bCs/>
        </w:rPr>
        <w:t xml:space="preserve">Do:</w:t>
      </w:r>
      <w:r>
        <w:t xml:space="preserve"> Surface Shop Pay, Apple Pay, Google Pay and PayPal as express buttons on the PDP and in the cart drawer, above the standard checkout button. (Advanced plan supports all of these.)</w:t>
      </w:r>
    </w:p>
    <w:p>
      <w:pPr>
        <w:pStyle w:val="ListParagraph"/>
        <w:numPr>
          <w:ilvl w:val="0"/>
          <w:numId w:val="2"/>
        </w:numPr>
        <w:spacing w:after="60"/>
      </w:pPr>
      <w:r>
        <w:rPr>
          <w:b/>
          <w:bCs/>
        </w:rPr>
        <w:t xml:space="preserve">Impact:</w:t>
      </w:r>
      <w:r>
        <w:t xml:space="preserve"> High · </w:t>
      </w:r>
      <w:r>
        <w:rPr>
          <w:b/>
          <w:bCs/>
        </w:rPr>
        <w:t xml:space="preserve">Effort:</w:t>
      </w:r>
      <w:r>
        <w:t xml:space="preserve"> Low · </w:t>
      </w:r>
      <w:r>
        <w:rPr>
          <w:b/>
          <w:bCs/>
        </w:rPr>
        <w:t xml:space="preserve">Owner:</w:t>
      </w:r>
      <w:r>
        <w:t xml:space="preserve"> Theme / payments</w:t>
      </w:r>
    </w:p>
    <w:p>
      <w:pPr>
        <w:pStyle w:val="Heading3"/>
      </w:pPr>
      <w:r>
        <w:t xml:space="preserve">2.2 Make shipping, duties and returns explicit before checkout</w:t>
      </w:r>
    </w:p>
    <w:p>
      <w:pPr>
        <w:pStyle w:val="ListParagraph"/>
        <w:numPr>
          <w:ilvl w:val="0"/>
          <w:numId w:val="2"/>
        </w:numPr>
        <w:spacing w:after="60"/>
      </w:pPr>
      <w:r>
        <w:rPr>
          <w:b/>
          <w:bCs/>
        </w:rPr>
        <w:t xml:space="preserve">Why:</w:t>
      </w:r>
      <w:r>
        <w:t xml:space="preserve"> 70% US traffic from a Singapore store. Unanswered “when will it arrive / will I owe customs / can I return it” kills carts.</w:t>
      </w:r>
    </w:p>
    <w:p>
      <w:pPr>
        <w:pStyle w:val="ListParagraph"/>
        <w:numPr>
          <w:ilvl w:val="0"/>
          <w:numId w:val="2"/>
        </w:numPr>
        <w:spacing w:after="60"/>
      </w:pPr>
      <w:r>
        <w:rPr>
          <w:b/>
          <w:bCs/>
        </w:rPr>
        <w:t xml:space="preserve">Do:</w:t>
      </w:r>
      <w:r>
        <w:t xml:space="preserve"> Show a delivery-date estimate on the PDP, state your duties policy plainly (ideally duties-prepaid / DDP so there are no surprises at the door), and put a short returns line near the buy box. Add a thin trust strip (secure checkout, shipping, returns) on PDP and cart.</w:t>
      </w:r>
    </w:p>
    <w:p>
      <w:pPr>
        <w:pStyle w:val="ListParagraph"/>
        <w:numPr>
          <w:ilvl w:val="0"/>
          <w:numId w:val="2"/>
        </w:numPr>
        <w:spacing w:after="60"/>
      </w:pPr>
      <w:r>
        <w:rPr>
          <w:b/>
          <w:bCs/>
        </w:rPr>
        <w:t xml:space="preserve">Impact:</w:t>
      </w:r>
      <w:r>
        <w:t xml:space="preserve"> High · </w:t>
      </w:r>
      <w:r>
        <w:rPr>
          <w:b/>
          <w:bCs/>
        </w:rPr>
        <w:t xml:space="preserve">Effort:</w:t>
      </w:r>
      <w:r>
        <w:t xml:space="preserve"> Medium · </w:t>
      </w:r>
      <w:r>
        <w:rPr>
          <w:b/>
          <w:bCs/>
        </w:rPr>
        <w:t xml:space="preserve">Owner:</w:t>
      </w:r>
      <w:r>
        <w:t xml:space="preserve"> Ops / theme</w:t>
      </w:r>
    </w:p>
    <w:p>
      <w:pPr>
        <w:pStyle w:val="Heading3"/>
      </w:pPr>
      <w:r>
        <w:t xml:space="preserve">2.3 Streamline the checkout itself</w:t>
      </w:r>
    </w:p>
    <w:p>
      <w:pPr>
        <w:pStyle w:val="ListParagraph"/>
        <w:numPr>
          <w:ilvl w:val="0"/>
          <w:numId w:val="2"/>
        </w:numPr>
        <w:spacing w:after="60"/>
      </w:pPr>
      <w:r>
        <w:rPr>
          <w:b/>
          <w:bCs/>
        </w:rPr>
        <w:t xml:space="preserve">Why:</w:t>
      </w:r>
      <w:r>
        <w:t xml:space="preserve"> ~60% of shoppers who reach checkout still don’t finish. Field count and clarity matter most on mobile.</w:t>
      </w:r>
    </w:p>
    <w:p>
      <w:pPr>
        <w:pStyle w:val="ListParagraph"/>
        <w:numPr>
          <w:ilvl w:val="0"/>
          <w:numId w:val="2"/>
        </w:numPr>
        <w:spacing w:after="60"/>
      </w:pPr>
      <w:r>
        <w:rPr>
          <w:b/>
          <w:bCs/>
        </w:rPr>
        <w:t xml:space="preserve">Do:</w:t>
      </w:r>
      <w:r>
        <w:t xml:space="preserve"> Use one-page checkout, keep guest checkout default, minimize required fields, enable address autofill, and confirm the displayed shipping cost matches what was promised on the PDP. Review Shopify’s abandoned-checkout reasons.</w:t>
      </w:r>
    </w:p>
    <w:p>
      <w:pPr>
        <w:pStyle w:val="ListParagraph"/>
        <w:numPr>
          <w:ilvl w:val="0"/>
          <w:numId w:val="2"/>
        </w:numPr>
        <w:spacing w:after="60"/>
      </w:pPr>
      <w:r>
        <w:rPr>
          <w:b/>
          <w:bCs/>
        </w:rPr>
        <w:t xml:space="preserve">Impact:</w:t>
      </w:r>
      <w:r>
        <w:t xml:space="preserve"> Medium–High · </w:t>
      </w:r>
      <w:r>
        <w:rPr>
          <w:b/>
          <w:bCs/>
        </w:rPr>
        <w:t xml:space="preserve">Effort:</w:t>
      </w:r>
      <w:r>
        <w:t xml:space="preserve"> Low · </w:t>
      </w:r>
      <w:r>
        <w:rPr>
          <w:b/>
          <w:bCs/>
        </w:rPr>
        <w:t xml:space="preserve">Owner:</w:t>
      </w:r>
      <w:r>
        <w:t xml:space="preserve"> Checkout settings</w:t>
      </w:r>
    </w:p>
    <w:p>
      <w:pPr>
        <w:pStyle w:val="Heading3"/>
      </w:pPr>
      <w:r>
        <w:t xml:space="preserve">2.4 Add social proof at the decision point</w:t>
      </w:r>
    </w:p>
    <w:p>
      <w:pPr>
        <w:pStyle w:val="ListParagraph"/>
        <w:numPr>
          <w:ilvl w:val="0"/>
          <w:numId w:val="2"/>
        </w:numPr>
        <w:spacing w:after="60"/>
      </w:pPr>
      <w:r>
        <w:rPr>
          <w:b/>
          <w:bCs/>
        </w:rPr>
        <w:t xml:space="preserve">Why:</w:t>
      </w:r>
      <w:r>
        <w:t xml:space="preserve"> Indie multi-brand catalogs need reassurance the item is real and fits. Reviews and UGC reduce mobile hesitation.</w:t>
      </w:r>
    </w:p>
    <w:p>
      <w:pPr>
        <w:pStyle w:val="ListParagraph"/>
        <w:numPr>
          <w:ilvl w:val="0"/>
          <w:numId w:val="2"/>
        </w:numPr>
        <w:spacing w:after="60"/>
      </w:pPr>
      <w:r>
        <w:rPr>
          <w:b/>
          <w:bCs/>
        </w:rPr>
        <w:t xml:space="preserve">Do:</w:t>
      </w:r>
      <w:r>
        <w:t xml:space="preserve"> Add product reviews/photos and a “fits true to size” signal on PDPs. Seed with post-purchase review requests (see 3.1).</w:t>
      </w:r>
    </w:p>
    <w:p>
      <w:pPr>
        <w:pStyle w:val="ListParagraph"/>
        <w:numPr>
          <w:ilvl w:val="0"/>
          <w:numId w:val="2"/>
        </w:numPr>
        <w:spacing w:after="60"/>
      </w:pPr>
      <w:r>
        <w:rPr>
          <w:b/>
          <w:bCs/>
        </w:rPr>
        <w:t xml:space="preserve">Impact:</w:t>
      </w:r>
      <w:r>
        <w:t xml:space="preserve"> Medium · </w:t>
      </w:r>
      <w:r>
        <w:rPr>
          <w:b/>
          <w:bCs/>
        </w:rPr>
        <w:t xml:space="preserve">Effort:</w:t>
      </w:r>
      <w:r>
        <w:t xml:space="preserve"> Medium · </w:t>
      </w:r>
      <w:r>
        <w:rPr>
          <w:b/>
          <w:bCs/>
        </w:rPr>
        <w:t xml:space="preserve">Owner:</w:t>
      </w:r>
      <w:r>
        <w:t xml:space="preserve"> Merchandising</w:t>
      </w:r>
    </w:p>
    <w:p>
      <w:pPr>
        <w:pStyle w:val="Heading2"/>
      </w:pPr>
      <w:r>
        <w:t xml:space="preserve">Tier 3 — Retention, AOV &amp; a testing engine (Weeks 4–12)</w:t>
      </w:r>
    </w:p>
    <w:p>
      <w:pPr>
        <w:spacing w:after="120"/>
      </w:pPr>
      <w:r>
        <w:t xml:space="preserve">Goal: stop buying every order with ad dollars. Lift repeat rate above 11.5%, push AOV past $106, and institutionalize testing.</w:t>
      </w:r>
    </w:p>
    <w:p>
      <w:pPr>
        <w:pStyle w:val="Heading3"/>
      </w:pPr>
      <w:r>
        <w:t xml:space="preserve">3.1 Switch on the core Klaviyo flows</w:t>
      </w:r>
    </w:p>
    <w:p>
      <w:pPr>
        <w:pStyle w:val="ListParagraph"/>
        <w:numPr>
          <w:ilvl w:val="0"/>
          <w:numId w:val="2"/>
        </w:numPr>
        <w:spacing w:after="60"/>
      </w:pPr>
      <w:r>
        <w:rPr>
          <w:b/>
          <w:bCs/>
        </w:rPr>
        <w:t xml:space="preserve">Why:</w:t>
      </w:r>
      <w:r>
        <w:t xml:space="preserve"> Email is your most underused asset (~$0.8k attributed across six weeks). You already get ~1,157 mobile shoppers to checkout/month but only ~473 finish — those are recoverable with automation, at near-zero marginal cost.</w:t>
      </w:r>
    </w:p>
    <w:p>
      <w:pPr>
        <w:pStyle w:val="ListParagraph"/>
        <w:numPr>
          <w:ilvl w:val="0"/>
          <w:numId w:val="2"/>
        </w:numPr>
        <w:spacing w:after="60"/>
      </w:pPr>
      <w:r>
        <w:rPr>
          <w:b/>
          <w:bCs/>
        </w:rPr>
        <w:t xml:space="preserve">Do:</w:t>
      </w:r>
      <w:r>
        <w:t xml:space="preserve"> Launch (in priority order) abandoned-checkout, abandoned-cart, browse-abandonment, a welcome series with a first-order incentive, and a post-purchase flow (shipping updates → review request → replenish/cross-sell). These are drafted by Canton Collective and sent on your approval.</w:t>
      </w:r>
    </w:p>
    <w:p>
      <w:pPr>
        <w:pStyle w:val="ListParagraph"/>
        <w:numPr>
          <w:ilvl w:val="0"/>
          <w:numId w:val="2"/>
        </w:numPr>
        <w:spacing w:after="60"/>
      </w:pPr>
      <w:r>
        <w:rPr>
          <w:b/>
          <w:bCs/>
        </w:rPr>
        <w:t xml:space="preserve">Impact:</w:t>
      </w:r>
      <w:r>
        <w:t xml:space="preserve"> High · </w:t>
      </w:r>
      <w:r>
        <w:rPr>
          <w:b/>
          <w:bCs/>
        </w:rPr>
        <w:t xml:space="preserve">Effort:</w:t>
      </w:r>
      <w:r>
        <w:t xml:space="preserve"> Medium · </w:t>
      </w:r>
      <w:r>
        <w:rPr>
          <w:b/>
          <w:bCs/>
        </w:rPr>
        <w:t xml:space="preserve">Owner:</w:t>
      </w:r>
      <w:r>
        <w:t xml:space="preserve"> Email / lifecycle</w:t>
      </w:r>
    </w:p>
    <w:p>
      <w:pPr>
        <w:pStyle w:val="Heading3"/>
      </w:pPr>
      <w:r>
        <w:t xml:space="preserve">3.2 Lift AOV deliberately</w:t>
      </w:r>
    </w:p>
    <w:p>
      <w:pPr>
        <w:pStyle w:val="ListParagraph"/>
        <w:numPr>
          <w:ilvl w:val="0"/>
          <w:numId w:val="2"/>
        </w:numPr>
        <w:spacing w:after="60"/>
      </w:pPr>
      <w:r>
        <w:rPr>
          <w:b/>
          <w:bCs/>
        </w:rPr>
        <w:t xml:space="preserve">Why:</w:t>
      </w:r>
      <w:r>
        <w:t xml:space="preserve"> AOV is already rising; small structural nudges compound with no acquisition cost.</w:t>
      </w:r>
    </w:p>
    <w:p>
      <w:pPr>
        <w:pStyle w:val="ListParagraph"/>
        <w:numPr>
          <w:ilvl w:val="0"/>
          <w:numId w:val="2"/>
        </w:numPr>
        <w:spacing w:after="60"/>
      </w:pPr>
      <w:r>
        <w:rPr>
          <w:b/>
          <w:bCs/>
        </w:rPr>
        <w:t xml:space="preserve">Do:</w:t>
      </w:r>
      <w:r>
        <w:t xml:space="preserve"> Set a free-shipping threshold just above current AOV (~$120–130) and surface it via the cart progress bar; add “complete the look” cross-sells (e.g. MAMC hero dresses + an accessory); test simple two-item bundles on best-sellers.</w:t>
      </w:r>
    </w:p>
    <w:p>
      <w:pPr>
        <w:pStyle w:val="ListParagraph"/>
        <w:numPr>
          <w:ilvl w:val="0"/>
          <w:numId w:val="2"/>
        </w:numPr>
        <w:spacing w:after="60"/>
      </w:pPr>
      <w:r>
        <w:rPr>
          <w:b/>
          <w:bCs/>
        </w:rPr>
        <w:t xml:space="preserve">Impact:</w:t>
      </w:r>
      <w:r>
        <w:t xml:space="preserve"> Medium · </w:t>
      </w:r>
      <w:r>
        <w:rPr>
          <w:b/>
          <w:bCs/>
        </w:rPr>
        <w:t xml:space="preserve">Effort:</w:t>
      </w:r>
      <w:r>
        <w:t xml:space="preserve"> Low–Medium · </w:t>
      </w:r>
      <w:r>
        <w:rPr>
          <w:b/>
          <w:bCs/>
        </w:rPr>
        <w:t xml:space="preserve">Owner:</w:t>
      </w:r>
      <w:r>
        <w:t xml:space="preserve"> Merchandising</w:t>
      </w:r>
    </w:p>
    <w:p>
      <w:pPr>
        <w:pStyle w:val="Heading3"/>
      </w:pPr>
      <w:r>
        <w:t xml:space="preserve">3.3 Run one structured A/B test at a time</w:t>
      </w:r>
    </w:p>
    <w:p>
      <w:pPr>
        <w:pStyle w:val="ListParagraph"/>
        <w:numPr>
          <w:ilvl w:val="0"/>
          <w:numId w:val="2"/>
        </w:numPr>
        <w:spacing w:after="60"/>
      </w:pPr>
      <w:r>
        <w:rPr>
          <w:b/>
          <w:bCs/>
        </w:rPr>
        <w:t xml:space="preserve">Why:</w:t>
      </w:r>
      <w:r>
        <w:t xml:space="preserve"> CRO gains stick only when measured. With ~108k mobile sessions/month you have enough volume to test meaningfully.</w:t>
      </w:r>
    </w:p>
    <w:p>
      <w:pPr>
        <w:pStyle w:val="ListParagraph"/>
        <w:numPr>
          <w:ilvl w:val="0"/>
          <w:numId w:val="2"/>
        </w:numPr>
        <w:spacing w:after="60"/>
      </w:pPr>
      <w:r>
        <w:rPr>
          <w:b/>
          <w:bCs/>
        </w:rPr>
        <w:t xml:space="preserve">Do:</w:t>
      </w:r>
      <w:r>
        <w:t xml:space="preserve"> Prioritize mobile PDP tests first (sticky ATC, buy-box order, trust strip). Run one change at a time, define the metric and minimum runtime up front, and keep a test log. Protect margin — discount depth is already ~$2k/week, so prefer non-discount levers.</w:t>
      </w:r>
    </w:p>
    <w:p>
      <w:pPr>
        <w:pStyle w:val="ListParagraph"/>
        <w:numPr>
          <w:ilvl w:val="0"/>
          <w:numId w:val="2"/>
        </w:numPr>
        <w:spacing w:after="60"/>
      </w:pPr>
      <w:r>
        <w:rPr>
          <w:b/>
          <w:bCs/>
        </w:rPr>
        <w:t xml:space="preserve">Impact:</w:t>
      </w:r>
      <w:r>
        <w:t xml:space="preserve"> Compounding · </w:t>
      </w:r>
      <w:r>
        <w:rPr>
          <w:b/>
          <w:bCs/>
        </w:rPr>
        <w:t xml:space="preserve">Effort:</w:t>
      </w:r>
      <w:r>
        <w:t xml:space="preserve"> Medium · </w:t>
      </w:r>
      <w:r>
        <w:rPr>
          <w:b/>
          <w:bCs/>
        </w:rPr>
        <w:t xml:space="preserve">Owner:</w:t>
      </w:r>
      <w:r>
        <w:t xml:space="preserve"> CRO / analytics</w:t>
      </w:r>
    </w:p>
    <w:p>
      <w:r>
        <w:br w:type="page"/>
      </w:r>
    </w:p>
    <w:p>
      <w:pPr>
        <w:pStyle w:val="Heading1"/>
      </w:pPr>
      <w:r>
        <w:t xml:space="preserve">5. Priority matrix</w:t>
      </w:r>
    </w:p>
    <w:p>
      <w:pPr>
        <w:spacing w:after="120"/>
      </w:pPr>
      <w:r>
        <w:t xml:space="preserve">If you do nothing else, do the four bolded items first — they are the highest impact for the least effort and they all target the mobile browse→cart and checkout leaks.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3000"/>
      </w:tblGrid>
      <w:tr>
        <w:trPr>
          <w:tblHeader/>
        </w:trPr>
        <w:tc>
          <w:tcPr>
            <w:tcW w:type="dxa" w:w="3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Action</w:t>
            </w:r>
          </w:p>
        </w:tc>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Impact</w:t>
            </w:r>
          </w:p>
        </w:tc>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Effort</w:t>
            </w:r>
          </w:p>
        </w:tc>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Targets</w:t>
            </w:r>
          </w:p>
        </w:tc>
      </w:tr>
      <w:tr>
        <w:trPr>
          <w:tblHeader w:val="false"/>
        </w:trPr>
        <w:tc>
          <w:tcPr>
            <w:tcW w:type="dxa" w:w="336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bCs/>
                <w:color w:val="000000"/>
                <w:sz w:val="18"/>
                <w:szCs w:val="18"/>
              </w:rPr>
              <w:t xml:space="preserve">1.2 Sticky ATC + buy box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Low-Med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Mobile browse→cart</w:t>
            </w:r>
          </w:p>
        </w:tc>
      </w:tr>
      <w:tr>
        <w:trPr>
          <w:tblHeader w:val="false"/>
        </w:trPr>
        <w:tc>
          <w:tcPr>
            <w:tcW w:type="dxa" w:w="336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bCs/>
                <w:color w:val="000000"/>
                <w:sz w:val="18"/>
                <w:szCs w:val="18"/>
              </w:rPr>
              <w:t xml:space="preserve">2.1 Accelerated checkout (Shop/Apple/Google Pay)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Cart→checkout</w:t>
            </w:r>
          </w:p>
        </w:tc>
      </w:tr>
      <w:tr>
        <w:trPr>
          <w:tblHeader w:val="false"/>
        </w:trPr>
        <w:tc>
          <w:tcPr>
            <w:tcW w:type="dxa" w:w="336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bCs/>
                <w:color w:val="000000"/>
                <w:sz w:val="18"/>
                <w:szCs w:val="18"/>
              </w:rPr>
              <w:t xml:space="preserve">1.4 Ad-creative → landing match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Browse→cart</w:t>
            </w:r>
          </w:p>
        </w:tc>
      </w:tr>
      <w:tr>
        <w:trPr>
          <w:tblHeader w:val="false"/>
        </w:trPr>
        <w:tc>
          <w:tcPr>
            <w:tcW w:type="dxa" w:w="3360"/>
            <w:tcBorders>
              <w:top w:val="single" w:color="CCCCCC" w:sz="1"/>
              <w:left w:val="single" w:color="CCCCCC" w:sz="1"/>
              <w:bottom w:val="single" w:color="CCCCCC" w:sz="1"/>
              <w:right w:val="single" w:color="CCCCCC" w:sz="1"/>
            </w:tcBorders>
            <w:shd w:fill="EAF3DE" w:val="clear"/>
            <w:tcMar>
              <w:top w:type="dxa" w:w="60"/>
              <w:left w:type="dxa" w:w="110"/>
              <w:bottom w:type="dxa" w:w="60"/>
              <w:right w:type="dxa" w:w="110"/>
            </w:tcMar>
          </w:tcPr>
          <w:p>
            <w:pPr>
              <w:jc w:val="left"/>
            </w:pPr>
            <w:r>
              <w:rPr>
                <w:b/>
                <w:bCs/>
                <w:color w:val="000000"/>
                <w:sz w:val="18"/>
                <w:szCs w:val="18"/>
              </w:rPr>
              <w:t xml:space="preserve">3.1 Klaviyo recovery flows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Checkout recovery + retention</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1.1 Mobile speed fix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Browse→cart</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2.2 Shipping/duties/returns clarity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Trust / checkout</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1.3 Variant selection UX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Browse→cart</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2.3 Streamlined checkout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Checkout completion</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1.5 Cart drawer + free-ship bar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Low-Med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Browse→cart + AOV</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3.2 AOV levers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Low-Med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AOV</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2.4 Reviews / UGC on PDP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Trust</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3.3 A/B testing program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Compounding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All</w:t>
            </w:r>
          </w:p>
        </w:tc>
      </w:tr>
    </w:tbl>
    <w:p>
      <w:pPr>
        <w:pStyle w:val="Heading1"/>
      </w:pPr>
      <w:r>
        <w:t xml:space="preserve">6. 90-day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Phase</w:t>
            </w:r>
          </w:p>
        </w:tc>
        <w:tc>
          <w:tcPr>
            <w:tcW w:type="dxa" w:w="393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Focus</w:t>
            </w:r>
          </w:p>
        </w:tc>
        <w:tc>
          <w:tcPr>
            <w:tcW w:type="dxa" w:w="393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pPr>
              <w:jc w:val="left"/>
            </w:pPr>
            <w:r>
              <w:rPr>
                <w:b/>
                <w:bCs/>
                <w:color w:val="FFFFFF"/>
                <w:sz w:val="18"/>
                <w:szCs w:val="18"/>
              </w:rPr>
              <w:t xml:space="preserve">Success measure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8"/>
                <w:szCs w:val="18"/>
              </w:rPr>
              <w:t xml:space="preserve">Weeks 1–3</w:t>
            </w:r>
          </w:p>
        </w:tc>
        <w:tc>
          <w:tcPr>
            <w:tcW w:type="dxa" w:w="39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Tier 1: mobile speed, sticky ATC, variant UX, ad→landing match, cart drawer</w:t>
            </w:r>
          </w:p>
        </w:tc>
        <w:tc>
          <w:tcPr>
            <w:tcW w:type="dxa" w:w="39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Mobile add-to-cart rate 3.5% → 5%+; blended conv → ~0.65%</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8"/>
                <w:szCs w:val="18"/>
              </w:rPr>
              <w:t xml:space="preserve">Weeks 3–6</w:t>
            </w:r>
          </w:p>
        </w:tc>
        <w:tc>
          <w:tcPr>
            <w:tcW w:type="dxa" w:w="39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Tier 2: express checkout, shipping/duties clarity, checkout streamline, PDP social proof</w:t>
            </w:r>
          </w:p>
        </w:tc>
        <w:tc>
          <w:tcPr>
            <w:tcW w:type="dxa" w:w="39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Mobile cart→checkout 30.6% → 38%+; blended conv → ~0.72%</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color w:val="000000"/>
                <w:sz w:val="18"/>
                <w:szCs w:val="18"/>
              </w:rPr>
              <w:t xml:space="preserve">Weeks 6–12</w:t>
            </w:r>
          </w:p>
        </w:tc>
        <w:tc>
          <w:tcPr>
            <w:tcW w:type="dxa" w:w="39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Tier 3: Klaviyo flows, AOV levers, ongoing A/B tests</w:t>
            </w:r>
          </w:p>
        </w:tc>
        <w:tc>
          <w:tcPr>
            <w:tcW w:type="dxa" w:w="393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8"/>
                <w:szCs w:val="18"/>
              </w:rPr>
              <w:t xml:space="preserve">Repeat rate 11.5% → 15%+; blended conv → 0.80% (break-even); profitable beyond</w:t>
            </w:r>
          </w:p>
        </w:tc>
      </w:tr>
    </w:tbl>
    <w:p>
      <w:pPr>
        <w:pStyle w:val="Heading1"/>
      </w:pPr>
      <w:r>
        <w:t xml:space="preserve">7. How we will measure it</w:t>
      </w:r>
    </w:p>
    <w:p>
      <w:pPr>
        <w:spacing w:after="120"/>
      </w:pPr>
      <w:r>
        <w:t xml:space="preserve">Conversion is the headline metric, but watch it by device — blended numbers hide the mobile story. Track weekly:</w:t>
      </w:r>
    </w:p>
    <w:p>
      <w:pPr>
        <w:pStyle w:val="ListParagraph"/>
        <w:numPr>
          <w:ilvl w:val="0"/>
          <w:numId w:val="2"/>
        </w:numPr>
        <w:spacing w:after="60"/>
      </w:pPr>
      <w:r>
        <w:rPr>
          <w:b/>
          <w:bCs/>
        </w:rPr>
        <w:t xml:space="preserve">Mobile conversion rate</w:t>
      </w:r>
      <w:r>
        <w:t xml:space="preserve"> (primary) and the mobile funnel stages: session→cart, cart→checkout, checkout→purchase.</w:t>
      </w:r>
    </w:p>
    <w:p>
      <w:pPr>
        <w:pStyle w:val="ListParagraph"/>
        <w:numPr>
          <w:ilvl w:val="0"/>
          <w:numId w:val="2"/>
        </w:numPr>
        <w:spacing w:after="60"/>
      </w:pPr>
      <w:r>
        <w:rPr>
          <w:b/>
          <w:bCs/>
        </w:rPr>
        <w:t xml:space="preserve">Blended conversion</w:t>
      </w:r>
      <w:r>
        <w:t xml:space="preserve"> against the ladder in section 3.1, with $98,300/month GMV as the break-even line.</w:t>
      </w:r>
    </w:p>
    <w:p>
      <w:pPr>
        <w:pStyle w:val="ListParagraph"/>
        <w:numPr>
          <w:ilvl w:val="0"/>
          <w:numId w:val="2"/>
        </w:numPr>
        <w:spacing w:after="60"/>
      </w:pPr>
      <w:r>
        <w:rPr>
          <w:b/>
          <w:bCs/>
        </w:rPr>
        <w:t xml:space="preserve">Guardrails:</w:t>
      </w:r>
      <w:r>
        <w:t xml:space="preserve"> keep an eye on discount depth (~$2k/week today) and gross margin so conversion gains aren’t bought with margin; watch returns.</w:t>
      </w:r>
    </w:p>
    <w:p>
      <w:pPr>
        <w:pStyle w:val="ListParagraph"/>
        <w:numPr>
          <w:ilvl w:val="0"/>
          <w:numId w:val="2"/>
        </w:numPr>
        <w:spacing w:after="60"/>
      </w:pPr>
      <w:r>
        <w:rPr>
          <w:b/>
          <w:bCs/>
        </w:rPr>
        <w:t xml:space="preserve">Retention:</w:t>
      </w:r>
      <w:r>
        <w:t xml:space="preserve"> returning-customer rate and email-attributed revenue as Tier 3 comes online.</w:t>
      </w:r>
    </w:p>
    <w:p>
      <w:pPr>
        <w:spacing w:after="120"/>
      </w:pPr>
      <w:r>
        <w:t xml:space="preserve">The existing weekly performance routine already produces this scorecard; we will add the device-split conversion view to it so progress against this plan is visible every week. Every live change in this plan is proposed for your approval before it ships.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Canton Collective — CRO Action Plan   ·   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D4C8" w:sz="4" w:space="4"/>
      </w:pBd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5"/>
      <w:szCs w:val="25"/>
    </w:rPr>
  </w:style>
  <w:style w:type="paragraph" w:styleId="Heading3">
    <w:name w:val="Heading 3"/>
    <w:basedOn w:val="Normal"/>
    <w:next w:val="Normal"/>
    <w:qFormat/>
    <w:pPr>
      <w:spacing w:after="60" w:before="140"/>
      <w:outlineLvl w:val="2"/>
    </w:pPr>
    <w:rPr>
      <w:rFonts w:ascii="Arial" w:cs="Arial" w:eastAsia="Arial" w:hAnsi="Arial"/>
      <w:b/>
      <w:bCs/>
      <w:color w:val="C055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2026-06-23T07:39:23.470Z</dcterms:created>
  <dcterms:modified xsi:type="dcterms:W3CDTF">2026-06-23T07:39:23.470Z</dcterms:modified>
</cp:coreProperties>
</file>

<file path=docProps/custom.xml><?xml version="1.0" encoding="utf-8"?>
<Properties xmlns="http://schemas.openxmlformats.org/officeDocument/2006/custom-properties" xmlns:vt="http://schemas.openxmlformats.org/officeDocument/2006/docPropsVTypes"/>
</file>