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1906"/>
      </w:tblGrid>
      <w:tr>
        <w:trPr>
          <w:trHeight w:val="2551" w:hRule="atLeast"/>
          <w:cantSplit/>
        </w:trPr>
        <w:tc>
          <w:tcPr>
            <w:tcW w:type="dxa" w:w="11906"/>
            <w:vAlign w:val="top"/>
            <w:tcMar>
              <w:top w:w="1134" w:type="dxa"/>
              <w:bottom w:w="0" w:type="dxa"/>
              <w:start w:w="1361" w:type="dxa"/>
              <w:end w:w="1361" w:type="dxa"/>
            </w:tcMar>
            <w:shd w:fill="EDF1F5"/>
          </w:tcPr>
          <w:p>
            <w:pPr>
              <w:tabs>
                <w:tab w:pos="9184" w:val="right"/>
              </w:tabs>
              <w:spacing w:before="0" w:after="0" w:line="276" w:lineRule="auto"/>
              <w:jc w:val="left"/>
            </w:pPr>
            <w:bookmarkStart w:id="1" w:name="rg_ref_e3b0c44298fc1c149afbf4c8"/>
            <w:r>
              <w:rPr>
                <w:rFonts w:ascii="Calibri" w:hAnsi="Calibri"/>
                <w:b w:val="0"/>
                <w:color w:val="182B3B"/>
                <w:sz w:val="2"/>
              </w:rPr>
            </w:r>
            <w:r>
              <w:rPr>
                <w:rFonts w:ascii="Calibri" w:hAnsi="Calibri"/>
                <w:b/>
                <w:color w:val="182B3B"/>
                <w:sz w:val="30"/>
              </w:rPr>
              <w:t>ALBOR LAB</w:t>
            </w:r>
            <w:r>
              <w:tab/>
            </w:r>
            <w:r>
              <w:rPr>
                <w:rFonts w:ascii="Calibri" w:hAnsi="Calibri"/>
                <w:b w:val="0"/>
                <w:color w:val="182B3B"/>
                <w:sz w:val="16"/>
              </w:rPr>
              <w:t>SIMULACIÓN</w:t>
            </w:r>
            <w:bookmarkEnd w:id="1"/>
          </w:p>
          <w:p>
            <w:pPr>
              <w:tabs>
                <w:tab w:pos="9184" w:val="right"/>
              </w:tabs>
              <w:spacing w:before="320" w:after="0" w:line="276" w:lineRule="auto"/>
              <w:jc w:val="left"/>
            </w:pPr>
            <w:r>
              <w:rPr>
                <w:rFonts w:ascii="Calibri" w:hAnsi="Calibri"/>
                <w:b w:val="0"/>
                <w:color w:val="182B3B"/>
                <w:sz w:val="20"/>
              </w:rPr>
              <w:t>Enterprise / Corporate Assurance</w:t>
            </w:r>
          </w:p>
        </w:tc>
      </w:tr>
      <w:tr>
        <w:trPr>
          <w:trHeight w:val="6803" w:hRule="atLeast"/>
          <w:cantSplit/>
        </w:trPr>
        <w:tc>
          <w:tcPr>
            <w:tcW w:type="dxa" w:w="11906"/>
            <w:tcMar>
              <w:top w:w="0" w:type="dxa"/>
              <w:bottom w:w="0" w:type="dxa"/>
              <w:start w:w="1361" w:type="dxa"/>
              <w:end w:w="1361" w:type="dxa"/>
            </w:tcMar>
            <w:vAlign w:val="center"/>
            <w:shd w:fill="EDF1F5"/>
            <w:tcBorders>
              <w:bottom w:val="single" w:color="4B5E72" w:sz="32"/>
            </w:tcBorders>
          </w:tcPr>
          <w:p>
            <w:pPr>
              <w:pStyle w:val="Title"/>
              <w:keepNext w:val="0"/>
              <w:spacing w:before="0" w:after="0" w:line="274" w:lineRule="auto"/>
              <w:jc w:val="center"/>
            </w:pPr>
            <w:r>
              <w:rPr>
                <w:rFonts w:ascii="Calibri" w:hAnsi="Calibri"/>
                <w:b w:val="0"/>
                <w:color w:val="182B3B"/>
                <w:sz w:val="2"/>
              </w:rPr>
            </w:r>
            <w:r>
              <w:rPr>
                <w:rFonts w:ascii="Calibri" w:hAnsi="Calibri"/>
                <w:b/>
                <w:color w:val="182B3B"/>
                <w:sz w:val="64"/>
              </w:rPr>
              <w:t>Tesorería, conciliación y evidencia de decisiones</w:t>
            </w:r>
          </w:p>
          <w:p>
            <w:pPr>
              <w:spacing w:before="340" w:after="0" w:line="276" w:lineRule="auto"/>
              <w:jc w:val="center"/>
            </w:pPr>
            <w:r>
              <w:rPr>
                <w:rFonts w:ascii="Calibri" w:hAnsi="Calibri"/>
                <w:b w:val="0"/>
                <w:color w:val="182B3B"/>
                <w:sz w:val="24"/>
              </w:rPr>
              <w:t>ALBOR-15 | Doce hipótesis documentales pendientes</w:t>
            </w:r>
          </w:p>
        </w:tc>
      </w:tr>
      <w:tr>
        <w:trPr>
          <w:trHeight w:val="4989" w:hRule="atLeast"/>
          <w:cantSplit/>
        </w:trPr>
        <w:tc>
          <w:tcPr>
            <w:tcW w:type="dxa" w:w="11906"/>
            <w:shd w:fill="FFFFFF"/>
            <w:vAlign w:val="bottom"/>
            <w:tcMar>
              <w:top w:w="0" w:type="dxa"/>
              <w:bottom w:w="1020" w:type="dxa"/>
              <w:start w:w="1361" w:type="dxa"/>
              <w:end w:w="1361" w:type="dxa"/>
            </w:tcMar>
          </w:tcPr>
          <w:p>
            <w:pPr>
              <w:spacing w:before="0" w:after="0" w:line="20" w:lineRule="exact"/>
              <w:jc w:val="left"/>
            </w:pPr>
            <w:r>
              <w:rPr>
                <w:rFonts w:ascii="Calibri" w:hAnsi="Calibri"/>
                <w:b w:val="0"/>
                <w:color w:val="182B3B"/>
                <w:sz w:val="2"/>
              </w:rPr>
            </w:r>
            <w:r>
              <w:rPr>
                <w:rFonts w:ascii="Calibri" w:hAnsi="Calibri"/>
                <w:b w:val="0"/>
                <w:color w:val="182B3B"/>
                <w:sz w:val="2"/>
              </w:rPr>
            </w:r>
          </w:p>
          <w:tbl>
            <w:tblPr>
              <w:tblW w:type="auto" w:w="0"/>
              <w:tblLayout w:type="fixed"/>
              <w:tblLook w:firstColumn="1" w:firstRow="1" w:lastColumn="0" w:lastRow="0" w:noHBand="0" w:noVBand="1" w:val="04A0"/>
            </w:tblPr>
            <w:tblGrid>
              <w:gridCol w:w="4592"/>
              <w:gridCol w:w="4592"/>
            </w:tblGrid>
            <w:tr>
              <w:tc>
                <w:tcPr>
                  <w:tcW w:type="dxa" w:w="4592"/>
                  <w:tcMar>
                    <w:top w:w="170" w:type="dxa"/>
                    <w:bottom w:w="227" w:type="dxa"/>
                    <w:start w:w="0" w:type="dxa"/>
                    <w:end w:w="283" w:type="dxa"/>
                  </w:tcMar>
                  <w:tcBorders>
                    <w:top w:val="single" w:color="BAC8D2" w:sz="4"/>
                  </w:tcBorders>
                </w:tcPr>
                <w:p>
                  <w:pPr>
                    <w:spacing w:before="0" w:after="0" w:line="276" w:lineRule="auto"/>
                    <w:jc w:val="left"/>
                  </w:pPr>
                  <w:r>
                    <w:rPr>
                      <w:rFonts w:ascii="Calibri" w:hAnsi="Calibri"/>
                      <w:b w:val="0"/>
                      <w:color w:val="182B3B"/>
                      <w:sz w:val="18"/>
                    </w:rPr>
                    <w:t>Cliente</w:t>
                  </w:r>
                </w:p>
                <w:p>
                  <w:pPr>
                    <w:spacing w:before="60" w:after="0" w:line="276" w:lineRule="auto"/>
                    <w:jc w:val="left"/>
                  </w:pPr>
                  <w:r>
                    <w:rPr>
                      <w:rFonts w:ascii="Calibri" w:hAnsi="Calibri"/>
                      <w:b w:val="0"/>
                      <w:color w:val="182B3B"/>
                      <w:sz w:val="21"/>
                    </w:rPr>
                    <w:t>Banco Albor FICTICIO</w:t>
                  </w:r>
                </w:p>
              </w:tc>
              <w:tc>
                <w:tcPr>
                  <w:tcW w:type="dxa" w:w="4592"/>
                  <w:tcMar>
                    <w:top w:w="170" w:type="dxa"/>
                    <w:bottom w:w="227" w:type="dxa"/>
                    <w:start w:w="0" w:type="dxa"/>
                    <w:end w:w="283" w:type="dxa"/>
                  </w:tcMar>
                  <w:tcBorders>
                    <w:top w:val="single" w:color="BAC8D2" w:sz="4"/>
                  </w:tcBorders>
                </w:tcPr>
                <w:p>
                  <w:pPr>
                    <w:spacing w:before="0" w:after="0" w:line="276" w:lineRule="auto"/>
                    <w:jc w:val="left"/>
                  </w:pPr>
                  <w:r>
                    <w:rPr>
                      <w:rFonts w:ascii="Calibri" w:hAnsi="Calibri"/>
                      <w:b w:val="0"/>
                      <w:color w:val="182B3B"/>
                      <w:sz w:val="18"/>
                    </w:rPr>
                    <w:t>Evaluador</w:t>
                  </w:r>
                </w:p>
                <w:p>
                  <w:pPr>
                    <w:spacing w:before="60" w:after="0" w:line="276" w:lineRule="auto"/>
                    <w:jc w:val="left"/>
                  </w:pPr>
                  <w:r>
                    <w:rPr>
                      <w:rFonts w:ascii="Calibri" w:hAnsi="Calibri"/>
                      <w:b w:val="0"/>
                      <w:color w:val="182B3B"/>
                      <w:sz w:val="21"/>
                    </w:rPr>
                    <w:t>iphobiuss · Ejercicio documental sintético</w:t>
                  </w:r>
                </w:p>
              </w:tc>
            </w:tr>
            <w:tr>
              <w:tc>
                <w:tcPr>
                  <w:tcW w:type="dxa" w:w="4592"/>
                  <w:tcMar>
                    <w:top w:w="170" w:type="dxa"/>
                    <w:bottom w:w="227" w:type="dxa"/>
                    <w:start w:w="0" w:type="dxa"/>
                    <w:end w:w="283" w:type="dxa"/>
                  </w:tcMar>
                </w:tcPr>
                <w:p>
                  <w:pPr>
                    <w:spacing w:before="0" w:after="0" w:line="276" w:lineRule="auto"/>
                    <w:jc w:val="left"/>
                  </w:pPr>
                  <w:r>
                    <w:rPr>
                      <w:rFonts w:ascii="Calibri" w:hAnsi="Calibri"/>
                      <w:b w:val="0"/>
                      <w:color w:val="182B3B"/>
                      <w:sz w:val="18"/>
                    </w:rPr>
                    <w:t>Fecha</w:t>
                  </w:r>
                </w:p>
                <w:p>
                  <w:pPr>
                    <w:spacing w:before="60" w:after="0" w:line="276" w:lineRule="auto"/>
                    <w:jc w:val="left"/>
                  </w:pPr>
                  <w:r>
                    <w:rPr>
                      <w:rFonts w:ascii="Calibri" w:hAnsi="Calibri"/>
                      <w:b w:val="0"/>
                      <w:color w:val="182B3B"/>
                      <w:sz w:val="21"/>
                    </w:rPr>
                    <w:t>2026-10-13</w:t>
                  </w:r>
                </w:p>
              </w:tc>
              <w:tc>
                <w:tcPr>
                  <w:tcW w:type="dxa" w:w="4592"/>
                  <w:tcMar>
                    <w:top w:w="170" w:type="dxa"/>
                    <w:bottom w:w="227" w:type="dxa"/>
                    <w:start w:w="0" w:type="dxa"/>
                    <w:end w:w="283" w:type="dxa"/>
                  </w:tcMar>
                </w:tcPr>
                <w:p>
                  <w:pPr>
                    <w:spacing w:before="0" w:after="0" w:line="276" w:lineRule="auto"/>
                    <w:jc w:val="left"/>
                  </w:pPr>
                  <w:r>
                    <w:rPr>
                      <w:rFonts w:ascii="Calibri" w:hAnsi="Calibri"/>
                      <w:b w:val="0"/>
                      <w:color w:val="182B3B"/>
                      <w:sz w:val="18"/>
                    </w:rPr>
                    <w:t>Versión</w:t>
                  </w:r>
                </w:p>
                <w:p>
                  <w:pPr>
                    <w:spacing w:before="60" w:after="0" w:line="276" w:lineRule="auto"/>
                    <w:jc w:val="left"/>
                  </w:pPr>
                  <w:r>
                    <w:rPr>
                      <w:rFonts w:ascii="Calibri" w:hAnsi="Calibri"/>
                      <w:b w:val="0"/>
                      <w:color w:val="182B3B"/>
                      <w:sz w:val="21"/>
                    </w:rPr>
                    <w:t>1.0</w:t>
                  </w:r>
                </w:p>
              </w:tc>
            </w:tr>
          </w:tbl>
          <w:p>
            <w:pPr>
              <w:spacing w:before="280" w:after="0"/>
              <w:jc w:val="center"/>
            </w:pPr>
            <w:r>
              <w:rPr>
                <w:rFonts w:ascii="Calibri" w:hAnsi="Calibri"/>
                <w:b w:val="0"/>
                <w:color w:val="182B3B"/>
                <w:sz w:val="15"/>
              </w:rPr>
              <w:t>SIMULACIÓN</w:t>
            </w:r>
          </w:p>
        </w:tc>
      </w:tr>
    </w:tbl>
    <w:p>
      <w:pPr>
        <w:spacing w:before="0" w:after="0" w:line="20" w:lineRule="exact"/>
        <w:sectPr>
          <w:pgSz w:w="11906" w:h="16838"/>
          <w:pgMar w:top="0" w:right="0" w:bottom="0" w:left="0" w:header="720" w:footer="720" w:gutter="0"/>
          <w:cols w:space="720"/>
          <w:docGrid w:linePitch="360"/>
        </w:sectPr>
      </w:pPr>
      <w:r>
        <w:rPr>
          <w:sz w:val="2"/>
        </w:rPr>
      </w:r>
    </w:p>
    <w:p>
      <w:pPr>
        <w:pStyle w:val="TOCHeading"/>
        <w:keepNext/>
        <w:spacing w:after="280"/>
      </w:pPr>
      <w:r>
        <w:rPr>
          <w:b/>
          <w:color w:val="182B3B"/>
          <w:sz w:val="34"/>
        </w:rPr>
        <w:t>Tabla de contenidos</w:t>
      </w:r>
    </w:p>
    <w:sdt>
      <w:sdtPr>
        <w:tag w:val="report-gen-contents"/>
        <w:alias w:val="Tabla de contenidos"/>
      </w:sdtPr>
      <w:sdtContent>
        <w:p>
          <w:pPr>
            <w:pStyle w:val="TOC1"/>
            <w:keepLines/>
            <w:tabs>
              <w:tab w:pos="9866" w:val="right"/>
            </w:tabs>
            <w:spacing w:after="140"/>
            <w:ind w:left="0" w:right="630"/>
          </w:pPr>
          <w:hyperlink w:anchor="rg_toc_25" w:history="true">
            <w:r>
              <w:rPr>
                <w:color w:val="182B3B"/>
              </w:rPr>
              <w:t>1  Resumen ejecutivo del escenario documental</w:t>
            </w:r>
          </w:hyperlink>
          <w:r>
            <w:tab/>
          </w:r>
          <w:r>
            <w:fldChar w:fldCharType="begin" w:dirty="true"/>
          </w:r>
          <w:r>
            <w:instrText xml:space="preserve"> PAGEREF rg_toc_25 \h </w:instrText>
          </w:r>
          <w:r>
            <w:fldChar w:fldCharType="separate"/>
          </w:r>
          <w:r/>
          <w:r>
            <w:fldChar w:fldCharType="end"/>
          </w:r>
        </w:p>
        <w:p>
          <w:pPr>
            <w:pStyle w:val="TOC1"/>
            <w:keepLines/>
            <w:tabs>
              <w:tab w:pos="9866" w:val="right"/>
            </w:tabs>
            <w:spacing w:after="140"/>
            <w:ind w:left="0" w:right="630"/>
          </w:pPr>
          <w:hyperlink w:anchor="rg_toc_26" w:history="true">
            <w:r>
              <w:rPr>
                <w:color w:val="182B3B"/>
              </w:rPr>
              <w:t>2  Alcance, método y límites de interpretación antes de convertir una observación parcial en una conclusión sobre una obligación económica</w:t>
            </w:r>
          </w:hyperlink>
          <w:r>
            <w:tab/>
          </w:r>
          <w:r>
            <w:fldChar w:fldCharType="begin" w:dirty="true"/>
          </w:r>
          <w:r>
            <w:instrText xml:space="preserve"> PAGEREF rg_toc_26 \h </w:instrText>
          </w:r>
          <w:r>
            <w:fldChar w:fldCharType="separate"/>
          </w:r>
          <w:r/>
          <w:r>
            <w:fldChar w:fldCharType="end"/>
          </w:r>
        </w:p>
        <w:p>
          <w:pPr>
            <w:pStyle w:val="TOC1"/>
            <w:keepLines/>
            <w:tabs>
              <w:tab w:pos="9866" w:val="right"/>
            </w:tabs>
            <w:spacing w:after="140"/>
            <w:ind w:left="0" w:right="630"/>
          </w:pPr>
          <w:hyperlink w:anchor="rg_toc_27" w:history="true">
            <w:r>
              <w:rPr>
                <w:color w:val="182B3B"/>
              </w:rPr>
              <w:t>3  Veinticuatro criterios pendientes</w:t>
            </w:r>
          </w:hyperlink>
          <w:r>
            <w:tab/>
          </w:r>
          <w:r>
            <w:fldChar w:fldCharType="begin" w:dirty="true"/>
          </w:r>
          <w:r>
            <w:instrText xml:space="preserve"> PAGEREF rg_toc_27 \h </w:instrText>
          </w:r>
          <w:r>
            <w:fldChar w:fldCharType="separate"/>
          </w:r>
          <w:r/>
          <w:r>
            <w:fldChar w:fldCharType="end"/>
          </w:r>
        </w:p>
        <w:p>
          <w:pPr>
            <w:pStyle w:val="TOC1"/>
            <w:keepLines/>
            <w:tabs>
              <w:tab w:pos="9866" w:val="right"/>
            </w:tabs>
            <w:spacing w:after="140"/>
            <w:ind w:left="0" w:right="630"/>
          </w:pPr>
          <w:hyperlink w:anchor="rg_toc_28" w:history="true">
            <w:r>
              <w:rPr>
                <w:color w:val="182B3B"/>
              </w:rPr>
              <w:t>4  Resumen de hallazgos</w:t>
            </w:r>
          </w:hyperlink>
          <w:r>
            <w:tab/>
          </w:r>
          <w:r>
            <w:fldChar w:fldCharType="begin" w:dirty="true"/>
          </w:r>
          <w:r>
            <w:instrText xml:space="preserve"> PAGEREF rg_toc_28 \h </w:instrText>
          </w:r>
          <w:r>
            <w:fldChar w:fldCharType="separate"/>
          </w:r>
          <w:r/>
          <w:r>
            <w:fldChar w:fldCharType="end"/>
          </w:r>
        </w:p>
        <w:p>
          <w:pPr>
            <w:pStyle w:val="TOC1"/>
            <w:keepLines/>
            <w:tabs>
              <w:tab w:pos="9866" w:val="right"/>
            </w:tabs>
            <w:spacing w:after="140"/>
            <w:ind w:left="0" w:right="630"/>
          </w:pPr>
          <w:hyperlink w:anchor="rg_toc_29" w:history="true">
            <w:r>
              <w:rPr>
                <w:color w:val="182B3B"/>
              </w:rPr>
              <w:t>5  Hallazgos</w:t>
            </w:r>
          </w:hyperlink>
          <w:r>
            <w:tab/>
          </w:r>
          <w:r>
            <w:fldChar w:fldCharType="begin" w:dirty="true"/>
          </w:r>
          <w:r>
            <w:instrText xml:space="preserve"> PAGEREF rg_toc_29 \h </w:instrText>
          </w:r>
          <w:r>
            <w:fldChar w:fldCharType="separate"/>
          </w:r>
          <w:r/>
          <w:r>
            <w:fldChar w:fldCharType="end"/>
          </w:r>
        </w:p>
        <w:p>
          <w:pPr>
            <w:pStyle w:val="TOC1"/>
            <w:keepLines/>
            <w:tabs>
              <w:tab w:pos="9866" w:val="right"/>
            </w:tabs>
            <w:spacing w:after="140"/>
            <w:ind w:left="0" w:right="630"/>
          </w:pPr>
          <w:hyperlink w:anchor="rg_toc_30" w:history="true">
            <w:r>
              <w:rPr>
                <w:color w:val="182B3B"/>
              </w:rPr>
              <w:t>6  Secuencia de corrección y decisión de cierre</w:t>
            </w:r>
          </w:hyperlink>
          <w:r>
            <w:tab/>
          </w:r>
          <w:r>
            <w:fldChar w:fldCharType="begin" w:dirty="true"/>
          </w:r>
          <w:r>
            <w:instrText xml:space="preserve"> PAGEREF rg_toc_30 \h </w:instrText>
          </w:r>
          <w:r>
            <w:fldChar w:fldCharType="separate"/>
          </w:r>
          <w:r/>
          <w:r>
            <w:fldChar w:fldCharType="end"/>
          </w:r>
        </w:p>
        <w:p>
          <w:pPr>
            <w:pStyle w:val="TOC1"/>
            <w:keepLines/>
            <w:tabs>
              <w:tab w:pos="9866" w:val="right"/>
            </w:tabs>
            <w:spacing w:after="140"/>
            <w:ind w:left="0" w:right="630"/>
          </w:pPr>
          <w:hyperlink w:anchor="rg_toc_31" w:history="true">
            <w:r>
              <w:rPr>
                <w:color w:val="182B3B"/>
              </w:rPr>
              <w:t>7  Referencias largas y fronteras de representación</w:t>
            </w:r>
          </w:hyperlink>
          <w:r>
            <w:tab/>
          </w:r>
          <w:r>
            <w:fldChar w:fldCharType="begin" w:dirty="true"/>
          </w:r>
          <w:r>
            <w:instrText xml:space="preserve"> PAGEREF rg_toc_31 \h </w:instrText>
          </w:r>
          <w:r>
            <w:fldChar w:fldCharType="separate"/>
          </w:r>
          <w:r/>
          <w:r>
            <w:fldChar w:fldCharType="end"/>
          </w:r>
        </w:p>
        <w:p>
          <w:pPr>
            <w:pStyle w:val="TOC1"/>
            <w:keepLines/>
            <w:tabs>
              <w:tab w:pos="9866" w:val="right"/>
            </w:tabs>
            <w:spacing w:after="140"/>
            <w:ind w:left="0" w:right="630"/>
          </w:pPr>
          <w:hyperlink w:anchor="rg_toc_32" w:history="true">
            <w:r>
              <w:rPr>
                <w:color w:val="182B3B"/>
              </w:rPr>
              <w:t xml:space="preserve">8  Anexo editorial </w:t>
            </w:r>
            <w:r>
              <w:rPr>
                <w:color w:val="182B3B"/>
                <w:lang w:val="zxx-ZZ-x-rgwrap"/>
              </w:rPr>
              <w:t>ALBOR15_INDEX_WWWWWWWWWWWWWWWWWWWWWWWWWWWWWWWWWWWWWWWWWWWWWWWWWWWWWWWWWWWWWWWW</w:t>
            </w:r>
          </w:hyperlink>
          <w:r>
            <w:tab/>
          </w:r>
          <w:r>
            <w:fldChar w:fldCharType="begin" w:dirty="true"/>
          </w:r>
          <w:r>
            <w:instrText xml:space="preserve"> PAGEREF rg_toc_32 \h </w:instrText>
          </w:r>
          <w:r>
            <w:fldChar w:fldCharType="separate"/>
          </w:r>
          <w:r/>
          <w:r>
            <w:fldChar w:fldCharType="end"/>
          </w:r>
        </w:p>
        <w:p>
          <w:pPr>
            <w:pStyle w:val="TOC1"/>
            <w:keepLines/>
            <w:tabs>
              <w:tab w:pos="9866" w:val="right"/>
            </w:tabs>
            <w:spacing w:after="140"/>
            <w:ind w:left="0" w:right="630"/>
          </w:pPr>
          <w:hyperlink w:anchor="rg_toc_33" w:history="true">
            <w:r>
              <w:rPr>
                <w:color w:val="182B3B"/>
              </w:rPr>
              <w:t>9  Inventario de activos</w:t>
            </w:r>
          </w:hyperlink>
          <w:r>
            <w:tab/>
          </w:r>
          <w:r>
            <w:fldChar w:fldCharType="begin" w:dirty="true"/>
          </w:r>
          <w:r>
            <w:instrText xml:space="preserve"> PAGEREF rg_toc_33 \h </w:instrText>
          </w:r>
          <w:r>
            <w:fldChar w:fldCharType="separate"/>
          </w:r>
          <w:r/>
          <w:r>
            <w:fldChar w:fldCharType="end"/>
          </w:r>
        </w:p>
        <w:p>
          <w:pPr>
            <w:pStyle w:val="TOC1"/>
            <w:keepLines/>
            <w:tabs>
              <w:tab w:pos="9866" w:val="right"/>
            </w:tabs>
            <w:spacing w:after="140"/>
            <w:ind w:left="0" w:right="630"/>
          </w:pPr>
          <w:hyperlink w:anchor="rg_toc_34" w:history="true">
            <w:r>
              <w:rPr>
                <w:color w:val="182B3B"/>
              </w:rPr>
              <w:t>10  Cobertura y limitaciones</w:t>
            </w:r>
          </w:hyperlink>
          <w:r>
            <w:tab/>
          </w:r>
          <w:r>
            <w:fldChar w:fldCharType="begin" w:dirty="true"/>
          </w:r>
          <w:r>
            <w:instrText xml:space="preserve"> PAGEREF rg_toc_34 \h </w:instrText>
          </w:r>
          <w:r>
            <w:fldChar w:fldCharType="separate"/>
          </w:r>
          <w:r/>
          <w:r>
            <w:fldChar w:fldCharType="end"/>
          </w:r>
        </w:p>
        <w:p>
          <w:pPr>
            <w:pStyle w:val="TOC1"/>
            <w:keepLines/>
            <w:tabs>
              <w:tab w:pos="9866" w:val="right"/>
            </w:tabs>
            <w:spacing w:after="140"/>
            <w:ind w:left="0" w:right="630"/>
          </w:pPr>
          <w:hyperlink w:anchor="rg_toc_35" w:history="true">
            <w:r>
              <w:rPr>
                <w:color w:val="182B3B"/>
              </w:rPr>
              <w:t>11  Seguimiento de correcciones y retest</w:t>
            </w:r>
          </w:hyperlink>
          <w:r>
            <w:tab/>
          </w:r>
          <w:r>
            <w:fldChar w:fldCharType="begin" w:dirty="true"/>
          </w:r>
          <w:r>
            <w:instrText xml:space="preserve"> PAGEREF rg_toc_35 \h </w:instrText>
          </w:r>
          <w:r>
            <w:fldChar w:fldCharType="separate"/>
          </w:r>
          <w:r/>
          <w:r>
            <w:fldChar w:fldCharType="end"/>
          </w:r>
        </w:p>
      </w:sdtContent>
    </w:sdt>
    <w:p>
      <w:pPr>
        <w:pStyle w:val="Heading1"/>
        <w:keepNext/>
        <w:keepLines/>
        <w:pageBreakBefore/>
      </w:pPr>
      <w:bookmarkStart w:id="25" w:name="rg_toc_25"/>
      <w:bookmarkStart w:id="2" w:name="rg_ref_7582adaf452cdb568362eed5"/>
      <w:r>
        <w:rPr>
          <w:b/>
          <w:color w:val="4B5E72"/>
        </w:rPr>
        <w:t xml:space="preserve">1  </w:t>
      </w:r>
      <w:r>
        <w:rPr>
          <w:b/>
          <w:color w:val="182B3B"/>
          <w:sz w:val="34"/>
        </w:rPr>
        <w:t>Resumen ejecutivo del escenario documental</w:t>
      </w:r>
      <w:bookmarkEnd w:id="2"/>
      <w:bookmarkEnd w:id="25"/>
    </w:p>
    <w:p>
      <w:r>
        <w:rPr>
          <w:b w:val="0"/>
          <w:i w:val="0"/>
        </w:rPr>
        <w:t>Banco Albor es una entidad completamente ficticia utilizada para revisar cómo se produce y se lee un informe técnico. El escenario se concentra en la mesa de tesorería: preparación de instrucciones, mantenimiento de beneficiarios, reservas internas, conciliación, autorización operativa y conservación de evidencia. Se han redactado doce hipótesis documentales, vinculadas a seis activos inventados. Todas permanecen Abiertas y Sin verificar. Los veinticuatro criterios de aceptación están Pendientes. No se ha accedido a infraestructura, utilizado una credencial, enviado una transferencia ni medido una respuesta de un sistema bancario.</w:t>
      </w:r>
    </w:p>
    <w:p>
      <w:r>
        <w:rPr>
          <w:b w:val="0"/>
          <w:i w:val="0"/>
        </w:rPr>
        <w:t>El hilo conductor del caso es que una decisión visible necesita una relación explicable con el contenido que autoriza y el efecto que produce. Aprobar un contenedor no demuestra la aprobación de cualquier contenido futuro. Recibir una respuesta no demuestra que no exista un efecto parcial. Conservar un archivo tampoco demuestra que incluya toda la población esperada. Estas diferencias organizan las hipótesis sin convertirlas en vulnerabilidades confirmadas.</w:t>
      </w:r>
    </w:p>
    <w:p>
      <w:r>
        <w:rPr>
          <w:b w:val="0"/>
          <w:i w:val="0"/>
        </w:rPr>
        <w:t>La primera decisión propuesta para un equipo real sería acordar quién puede declarar válida cada transición. Tesorería debe explicar el significado económico de una instrucción; operaciones debe delimitar cómo se recupera un estado ambiguo; el responsable de evidencia debe demostrar qué materiales estaban disponibles para una conclusión. El documento propone responsabilidades por función, no atribuye fallas a personas y no sustituye una revisión autorizada de contratos reales.</w:t>
      </w:r>
    </w:p>
    <w:p>
      <w:r>
        <w:rPr>
          <w:b w:val="0"/>
          <w:i w:val="0"/>
        </w:rPr>
        <w:t>La prioridad cualitativa sirve para ordenar el trabajo pendiente. No expresa una estimación de pérdida ni una probabilidad de explotación. No se calcula CVSS, no se asigna una fecha de corrección contractual y no se certifica cumplimiento. Antes de ejecutar los criterios habrá que seleccionar datos de laboratorio, límites de operación, cuentas autorizadas y una regla de interrupción. Cada conclusión posterior deberá señalar cuál de estos supuestos se verificó.</w:t>
      </w:r>
    </w:p>
    <w:p>
      <w:r>
        <w:rPr>
          <w:b w:val="0"/>
          <w:i w:val="0"/>
        </w:rPr>
        <w:t>Las tres figuras son diagramas creados por código, sin capturas simuladas de una interfaz bancaria. El anexo de disposición incorpora referencias largas y leyendas extensas deliberadamente para probar report-gen. Un resultado correcto del exportador significa que preserva y presenta estos contenidos; no significa que el banco ficticio haya superado pruebas de seguridad.</w:t>
      </w:r>
    </w:p>
    <w:p>
      <w:pPr>
        <w:pStyle w:val="Heading1"/>
        <w:keepNext/>
        <w:keepLines/>
        <w:pageBreakBefore w:val="0"/>
        <w:spacing w:before="280"/>
      </w:pPr>
      <w:bookmarkStart w:id="26" w:name="rg_toc_26"/>
      <w:bookmarkStart w:id="3" w:name="rg_ref_80bfe47538d256da99b19140"/>
      <w:r>
        <w:rPr>
          <w:b/>
          <w:color w:val="4B5E72"/>
        </w:rPr>
        <w:t xml:space="preserve">2  </w:t>
      </w:r>
      <w:r>
        <w:rPr>
          <w:b/>
          <w:color w:val="182B3B"/>
          <w:sz w:val="34"/>
        </w:rPr>
        <w:t>Alcance, método y límites de interpretación antes de convertir una observación parcial en una conclusión sobre una obligación económica</w:t>
      </w:r>
      <w:bookmarkEnd w:id="3"/>
      <w:bookmarkEnd w:id="26"/>
    </w:p>
    <w:p>
      <w:r>
        <w:rPr>
          <w:b w:val="0"/>
          <w:i w:val="0"/>
        </w:rPr>
        <w:t>El objeto de revisión es una relación de control, no una secuencia de explotación. Para cada ficha se separan contexto, hipótesis, consecuencia posible, corrección propuesta y dos criterios pendientes. La relación entre estos campos debe permitir que otra persona cuestione la causalidad: si una condición no se cumple, el impacto propuesto puede no seguirse de ella. La ficha debe conservar esa posibilidad en lugar de presentar una narración cerrada.</w:t>
      </w:r>
    </w:p>
    <w:p>
      <w:r>
        <w:rPr>
          <w:b w:val="0"/>
          <w:i w:val="0"/>
        </w:rPr>
        <w:t>Una prueba futura comenzaría fijando la población: revisión de instrucciones, ventana temporal, actor, permiso y servicio que decide. Después se elegirían observaciones que distingan una respuesta de transporte de una transición económica. La evidencia mínima incluiría una correlación estable y un control negativo. Una captura visual aislada podría orientar la investigación, pero no demostraría por sí sola completitud, autorización o ausencia de otros efectos.</w:t>
      </w:r>
    </w:p>
    <w:p>
      <w:r>
        <w:rPr>
          <w:b w:val="0"/>
          <w:i w:val="0"/>
        </w:rPr>
        <w:t xml:space="preserve">Las direcciones del caso pertenecen a dominios </w:t>
      </w:r>
      <w:r>
        <w:rPr>
          <w:rFonts w:ascii="DejaVu Sans Mono" w:hAnsi="DejaVu Sans Mono"/>
          <w:b w:val="0"/>
          <w:i w:val="0"/>
          <w:sz w:val="18"/>
        </w:rPr>
        <w:t>.example</w:t>
      </w:r>
      <w:r>
        <w:rPr>
          <w:b w:val="0"/>
          <w:i w:val="0"/>
        </w:rPr>
        <w:t xml:space="preserve"> o rangos documentales. No se consultan. Las cadenas largas permiten verificar los límites de representación: texto mostrado, destino del enlace, parámetros repetidos, escapes porcentuales y secuencias Unicode compuestas y descompuestas. No deben alterarse para que la página se vea mejor. Si el motor de edición conserva un salto anticipado, el informe de QA debe declararlo; no cabe insertar caracteres invisibles y presentar el literal como idéntico.</w:t>
      </w:r>
    </w:p>
    <w:p>
      <w:r>
        <w:rPr>
          <w:b w:val="0"/>
          <w:i w:val="0"/>
        </w:rPr>
        <w:t>Para aceptar una corrección bancaria habría que identificar la versión examinada, observar el control positivo y el negativo, revisar el efecto persistido y documentar la población no cubierta. Un hash ayuda a comprobar identidad de bytes respecto de una referencia, pero no demuestra que el material sea completo ni auténtico respecto de un emisor. El cierre debe apoyarse en evidencia pertinente, no en que el archivo pueda abrirse o que el informe tenga aspecto formal.</w:t>
      </w:r>
    </w:p>
    <w:p>
      <w:r>
        <w:rPr>
          <w:b w:val="0"/>
          <w:i w:val="0"/>
        </w:rPr>
        <w:t>La presente ronda conserva el alcance documental. Los registros de seguimiento incluidos al final son planes de revisión sin ejecución, con fecha de prueba vacía y resultado No verificable. Sus tablas dentro de una cita y una lista son estímulos editoriales; no añaden pruebas realizadas ni cambian los veinticuatro criterios pendientes.</w:t>
      </w:r>
    </w:p>
    <w:p>
      <w:pPr>
        <w:pStyle w:val="Heading1"/>
        <w:keepNext/>
        <w:keepLines/>
        <w:pageBreakBefore w:val="0"/>
        <w:spacing w:before="280"/>
      </w:pPr>
      <w:bookmarkStart w:id="27" w:name="rg_toc_27"/>
      <w:bookmarkStart w:id="4" w:name="rg_ref_274e8ef3d97d31a9add1a990"/>
      <w:r>
        <w:rPr>
          <w:b/>
          <w:color w:val="4B5E72"/>
        </w:rPr>
        <w:t xml:space="preserve">3  </w:t>
      </w:r>
      <w:r>
        <w:rPr>
          <w:b/>
          <w:color w:val="182B3B"/>
          <w:sz w:val="34"/>
        </w:rPr>
        <w:t>Veinticuatro criterios pendientes</w:t>
      </w:r>
      <w:bookmarkEnd w:id="4"/>
      <w:bookmarkEnd w:id="27"/>
    </w:p>
    <w:tbl>
      <w:tblPr>
        <w:tblStyle w:val="TableGrid"/>
        <w:tblW w:type="dxa" w:w="9866"/>
        <w:tblLayout w:type="fixed"/>
        <w:tblLook w:firstColumn="1" w:firstRow="1" w:lastColumn="0" w:lastRow="0" w:noHBand="0" w:noVBand="1" w:val="04A0"/>
      </w:tblPr>
      <w:tblGrid>
        <w:gridCol w:w="2716"/>
        <w:gridCol w:w="2716"/>
        <w:gridCol w:w="4435"/>
      </w:tblGrid>
      <w:tr>
        <w:trPr>
          <w:tblHeader/>
          <w:cantSplit/>
        </w:trPr>
        <w:tc>
          <w:tcPr>
            <w:tcW w:type="dxa" w:w="2716"/>
          </w:tcPr>
          <w:p>
            <w:pPr>
              <w:keepNext/>
              <w:keepLines/>
              <w:spacing w:after="0" w:line="240" w:lineRule="auto"/>
            </w:pPr>
            <w:r>
              <w:rPr>
                <w:b/>
                <w:i w:val="0"/>
              </w:rPr>
              <w:t>Criterio</w:t>
            </w:r>
          </w:p>
        </w:tc>
        <w:tc>
          <w:tcPr>
            <w:tcW w:type="dxa" w:w="2716"/>
          </w:tcPr>
          <w:p>
            <w:pPr>
              <w:keepNext/>
              <w:keepLines/>
              <w:spacing w:after="0" w:line="240" w:lineRule="auto"/>
            </w:pPr>
            <w:r>
              <w:rPr>
                <w:b/>
                <w:i w:val="0"/>
              </w:rPr>
              <w:t>Hipótesis</w:t>
            </w:r>
          </w:p>
        </w:tc>
        <w:tc>
          <w:tcPr>
            <w:tcW w:type="dxa" w:w="4435"/>
          </w:tcPr>
          <w:p>
            <w:pPr>
              <w:keepNext/>
              <w:keepLines/>
              <w:spacing w:after="0" w:line="240" w:lineRule="auto"/>
            </w:pPr>
            <w:r>
              <w:rPr>
                <w:b/>
                <w:i w:val="0"/>
              </w:rPr>
              <w:t>Estado</w:t>
            </w:r>
          </w:p>
        </w:tc>
      </w:tr>
      <w:tr>
        <w:trPr>
          <w:cantSplit/>
        </w:trPr>
        <w:tc>
          <w:tcPr>
            <w:tcW w:type="dxa" w:w="2716"/>
          </w:tcPr>
          <w:p>
            <w:pPr>
              <w:keepNext w:val="0"/>
              <w:keepLines/>
              <w:spacing w:after="0" w:line="240" w:lineRule="auto"/>
            </w:pPr>
            <w:r>
              <w:rPr>
                <w:b w:val="0"/>
                <w:i w:val="0"/>
              </w:rPr>
              <w:t>ALB-C01-1</w:t>
            </w:r>
          </w:p>
        </w:tc>
        <w:tc>
          <w:tcPr>
            <w:tcW w:type="dxa" w:w="2716"/>
          </w:tcPr>
          <w:p>
            <w:pPr>
              <w:keepNext w:val="0"/>
              <w:keepLines/>
              <w:spacing w:after="0" w:line="240" w:lineRule="auto"/>
            </w:pPr>
            <w:r>
              <w:rPr>
                <w:b w:val="0"/>
                <w:i w:val="0"/>
              </w:rPr>
              <w:t>ALB-01</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ALB-C01-2</w:t>
            </w:r>
          </w:p>
        </w:tc>
        <w:tc>
          <w:tcPr>
            <w:tcW w:type="dxa" w:w="2716"/>
          </w:tcPr>
          <w:p>
            <w:pPr>
              <w:keepNext w:val="0"/>
              <w:keepLines/>
              <w:spacing w:after="0" w:line="240" w:lineRule="auto"/>
            </w:pPr>
            <w:r>
              <w:rPr>
                <w:b w:val="0"/>
                <w:i w:val="0"/>
              </w:rPr>
              <w:t>ALB-01</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ALB-C02-1</w:t>
            </w:r>
          </w:p>
        </w:tc>
        <w:tc>
          <w:tcPr>
            <w:tcW w:type="dxa" w:w="2716"/>
          </w:tcPr>
          <w:p>
            <w:pPr>
              <w:keepNext w:val="0"/>
              <w:keepLines/>
              <w:spacing w:after="0" w:line="240" w:lineRule="auto"/>
            </w:pPr>
            <w:r>
              <w:rPr>
                <w:b w:val="0"/>
                <w:i w:val="0"/>
              </w:rPr>
              <w:t>ALB-02</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ALB-C02-2</w:t>
            </w:r>
          </w:p>
        </w:tc>
        <w:tc>
          <w:tcPr>
            <w:tcW w:type="dxa" w:w="2716"/>
          </w:tcPr>
          <w:p>
            <w:pPr>
              <w:keepNext w:val="0"/>
              <w:keepLines/>
              <w:spacing w:after="0" w:line="240" w:lineRule="auto"/>
            </w:pPr>
            <w:r>
              <w:rPr>
                <w:b w:val="0"/>
                <w:i w:val="0"/>
              </w:rPr>
              <w:t>ALB-02</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ALB-C03-1</w:t>
            </w:r>
          </w:p>
        </w:tc>
        <w:tc>
          <w:tcPr>
            <w:tcW w:type="dxa" w:w="2716"/>
          </w:tcPr>
          <w:p>
            <w:pPr>
              <w:keepNext w:val="0"/>
              <w:keepLines/>
              <w:spacing w:after="0" w:line="240" w:lineRule="auto"/>
            </w:pPr>
            <w:r>
              <w:rPr>
                <w:b w:val="0"/>
                <w:i w:val="0"/>
              </w:rPr>
              <w:t>ALB-03</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ALB-C03-2</w:t>
            </w:r>
          </w:p>
        </w:tc>
        <w:tc>
          <w:tcPr>
            <w:tcW w:type="dxa" w:w="2716"/>
          </w:tcPr>
          <w:p>
            <w:pPr>
              <w:keepNext w:val="0"/>
              <w:keepLines/>
              <w:spacing w:after="0" w:line="240" w:lineRule="auto"/>
            </w:pPr>
            <w:r>
              <w:rPr>
                <w:b w:val="0"/>
                <w:i w:val="0"/>
              </w:rPr>
              <w:t>ALB-03</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ALB-C04-1</w:t>
            </w:r>
          </w:p>
        </w:tc>
        <w:tc>
          <w:tcPr>
            <w:tcW w:type="dxa" w:w="2716"/>
          </w:tcPr>
          <w:p>
            <w:pPr>
              <w:keepNext w:val="0"/>
              <w:keepLines/>
              <w:spacing w:after="0" w:line="240" w:lineRule="auto"/>
            </w:pPr>
            <w:r>
              <w:rPr>
                <w:b w:val="0"/>
                <w:i w:val="0"/>
              </w:rPr>
              <w:t>ALB-04</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ALB-C04-2</w:t>
            </w:r>
          </w:p>
        </w:tc>
        <w:tc>
          <w:tcPr>
            <w:tcW w:type="dxa" w:w="2716"/>
          </w:tcPr>
          <w:p>
            <w:pPr>
              <w:keepNext w:val="0"/>
              <w:keepLines/>
              <w:spacing w:after="0" w:line="240" w:lineRule="auto"/>
            </w:pPr>
            <w:r>
              <w:rPr>
                <w:b w:val="0"/>
                <w:i w:val="0"/>
              </w:rPr>
              <w:t>ALB-04</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ALB-C05-1</w:t>
            </w:r>
          </w:p>
        </w:tc>
        <w:tc>
          <w:tcPr>
            <w:tcW w:type="dxa" w:w="2716"/>
          </w:tcPr>
          <w:p>
            <w:pPr>
              <w:keepNext w:val="0"/>
              <w:keepLines/>
              <w:spacing w:after="0" w:line="240" w:lineRule="auto"/>
            </w:pPr>
            <w:r>
              <w:rPr>
                <w:b w:val="0"/>
                <w:i w:val="0"/>
              </w:rPr>
              <w:t>ALB-05</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ALB-C05-2</w:t>
            </w:r>
          </w:p>
        </w:tc>
        <w:tc>
          <w:tcPr>
            <w:tcW w:type="dxa" w:w="2716"/>
          </w:tcPr>
          <w:p>
            <w:pPr>
              <w:keepNext w:val="0"/>
              <w:keepLines/>
              <w:spacing w:after="0" w:line="240" w:lineRule="auto"/>
            </w:pPr>
            <w:r>
              <w:rPr>
                <w:b w:val="0"/>
                <w:i w:val="0"/>
              </w:rPr>
              <w:t>ALB-05</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ALB-C06-1</w:t>
            </w:r>
          </w:p>
        </w:tc>
        <w:tc>
          <w:tcPr>
            <w:tcW w:type="dxa" w:w="2716"/>
          </w:tcPr>
          <w:p>
            <w:pPr>
              <w:keepNext w:val="0"/>
              <w:keepLines/>
              <w:spacing w:after="0" w:line="240" w:lineRule="auto"/>
            </w:pPr>
            <w:r>
              <w:rPr>
                <w:b w:val="0"/>
                <w:i w:val="0"/>
              </w:rPr>
              <w:t>ALB-06</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ALB-C06-2</w:t>
            </w:r>
          </w:p>
        </w:tc>
        <w:tc>
          <w:tcPr>
            <w:tcW w:type="dxa" w:w="2716"/>
          </w:tcPr>
          <w:p>
            <w:pPr>
              <w:keepNext w:val="0"/>
              <w:keepLines/>
              <w:spacing w:after="0" w:line="240" w:lineRule="auto"/>
            </w:pPr>
            <w:r>
              <w:rPr>
                <w:b w:val="0"/>
                <w:i w:val="0"/>
              </w:rPr>
              <w:t>ALB-06</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ALB-C07-1</w:t>
            </w:r>
          </w:p>
        </w:tc>
        <w:tc>
          <w:tcPr>
            <w:tcW w:type="dxa" w:w="2716"/>
          </w:tcPr>
          <w:p>
            <w:pPr>
              <w:keepNext w:val="0"/>
              <w:keepLines/>
              <w:spacing w:after="0" w:line="240" w:lineRule="auto"/>
            </w:pPr>
            <w:r>
              <w:rPr>
                <w:b w:val="0"/>
                <w:i w:val="0"/>
              </w:rPr>
              <w:t>ALB-07</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ALB-C07-2</w:t>
            </w:r>
          </w:p>
        </w:tc>
        <w:tc>
          <w:tcPr>
            <w:tcW w:type="dxa" w:w="2716"/>
          </w:tcPr>
          <w:p>
            <w:pPr>
              <w:keepNext w:val="0"/>
              <w:keepLines/>
              <w:spacing w:after="0" w:line="240" w:lineRule="auto"/>
            </w:pPr>
            <w:r>
              <w:rPr>
                <w:b w:val="0"/>
                <w:i w:val="0"/>
              </w:rPr>
              <w:t>ALB-07</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ALB-C08-1</w:t>
            </w:r>
          </w:p>
        </w:tc>
        <w:tc>
          <w:tcPr>
            <w:tcW w:type="dxa" w:w="2716"/>
          </w:tcPr>
          <w:p>
            <w:pPr>
              <w:keepNext w:val="0"/>
              <w:keepLines/>
              <w:spacing w:after="0" w:line="240" w:lineRule="auto"/>
            </w:pPr>
            <w:r>
              <w:rPr>
                <w:b w:val="0"/>
                <w:i w:val="0"/>
              </w:rPr>
              <w:t>ALB-08</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ALB-C08-2</w:t>
            </w:r>
          </w:p>
        </w:tc>
        <w:tc>
          <w:tcPr>
            <w:tcW w:type="dxa" w:w="2716"/>
          </w:tcPr>
          <w:p>
            <w:pPr>
              <w:keepNext w:val="0"/>
              <w:keepLines/>
              <w:spacing w:after="0" w:line="240" w:lineRule="auto"/>
            </w:pPr>
            <w:r>
              <w:rPr>
                <w:b w:val="0"/>
                <w:i w:val="0"/>
              </w:rPr>
              <w:t>ALB-08</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ALB-C09-1</w:t>
            </w:r>
          </w:p>
        </w:tc>
        <w:tc>
          <w:tcPr>
            <w:tcW w:type="dxa" w:w="2716"/>
          </w:tcPr>
          <w:p>
            <w:pPr>
              <w:keepNext w:val="0"/>
              <w:keepLines/>
              <w:spacing w:after="0" w:line="240" w:lineRule="auto"/>
            </w:pPr>
            <w:r>
              <w:rPr>
                <w:b w:val="0"/>
                <w:i w:val="0"/>
              </w:rPr>
              <w:t>ALB-09</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ALB-C09-2</w:t>
            </w:r>
          </w:p>
        </w:tc>
        <w:tc>
          <w:tcPr>
            <w:tcW w:type="dxa" w:w="2716"/>
          </w:tcPr>
          <w:p>
            <w:pPr>
              <w:keepNext w:val="0"/>
              <w:keepLines/>
              <w:spacing w:after="0" w:line="240" w:lineRule="auto"/>
            </w:pPr>
            <w:r>
              <w:rPr>
                <w:b w:val="0"/>
                <w:i w:val="0"/>
              </w:rPr>
              <w:t>ALB-09</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ALB-C10-1</w:t>
            </w:r>
          </w:p>
        </w:tc>
        <w:tc>
          <w:tcPr>
            <w:tcW w:type="dxa" w:w="2716"/>
          </w:tcPr>
          <w:p>
            <w:pPr>
              <w:keepNext w:val="0"/>
              <w:keepLines/>
              <w:spacing w:after="0" w:line="240" w:lineRule="auto"/>
            </w:pPr>
            <w:r>
              <w:rPr>
                <w:b w:val="0"/>
                <w:i w:val="0"/>
              </w:rPr>
              <w:t>ALB-10</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ALB-C10-2</w:t>
            </w:r>
          </w:p>
        </w:tc>
        <w:tc>
          <w:tcPr>
            <w:tcW w:type="dxa" w:w="2716"/>
          </w:tcPr>
          <w:p>
            <w:pPr>
              <w:keepNext w:val="0"/>
              <w:keepLines/>
              <w:spacing w:after="0" w:line="240" w:lineRule="auto"/>
            </w:pPr>
            <w:r>
              <w:rPr>
                <w:b w:val="0"/>
                <w:i w:val="0"/>
              </w:rPr>
              <w:t>ALB-10</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ALB-C11-1</w:t>
            </w:r>
          </w:p>
        </w:tc>
        <w:tc>
          <w:tcPr>
            <w:tcW w:type="dxa" w:w="2716"/>
          </w:tcPr>
          <w:p>
            <w:pPr>
              <w:keepNext w:val="0"/>
              <w:keepLines/>
              <w:spacing w:after="0" w:line="240" w:lineRule="auto"/>
            </w:pPr>
            <w:r>
              <w:rPr>
                <w:b w:val="0"/>
                <w:i w:val="0"/>
              </w:rPr>
              <w:t>ALB-11</w:t>
            </w:r>
          </w:p>
        </w:tc>
        <w:tc>
          <w:tcPr>
            <w:tcW w:type="dxa" w:w="4435"/>
          </w:tcPr>
          <w:p>
            <w:pPr>
              <w:keepNext w:val="0"/>
              <w:keepLines/>
              <w:spacing w:after="0" w:line="240" w:lineRule="auto"/>
            </w:pPr>
            <w:r>
              <w:rPr>
                <w:b w:val="0"/>
                <w:i w:val="0"/>
              </w:rPr>
              <w:t>Pendiente; sin ejecución</w:t>
            </w:r>
          </w:p>
        </w:tc>
      </w:tr>
      <w:tr>
        <w:trPr>
          <w:cantSplit/>
        </w:trPr>
        <w:tc>
          <w:tcPr>
            <w:tcW w:type="dxa" w:w="2716"/>
          </w:tcPr>
          <w:p>
            <w:pPr>
              <w:keepNext/>
              <w:keepLines/>
              <w:spacing w:after="0" w:line="240" w:lineRule="auto"/>
            </w:pPr>
            <w:r>
              <w:rPr>
                <w:b w:val="0"/>
                <w:i w:val="0"/>
              </w:rPr>
              <w:t>ALB-C11-2</w:t>
            </w:r>
          </w:p>
        </w:tc>
        <w:tc>
          <w:tcPr>
            <w:tcW w:type="dxa" w:w="2716"/>
          </w:tcPr>
          <w:p>
            <w:pPr>
              <w:keepNext/>
              <w:keepLines/>
              <w:spacing w:after="0" w:line="240" w:lineRule="auto"/>
            </w:pPr>
            <w:r>
              <w:rPr>
                <w:b w:val="0"/>
                <w:i w:val="0"/>
              </w:rPr>
              <w:t>ALB-11</w:t>
            </w:r>
          </w:p>
        </w:tc>
        <w:tc>
          <w:tcPr>
            <w:tcW w:type="dxa" w:w="4435"/>
          </w:tcPr>
          <w:p>
            <w:pPr>
              <w:keepNext/>
              <w:keepLines/>
              <w:spacing w:after="0" w:line="240" w:lineRule="auto"/>
            </w:pPr>
            <w:r>
              <w:rPr>
                <w:b w:val="0"/>
                <w:i w:val="0"/>
              </w:rPr>
              <w:t>Pendiente; sin ejecución</w:t>
            </w:r>
          </w:p>
        </w:tc>
      </w:tr>
      <w:tr>
        <w:trPr>
          <w:cantSplit/>
        </w:trPr>
        <w:tc>
          <w:tcPr>
            <w:tcW w:type="dxa" w:w="2716"/>
          </w:tcPr>
          <w:p>
            <w:pPr>
              <w:keepNext/>
              <w:keepLines/>
              <w:spacing w:after="0" w:line="240" w:lineRule="auto"/>
            </w:pPr>
            <w:r>
              <w:rPr>
                <w:b w:val="0"/>
                <w:i w:val="0"/>
              </w:rPr>
              <w:t>ALB-C12-1</w:t>
            </w:r>
          </w:p>
        </w:tc>
        <w:tc>
          <w:tcPr>
            <w:tcW w:type="dxa" w:w="2716"/>
          </w:tcPr>
          <w:p>
            <w:pPr>
              <w:keepNext/>
              <w:keepLines/>
              <w:spacing w:after="0" w:line="240" w:lineRule="auto"/>
            </w:pPr>
            <w:r>
              <w:rPr>
                <w:b w:val="0"/>
                <w:i w:val="0"/>
              </w:rPr>
              <w:t>ALB-12</w:t>
            </w:r>
          </w:p>
        </w:tc>
        <w:tc>
          <w:tcPr>
            <w:tcW w:type="dxa" w:w="4435"/>
          </w:tcPr>
          <w:p>
            <w:pPr>
              <w:keepNext/>
              <w:keepLines/>
              <w:spacing w:after="0" w:line="240" w:lineRule="auto"/>
            </w:pPr>
            <w:r>
              <w:rPr>
                <w:b w:val="0"/>
                <w:i w:val="0"/>
              </w:rPr>
              <w:t>Pendiente; sin ejecución</w:t>
            </w:r>
          </w:p>
        </w:tc>
      </w:tr>
      <w:tr>
        <w:trPr>
          <w:cantSplit/>
        </w:trPr>
        <w:tc>
          <w:tcPr>
            <w:tcW w:type="dxa" w:w="2716"/>
          </w:tcPr>
          <w:p>
            <w:pPr>
              <w:keepNext w:val="0"/>
              <w:keepLines/>
              <w:spacing w:after="0" w:line="240" w:lineRule="auto"/>
            </w:pPr>
            <w:r>
              <w:rPr>
                <w:b w:val="0"/>
                <w:i w:val="0"/>
              </w:rPr>
              <w:t>ALB-C12-2</w:t>
            </w:r>
          </w:p>
        </w:tc>
        <w:tc>
          <w:tcPr>
            <w:tcW w:type="dxa" w:w="2716"/>
          </w:tcPr>
          <w:p>
            <w:pPr>
              <w:keepNext w:val="0"/>
              <w:keepLines/>
              <w:spacing w:after="0" w:line="240" w:lineRule="auto"/>
            </w:pPr>
            <w:r>
              <w:rPr>
                <w:b w:val="0"/>
                <w:i w:val="0"/>
              </w:rPr>
              <w:t>ALB-12</w:t>
            </w:r>
          </w:p>
        </w:tc>
        <w:tc>
          <w:tcPr>
            <w:tcW w:type="dxa" w:w="4435"/>
          </w:tcPr>
          <w:p>
            <w:pPr>
              <w:keepNext w:val="0"/>
              <w:keepLines/>
              <w:spacing w:after="0" w:line="240" w:lineRule="auto"/>
            </w:pPr>
            <w:r>
              <w:rPr>
                <w:b w:val="0"/>
                <w:i w:val="0"/>
              </w:rPr>
              <w:t>Pendiente; sin ejecución</w:t>
            </w:r>
          </w:p>
        </w:tc>
      </w:tr>
    </w:tbl>
    <w:p>
      <w:pPr>
        <w:pStyle w:val="Heading1"/>
        <w:keepNext/>
        <w:keepLines/>
        <w:pageBreakBefore w:val="0"/>
        <w:spacing w:before="280"/>
      </w:pPr>
      <w:bookmarkStart w:id="28" w:name="rg_toc_28"/>
      <w:bookmarkStart w:id="5" w:name="rg_ref_11a18a50863896f0775e7726"/>
      <w:r>
        <w:rPr>
          <w:b/>
          <w:color w:val="4B5E72"/>
        </w:rPr>
        <w:t xml:space="preserve">4  </w:t>
      </w:r>
      <w:r>
        <w:rPr>
          <w:b/>
          <w:color w:val="182B3B"/>
          <w:sz w:val="34"/>
        </w:rPr>
        <w:t>Resumen de hallazgos</w:t>
      </w:r>
      <w:bookmarkEnd w:id="5"/>
      <w:bookmarkEnd w:id="28"/>
    </w:p>
    <w:p>
      <w:r>
        <w:t>El informe contiene 12 hallazgos con la siguiente clasificación de severidad registrada: 8 alta, 4 media.</w:t>
      </w:r>
    </w:p>
    <w:p>
      <w:r>
        <w:drawing>
          <wp:inline xmlns:a="http://schemas.openxmlformats.org/drawingml/2006/main" xmlns:pic="http://schemas.openxmlformats.org/drawingml/2006/picture" distL="0" distR="0" distT="0" distB="0">
            <wp:extent cx="3240000" cy="1080000"/>
            <wp:docPr id="1" name="Picture 1" descr="report-gen:severity-chart"/>
            <wp:cNvGraphicFramePr>
              <a:graphicFrameLocks noChangeAspect="1"/>
            </wp:cNvGraphicFramePr>
            <a:graphic>
              <a:graphicData uri="http://schemas.openxmlformats.org/drawingml/2006/picture">
                <pic:pic>
                  <pic:nvPicPr>
                    <pic:cNvPr id="0" name="severity.png"/>
                    <pic:cNvPicPr/>
                  </pic:nvPicPr>
                  <pic:blipFill>
                    <a:blip r:embed="rId11"/>
                    <a:stretch>
                      <a:fillRect/>
                    </a:stretch>
                  </pic:blipFill>
                  <pic:spPr>
                    <a:xfrm>
                      <a:off x="0" y="0"/>
                      <a:ext cx="3240000" cy="1080000"/>
                    </a:xfrm>
                    <a:prstGeom prst="rect"/>
                  </pic:spPr>
                </pic:pic>
              </a:graphicData>
            </a:graphic>
          </wp:inline>
        </w:drawing>
      </w:r>
    </w:p>
    <w:tbl>
      <w:tblPr>
        <w:tblStyle w:val="TableGrid"/>
        <w:tblW w:type="auto" w:w="0"/>
        <w:tblLayout w:type="fixed"/>
        <w:tblLook w:firstColumn="1" w:firstRow="1" w:lastColumn="0" w:lastRow="0" w:noHBand="0" w:noVBand="1" w:val="04A0"/>
      </w:tblPr>
      <w:tblGrid>
        <w:gridCol w:w="691"/>
        <w:gridCol w:w="2664"/>
        <w:gridCol w:w="6512"/>
      </w:tblGrid>
      <w:tr>
        <w:trPr>
          <w:tblHeader/>
          <w:cantSplit/>
        </w:trPr>
        <w:tc>
          <w:tcPr>
            <w:tcW w:type="dxa" w:w="691"/>
            <w:shd w:val="clear" w:fill="edf2f5"/>
          </w:tcPr>
          <w:p>
            <w:pPr>
              <w:keepNext/>
              <w:keepLines/>
              <w:spacing w:after="0" w:line="240" w:lineRule="auto"/>
            </w:pPr>
            <w:r>
              <w:rPr>
                <w:rFonts w:ascii="DejaVu Sans Mono" w:hAnsi="DejaVu Sans Mono"/>
                <w:b/>
                <w:color w:val="536273"/>
                <w:sz w:val="17"/>
              </w:rPr>
              <w:t>#</w:t>
            </w:r>
          </w:p>
        </w:tc>
        <w:tc>
          <w:tcPr>
            <w:tcW w:type="dxa" w:w="2664"/>
            <w:shd w:val="clear" w:fill="edf2f5"/>
          </w:tcPr>
          <w:p>
            <w:pPr>
              <w:keepNext/>
              <w:keepLines/>
              <w:spacing w:after="0" w:line="240" w:lineRule="auto"/>
            </w:pPr>
            <w:r>
              <w:rPr>
                <w:rFonts w:ascii="DejaVu Sans Mono" w:hAnsi="DejaVu Sans Mono"/>
                <w:b/>
                <w:color w:val="536273"/>
                <w:sz w:val="17"/>
              </w:rPr>
              <w:t>Severidad</w:t>
            </w:r>
          </w:p>
        </w:tc>
        <w:tc>
          <w:tcPr>
            <w:tcW w:type="dxa" w:w="6512"/>
            <w:shd w:val="clear" w:fill="edf2f5"/>
          </w:tcPr>
          <w:p>
            <w:pPr>
              <w:keepNext/>
              <w:keepLines/>
              <w:spacing w:after="0" w:line="240" w:lineRule="auto"/>
            </w:pPr>
            <w:r>
              <w:rPr>
                <w:rFonts w:ascii="DejaVu Sans Mono" w:hAnsi="DejaVu Sans Mono"/>
                <w:b/>
                <w:color w:val="536273"/>
                <w:sz w:val="17"/>
              </w:rPr>
              <w:t>Hallazgo</w:t>
            </w:r>
          </w:p>
        </w:tc>
      </w:tr>
      <w:tr>
        <w:trPr>
          <w:cantSplit/>
        </w:trPr>
        <w:tc>
          <w:tcPr>
            <w:tcW w:type="dxa" w:w="691"/>
          </w:tcPr>
          <w:p>
            <w:pPr>
              <w:keepNext w:val="0"/>
              <w:keepLines/>
              <w:spacing w:after="0" w:line="240" w:lineRule="auto"/>
            </w:pPr>
            <w:r>
              <w:t>1</w:t>
            </w:r>
          </w:p>
        </w:tc>
        <w:tc>
          <w:tcPr>
            <w:tcW w:type="dxa" w:w="2664"/>
          </w:tcPr>
          <w:p>
            <w:pPr>
              <w:keepNext w:val="0"/>
              <w:keepLines/>
              <w:spacing w:after="0" w:line="240" w:lineRule="auto"/>
            </w:pPr>
            <w:r>
              <w:t>Alta</w:t>
            </w:r>
          </w:p>
        </w:tc>
        <w:tc>
          <w:tcPr>
            <w:tcW w:type="dxa" w:w="6512"/>
          </w:tcPr>
          <w:p>
            <w:pPr>
              <w:keepNext w:val="0"/>
              <w:keepLines/>
              <w:spacing w:after="0" w:line="240" w:lineRule="auto"/>
            </w:pPr>
            <w:hyperlink w:anchor="rg_ref_eee7345da7c1b7f77a8b5e2d">
              <w:r>
                <w:t>La aprobación del lote podría no vincular la versión exacta de sus instrucciones</w:t>
              </w:r>
            </w:hyperlink>
          </w:p>
        </w:tc>
      </w:tr>
      <w:tr>
        <w:trPr>
          <w:cantSplit/>
        </w:trPr>
        <w:tc>
          <w:tcPr>
            <w:tcW w:type="dxa" w:w="691"/>
          </w:tcPr>
          <w:p>
            <w:pPr>
              <w:keepNext w:val="0"/>
              <w:keepLines/>
              <w:spacing w:after="0" w:line="240" w:lineRule="auto"/>
            </w:pPr>
            <w:r>
              <w:t>2</w:t>
            </w:r>
          </w:p>
        </w:tc>
        <w:tc>
          <w:tcPr>
            <w:tcW w:type="dxa" w:w="2664"/>
          </w:tcPr>
          <w:p>
            <w:pPr>
              <w:keepNext w:val="0"/>
              <w:keepLines/>
              <w:spacing w:after="0" w:line="240" w:lineRule="auto"/>
            </w:pPr>
            <w:r>
              <w:t>Alta</w:t>
            </w:r>
          </w:p>
        </w:tc>
        <w:tc>
          <w:tcPr>
            <w:tcW w:type="dxa" w:w="6512"/>
          </w:tcPr>
          <w:p>
            <w:pPr>
              <w:keepNext w:val="0"/>
              <w:keepLines/>
              <w:spacing w:after="0" w:line="240" w:lineRule="auto"/>
            </w:pPr>
            <w:hyperlink w:anchor="rg_ref_d0c32e41fb28d5863b0f9727">
              <w:r>
                <w:t>Una plantilla de beneficiario podría cambiar después de ser seleccionada</w:t>
              </w:r>
            </w:hyperlink>
          </w:p>
        </w:tc>
      </w:tr>
      <w:tr>
        <w:trPr>
          <w:cantSplit/>
        </w:trPr>
        <w:tc>
          <w:tcPr>
            <w:tcW w:type="dxa" w:w="691"/>
          </w:tcPr>
          <w:p>
            <w:pPr>
              <w:keepNext w:val="0"/>
              <w:keepLines/>
              <w:spacing w:after="0" w:line="240" w:lineRule="auto"/>
            </w:pPr>
            <w:r>
              <w:t>3</w:t>
            </w:r>
          </w:p>
        </w:tc>
        <w:tc>
          <w:tcPr>
            <w:tcW w:type="dxa" w:w="2664"/>
          </w:tcPr>
          <w:p>
            <w:pPr>
              <w:keepNext w:val="0"/>
              <w:keepLines/>
              <w:spacing w:after="0" w:line="240" w:lineRule="auto"/>
            </w:pPr>
            <w:r>
              <w:t>Alta</w:t>
            </w:r>
          </w:p>
        </w:tc>
        <w:tc>
          <w:tcPr>
            <w:tcW w:type="dxa" w:w="6512"/>
          </w:tcPr>
          <w:p>
            <w:pPr>
              <w:keepNext w:val="0"/>
              <w:keepLines/>
              <w:spacing w:after="0" w:line="240" w:lineRule="auto"/>
            </w:pPr>
            <w:hyperlink w:anchor="rg_ref_6044742aca0a2a706fc2cee1">
              <w:r>
                <w:t>El rechazo de una instrucción podría ocultar un efecto contable parcial</w:t>
              </w:r>
            </w:hyperlink>
          </w:p>
        </w:tc>
      </w:tr>
      <w:tr>
        <w:trPr>
          <w:cantSplit/>
        </w:trPr>
        <w:tc>
          <w:tcPr>
            <w:tcW w:type="dxa" w:w="691"/>
          </w:tcPr>
          <w:p>
            <w:pPr>
              <w:keepNext w:val="0"/>
              <w:keepLines/>
              <w:spacing w:after="0" w:line="240" w:lineRule="auto"/>
            </w:pPr>
            <w:r>
              <w:t>4</w:t>
            </w:r>
          </w:p>
        </w:tc>
        <w:tc>
          <w:tcPr>
            <w:tcW w:type="dxa" w:w="2664"/>
          </w:tcPr>
          <w:p>
            <w:pPr>
              <w:keepNext w:val="0"/>
              <w:keepLines/>
              <w:spacing w:after="0" w:line="240" w:lineRule="auto"/>
            </w:pPr>
            <w:r>
              <w:t>Alta</w:t>
            </w:r>
          </w:p>
        </w:tc>
        <w:tc>
          <w:tcPr>
            <w:tcW w:type="dxa" w:w="6512"/>
          </w:tcPr>
          <w:p>
            <w:pPr>
              <w:keepNext w:val="0"/>
              <w:keepLines/>
              <w:spacing w:after="0" w:line="240" w:lineRule="auto"/>
            </w:pPr>
            <w:hyperlink w:anchor="rg_ref_fa90fb4e6e10cbdc65f9c436">
              <w:r>
                <w:t>Una instrucción retrasada podría cruzar el cierre de una ventana operativa</w:t>
              </w:r>
            </w:hyperlink>
          </w:p>
        </w:tc>
      </w:tr>
      <w:tr>
        <w:trPr>
          <w:cantSplit/>
        </w:trPr>
        <w:tc>
          <w:tcPr>
            <w:tcW w:type="dxa" w:w="691"/>
          </w:tcPr>
          <w:p>
            <w:pPr>
              <w:keepNext w:val="0"/>
              <w:keepLines/>
              <w:spacing w:after="0" w:line="240" w:lineRule="auto"/>
            </w:pPr>
            <w:r>
              <w:t>5</w:t>
            </w:r>
          </w:p>
        </w:tc>
        <w:tc>
          <w:tcPr>
            <w:tcW w:type="dxa" w:w="2664"/>
          </w:tcPr>
          <w:p>
            <w:pPr>
              <w:keepNext w:val="0"/>
              <w:keepLines/>
              <w:spacing w:after="0" w:line="240" w:lineRule="auto"/>
            </w:pPr>
            <w:r>
              <w:t>Alta</w:t>
            </w:r>
          </w:p>
        </w:tc>
        <w:tc>
          <w:tcPr>
            <w:tcW w:type="dxa" w:w="6512"/>
          </w:tcPr>
          <w:p>
            <w:pPr>
              <w:keepNext w:val="0"/>
              <w:keepLines/>
              <w:spacing w:after="0" w:line="240" w:lineRule="auto"/>
            </w:pPr>
            <w:hyperlink w:anchor="rg_ref_13c0876f3d1573a0a8dee02d">
              <w:r>
                <w:t>Las consultas de conciliación podrían cruzar ámbitos autorizados</w:t>
              </w:r>
            </w:hyperlink>
          </w:p>
        </w:tc>
      </w:tr>
      <w:tr>
        <w:trPr>
          <w:cantSplit/>
        </w:trPr>
        <w:tc>
          <w:tcPr>
            <w:tcW w:type="dxa" w:w="691"/>
          </w:tcPr>
          <w:p>
            <w:pPr>
              <w:keepNext w:val="0"/>
              <w:keepLines/>
              <w:spacing w:after="0" w:line="240" w:lineRule="auto"/>
            </w:pPr>
            <w:r>
              <w:t>6</w:t>
            </w:r>
          </w:p>
        </w:tc>
        <w:tc>
          <w:tcPr>
            <w:tcW w:type="dxa" w:w="2664"/>
          </w:tcPr>
          <w:p>
            <w:pPr>
              <w:keepNext w:val="0"/>
              <w:keepLines/>
              <w:spacing w:after="0" w:line="240" w:lineRule="auto"/>
            </w:pPr>
            <w:r>
              <w:t>Alta</w:t>
            </w:r>
          </w:p>
        </w:tc>
        <w:tc>
          <w:tcPr>
            <w:tcW w:type="dxa" w:w="6512"/>
          </w:tcPr>
          <w:p>
            <w:pPr>
              <w:keepNext w:val="0"/>
              <w:keepLines/>
              <w:spacing w:after="0" w:line="240" w:lineRule="auto"/>
            </w:pPr>
            <w:hyperlink w:anchor="rg_ref_e4a03b9b88438e38344be0a7">
              <w:r>
                <w:t>Un ajuste manual podría perder su vínculo con la obligación económica</w:t>
              </w:r>
            </w:hyperlink>
          </w:p>
        </w:tc>
      </w:tr>
      <w:tr>
        <w:trPr>
          <w:cantSplit/>
        </w:trPr>
        <w:tc>
          <w:tcPr>
            <w:tcW w:type="dxa" w:w="691"/>
          </w:tcPr>
          <w:p>
            <w:pPr>
              <w:keepNext w:val="0"/>
              <w:keepLines/>
              <w:spacing w:after="0" w:line="240" w:lineRule="auto"/>
            </w:pPr>
            <w:r>
              <w:t>7</w:t>
            </w:r>
          </w:p>
        </w:tc>
        <w:tc>
          <w:tcPr>
            <w:tcW w:type="dxa" w:w="2664"/>
          </w:tcPr>
          <w:p>
            <w:pPr>
              <w:keepNext w:val="0"/>
              <w:keepLines/>
              <w:spacing w:after="0" w:line="240" w:lineRule="auto"/>
            </w:pPr>
            <w:r>
              <w:t>Alta</w:t>
            </w:r>
          </w:p>
        </w:tc>
        <w:tc>
          <w:tcPr>
            <w:tcW w:type="dxa" w:w="6512"/>
          </w:tcPr>
          <w:p>
            <w:pPr>
              <w:keepNext w:val="0"/>
              <w:keepLines/>
              <w:spacing w:after="0" w:line="240" w:lineRule="auto"/>
            </w:pPr>
            <w:hyperlink w:anchor="rg_ref_4e5fb498f679eef2cb826296">
              <w:r>
                <w:t>La revocación de permisos podría no alcanzar sesiones activas</w:t>
              </w:r>
            </w:hyperlink>
          </w:p>
        </w:tc>
      </w:tr>
      <w:tr>
        <w:trPr>
          <w:cantSplit/>
        </w:trPr>
        <w:tc>
          <w:tcPr>
            <w:tcW w:type="dxa" w:w="691"/>
          </w:tcPr>
          <w:p>
            <w:pPr>
              <w:keepNext w:val="0"/>
              <w:keepLines/>
              <w:spacing w:after="0" w:line="240" w:lineRule="auto"/>
            </w:pPr>
            <w:r>
              <w:t>8</w:t>
            </w:r>
          </w:p>
        </w:tc>
        <w:tc>
          <w:tcPr>
            <w:tcW w:type="dxa" w:w="2664"/>
          </w:tcPr>
          <w:p>
            <w:pPr>
              <w:keepNext w:val="0"/>
              <w:keepLines/>
              <w:spacing w:after="0" w:line="240" w:lineRule="auto"/>
            </w:pPr>
            <w:r>
              <w:t>Alta</w:t>
            </w:r>
          </w:p>
        </w:tc>
        <w:tc>
          <w:tcPr>
            <w:tcW w:type="dxa" w:w="6512"/>
          </w:tcPr>
          <w:p>
            <w:pPr>
              <w:keepNext w:val="0"/>
              <w:keepLines/>
              <w:spacing w:after="0" w:line="240" w:lineRule="auto"/>
            </w:pPr>
            <w:hyperlink w:anchor="rg_ref_a76cb2fbeecd69d745381d69">
              <w:r>
                <w:t>La restauración podría alterar la retención de eventos antifraude</w:t>
              </w:r>
            </w:hyperlink>
          </w:p>
        </w:tc>
      </w:tr>
      <w:tr>
        <w:trPr>
          <w:cantSplit/>
        </w:trPr>
        <w:tc>
          <w:tcPr>
            <w:tcW w:type="dxa" w:w="691"/>
          </w:tcPr>
          <w:p>
            <w:pPr>
              <w:keepNext w:val="0"/>
              <w:keepLines/>
              <w:spacing w:after="0" w:line="240" w:lineRule="auto"/>
            </w:pPr>
            <w:r>
              <w:t>9</w:t>
            </w:r>
          </w:p>
        </w:tc>
        <w:tc>
          <w:tcPr>
            <w:tcW w:type="dxa" w:w="2664"/>
          </w:tcPr>
          <w:p>
            <w:pPr>
              <w:keepNext w:val="0"/>
              <w:keepLines/>
              <w:spacing w:after="0" w:line="240" w:lineRule="auto"/>
            </w:pPr>
            <w:r>
              <w:t>Media</w:t>
            </w:r>
          </w:p>
        </w:tc>
        <w:tc>
          <w:tcPr>
            <w:tcW w:type="dxa" w:w="6512"/>
          </w:tcPr>
          <w:p>
            <w:pPr>
              <w:keepNext w:val="0"/>
              <w:keepLines/>
              <w:spacing w:after="0" w:line="240" w:lineRule="auto"/>
            </w:pPr>
            <w:hyperlink w:anchor="rg_ref_71a7f3bb0e5dd731a0916f1c">
              <w:r>
                <w:t>Una previsión de liquidez podría mezclar una población reciente con un saldo antiguo</w:t>
              </w:r>
            </w:hyperlink>
          </w:p>
        </w:tc>
      </w:tr>
      <w:tr>
        <w:trPr>
          <w:cantSplit/>
        </w:trPr>
        <w:tc>
          <w:tcPr>
            <w:tcW w:type="dxa" w:w="691"/>
          </w:tcPr>
          <w:p>
            <w:pPr>
              <w:keepNext/>
              <w:keepLines/>
              <w:spacing w:after="0" w:line="240" w:lineRule="auto"/>
            </w:pPr>
            <w:r>
              <w:t>10</w:t>
            </w:r>
          </w:p>
        </w:tc>
        <w:tc>
          <w:tcPr>
            <w:tcW w:type="dxa" w:w="2664"/>
          </w:tcPr>
          <w:p>
            <w:pPr>
              <w:keepNext/>
              <w:keepLines/>
              <w:spacing w:after="0" w:line="240" w:lineRule="auto"/>
            </w:pPr>
            <w:r>
              <w:t>Media</w:t>
            </w:r>
          </w:p>
        </w:tc>
        <w:tc>
          <w:tcPr>
            <w:tcW w:type="dxa" w:w="6512"/>
          </w:tcPr>
          <w:p>
            <w:pPr>
              <w:keepNext/>
              <w:keepLines/>
              <w:spacing w:after="0" w:line="240" w:lineRule="auto"/>
            </w:pPr>
            <w:hyperlink w:anchor="rg_ref_19b7a30b1c4e3ce460443493">
              <w:r>
                <w:t>La vigencia de una cotización podría evaluarse sólo al abrir el formulario</w:t>
              </w:r>
            </w:hyperlink>
          </w:p>
        </w:tc>
      </w:tr>
      <w:tr>
        <w:trPr>
          <w:cantSplit/>
        </w:trPr>
        <w:tc>
          <w:tcPr>
            <w:tcW w:type="dxa" w:w="691"/>
          </w:tcPr>
          <w:p>
            <w:pPr>
              <w:keepNext/>
              <w:keepLines/>
              <w:spacing w:after="0" w:line="240" w:lineRule="auto"/>
            </w:pPr>
            <w:r>
              <w:t>11</w:t>
            </w:r>
          </w:p>
        </w:tc>
        <w:tc>
          <w:tcPr>
            <w:tcW w:type="dxa" w:w="2664"/>
          </w:tcPr>
          <w:p>
            <w:pPr>
              <w:keepNext/>
              <w:keepLines/>
              <w:spacing w:after="0" w:line="240" w:lineRule="auto"/>
            </w:pPr>
            <w:r>
              <w:t>Media</w:t>
            </w:r>
          </w:p>
        </w:tc>
        <w:tc>
          <w:tcPr>
            <w:tcW w:type="dxa" w:w="6512"/>
          </w:tcPr>
          <w:p>
            <w:pPr>
              <w:keepNext/>
              <w:keepLines/>
              <w:spacing w:after="0" w:line="240" w:lineRule="auto"/>
            </w:pPr>
            <w:hyperlink w:anchor="rg_ref_559999f5a329296a1abcde98">
              <w:r>
                <w:t>Una exportación de evidencia podría perder controles de autorización</w:t>
              </w:r>
            </w:hyperlink>
          </w:p>
        </w:tc>
      </w:tr>
      <w:tr>
        <w:trPr>
          <w:cantSplit/>
        </w:trPr>
        <w:tc>
          <w:tcPr>
            <w:tcW w:type="dxa" w:w="691"/>
          </w:tcPr>
          <w:p>
            <w:pPr>
              <w:keepNext w:val="0"/>
              <w:keepLines/>
              <w:spacing w:after="0" w:line="240" w:lineRule="auto"/>
            </w:pPr>
            <w:r>
              <w:t>12</w:t>
            </w:r>
          </w:p>
        </w:tc>
        <w:tc>
          <w:tcPr>
            <w:tcW w:type="dxa" w:w="2664"/>
          </w:tcPr>
          <w:p>
            <w:pPr>
              <w:keepNext w:val="0"/>
              <w:keepLines/>
              <w:spacing w:after="0" w:line="240" w:lineRule="auto"/>
            </w:pPr>
            <w:r>
              <w:t>Media</w:t>
            </w:r>
          </w:p>
        </w:tc>
        <w:tc>
          <w:tcPr>
            <w:tcW w:type="dxa" w:w="6512"/>
          </w:tcPr>
          <w:p>
            <w:pPr>
              <w:keepNext w:val="0"/>
              <w:keepLines/>
              <w:spacing w:after="0" w:line="240" w:lineRule="auto"/>
            </w:pPr>
            <w:hyperlink w:anchor="rg_ref_8c63f89604882431d337e17c">
              <w:r>
                <w:t>Una excepción podría cerrarse con evidencia documental insuficiente</w:t>
              </w:r>
            </w:hyperlink>
          </w:p>
        </w:tc>
      </w:tr>
    </w:tbl>
    <w:p>
      <w:pPr>
        <w:pStyle w:val="Heading1"/>
        <w:keepNext/>
        <w:keepLines/>
        <w:pageBreakBefore w:val="0"/>
        <w:spacing w:before="280"/>
      </w:pPr>
      <w:bookmarkStart w:id="29" w:name="rg_toc_29"/>
      <w:bookmarkStart w:id="6" w:name="rg_ref_8aa3c4ce3ccdfe89f32935d1"/>
      <w:r>
        <w:rPr>
          <w:b/>
          <w:color w:val="4B5E72"/>
        </w:rPr>
        <w:t xml:space="preserve">5  </w:t>
      </w:r>
      <w:r>
        <w:rPr>
          <w:b/>
          <w:color w:val="182B3B"/>
          <w:sz w:val="34"/>
        </w:rPr>
        <w:t>Hallazgos</w:t>
      </w:r>
      <w:bookmarkEnd w:id="6"/>
      <w:bookmarkEnd w:id="29"/>
    </w:p>
    <w:p>
      <w:pPr>
        <w:pStyle w:val="Heading2"/>
        <w:keepNext/>
        <w:keepLines/>
      </w:pPr>
      <w:bookmarkStart w:id="7" w:name="rg_ref_eee7345da7c1b7f77a8b5e2d"/>
      <w:r>
        <w:rPr>
          <w:b/>
          <w:color w:val="314959"/>
          <w:sz w:val="25"/>
        </w:rPr>
        <w:t>ALB-01 La aprobación del lote podría no vincular la versión exacta de sus instrucciones</w:t>
      </w:r>
      <w:r>
        <w:t xml:space="preserve"> </w:t>
      </w:r>
      <w:r>
        <w:rPr>
          <w:b/>
          <w:color w:val="FFFFFF"/>
          <w:shd w:val="clear" w:fill="a63b0a"/>
        </w:rPr>
        <w:t xml:space="preserve"> Alta </w:t>
      </w:r>
      <w:bookmarkEnd w:id="7"/>
    </w:p>
    <w:p>
      <w:pPr>
        <w:pStyle w:val="ReportGenMeta"/>
        <w:keepNext/>
        <w:keepLines/>
        <w:tabs>
          <w:tab w:pos="2608" w:val="left"/>
        </w:tabs>
        <w:spacing w:after="80"/>
        <w:ind w:left="2608" w:hanging="2608"/>
        <w:shd w:val="clear" w:fill="edf2f5"/>
      </w:pPr>
      <w:r>
        <w:rPr>
          <w:rFonts w:ascii="DejaVu Sans Mono" w:hAnsi="DejaVu Sans Mono"/>
          <w:color w:val="536273"/>
          <w:sz w:val="17"/>
        </w:rPr>
        <w:t>Dominio afectado</w:t>
      </w:r>
      <w:r>
        <w:tab/>
      </w:r>
      <w:r>
        <w:t>ALB-A01 treasury.albor.example</w:t>
      </w:r>
    </w:p>
    <w:p>
      <w:pPr>
        <w:keepNext/>
      </w:pPr>
      <w:r>
        <w:rPr>
          <w:b/>
        </w:rPr>
        <w:t>Descripción (incl. causa raíz)</w:t>
      </w:r>
    </w:p>
    <w:p>
      <w:pPr>
        <w:pStyle w:val="Heading3"/>
      </w:pPr>
      <w:r>
        <w:rPr>
          <w:b w:val="0"/>
          <w:i w:val="0"/>
        </w:rPr>
        <w:t>Contexto del modelo</w:t>
      </w:r>
    </w:p>
    <w:p>
      <w:r>
        <w:rPr>
          <w:b w:val="0"/>
          <w:i w:val="0"/>
        </w:rPr>
        <w:t>La mesa de tesorería ficticia prepara un lote de transferencias internas y solicita aprobación antes del envío. El modelo permite corregir una instrucción mientras otra persona consulta la vista de revisión. No se dispone de respuestas del servicio, firmas reales ni registros de ejecución.</w:t>
      </w:r>
    </w:p>
    <w:p>
      <w:pPr>
        <w:pStyle w:val="Heading3"/>
      </w:pPr>
      <w:r>
        <w:rPr>
          <w:b w:val="0"/>
          <w:i w:val="0"/>
        </w:rPr>
        <w:t>Hipótesis documental</w:t>
      </w:r>
    </w:p>
    <w:p>
      <w:r>
        <w:rPr>
          <w:b w:val="0"/>
          <w:i w:val="0"/>
        </w:rPr>
        <w:t>La hipótesis documental es que el identificador del lote conserva una aprobación aunque cambie su contenido económico. El riesgo depende de que la decisión se asocie al nombre del contenedor y no a una revisión inmutable de las instrucciones. Una marca visual de aprobado no demuestra qué importes, cuentas y fechas aceptó el revisor.</w:t>
      </w:r>
    </w:p>
    <w:p>
      <w:pPr>
        <w:keepNext/>
      </w:pPr>
      <w:r>
        <w:rPr>
          <w:b/>
        </w:rPr>
        <w:t>Impacto de seguridad</w:t>
      </w:r>
    </w:p>
    <w:p>
      <w:r>
        <w:rPr>
          <w:b w:val="0"/>
          <w:i w:val="0"/>
        </w:rPr>
        <w:t>De confirmarse, una modificación posterior podría utilizar una decisión emitida sobre otro contenido. El efecto posible sería una obligación no autorizada en los términos revisados. No se ha observado movimiento de fondos y la prioridad cualitativa sólo ordena la futura revisión.</w:t>
      </w:r>
    </w:p>
    <w:p>
      <w:pPr>
        <w:keepNext/>
      </w:pPr>
      <w:r>
        <w:rPr>
          <w:b/>
        </w:rPr>
        <w:t>Remediación</w:t>
      </w:r>
    </w:p>
    <w:p>
      <w:r>
        <w:rPr>
          <w:b w:val="0"/>
          <w:i w:val="0"/>
        </w:rPr>
        <w:t>Definir una revisión inmutable para el conjunto aprobado y verificarla en el punto que acepta el envío. Toda edición económica debe invalidar la autorización anterior. Conservar la relación entre persona, revisión y decisión, incluyendo las modificaciones rechazadas; no basta con añadir una etiqueta nueva a la pantalla.</w:t>
      </w:r>
    </w:p>
    <w:p>
      <w:pPr>
        <w:pStyle w:val="Heading3"/>
        <w:keepNext/>
        <w:keepLines/>
      </w:pPr>
      <w:r>
        <w:rPr>
          <w:b/>
          <w:color w:val="314959"/>
          <w:sz w:val="21"/>
        </w:rPr>
        <w:t>Referencias</w:t>
      </w:r>
    </w:p>
    <w:p>
      <w:pPr>
        <w:pStyle w:val="ListBullet"/>
      </w:pPr>
      <w:r>
        <w:rPr>
          <w:lang w:val="zxx-ZZ-x-rgwrap"/>
        </w:rPr>
        <w:t>https://review.albor.example/round15/ALB-01?state=pending&amp;execution=none#criteria</w:t>
      </w:r>
    </w:p>
    <w:p>
      <w:pPr>
        <w:pStyle w:val="Heading3"/>
        <w:keepNext/>
        <w:keepLines/>
      </w:pPr>
      <w:r>
        <w:rPr>
          <w:b/>
          <w:color w:val="314959"/>
          <w:sz w:val="21"/>
        </w:rPr>
        <w:t>Procedimiento detallado</w:t>
      </w:r>
    </w:p>
    <w:p>
      <w:pPr>
        <w:keepNext/>
      </w:pPr>
      <w:r>
        <w:rPr>
          <w:b/>
        </w:rPr>
        <w:t xml:space="preserve">ALB-C01-1 </w:t>
      </w:r>
    </w:p>
    <w:p>
      <w:r>
        <w:rPr>
          <w:b w:val="0"/>
          <w:i w:val="0"/>
        </w:rPr>
        <w:t>Pendiente: aprobar una revisión de laboratorio, cambiar una cuenta y comprobar que el envío requiere una decisión nueva; conservar ambas revisiones y la respuesta de rechazo.</w:t>
      </w:r>
    </w:p>
    <w:p>
      <w:pPr>
        <w:keepNext/>
      </w:pPr>
      <w:r>
        <w:rPr>
          <w:b/>
        </w:rPr>
        <w:t xml:space="preserve">ALB-C01-2 </w:t>
      </w:r>
    </w:p>
    <w:p>
      <w:r>
        <w:rPr>
          <w:b w:val="0"/>
          <w:i w:val="0"/>
        </w:rPr>
        <w:t>Pendiente: repetir el mismo envío autorizado sin cambios y demostrar que no se duplica la obligación; vincular la observación al estado contable, no sólo al código de transporte.</w:t>
      </w:r>
    </w:p>
    <w:p>
      <w:pPr>
        <w:keepNext/>
        <w:jc w:val="center"/>
      </w:pPr>
      <w:r>
        <w:drawing>
          <wp:inline xmlns:a="http://schemas.openxmlformats.org/drawingml/2006/main" xmlns:pic="http://schemas.openxmlformats.org/drawingml/2006/picture" distL="0" distR="0" distT="0" distB="0">
            <wp:extent cx="5400000" cy="1774286"/>
            <wp:docPr id="2" name="Picture 2" descr=""/>
            <wp:cNvGraphicFramePr>
              <a:graphicFrameLocks noChangeAspect="1"/>
            </wp:cNvGraphicFramePr>
            <a:graphic>
              <a:graphicData uri="http://schemas.openxmlformats.org/drawingml/2006/picture">
                <pic:pic>
                  <pic:nvPicPr>
                    <pic:cNvPr id="0" name="e01.png"/>
                    <pic:cNvPicPr/>
                  </pic:nvPicPr>
                  <pic:blipFill>
                    <a:blip r:embed="rId12"/>
                    <a:stretch>
                      <a:fillRect/>
                    </a:stretch>
                  </pic:blipFill>
                  <pic:spPr>
                    <a:xfrm>
                      <a:off x="0" y="0"/>
                      <a:ext cx="5400000" cy="1774286"/>
                    </a:xfrm>
                    <a:prstGeom prst="rect"/>
                  </pic:spPr>
                </pic:pic>
              </a:graphicData>
            </a:graphic>
          </wp:inline>
        </w:drawing>
      </w:r>
    </w:p>
    <w:p>
      <w:pPr>
        <w:keepLines/>
      </w:pPr>
      <w:r>
        <w:rPr>
          <w:b/>
          <w:i/>
          <w:color w:val="314959"/>
          <w:sz w:val="18"/>
        </w:rPr>
        <w:t xml:space="preserve">Figura 1. </w:t>
      </w:r>
      <w:r>
        <w:rPr>
          <w:i/>
          <w:color w:val="536273"/>
          <w:sz w:val="18"/>
        </w:rPr>
      </w:r>
    </w:p>
    <w:p>
      <w:pPr>
        <w:keepNext/>
      </w:pPr>
      <w:r>
        <w:rPr>
          <w:b/>
          <w:i w:val="0"/>
        </w:rPr>
        <w:t>Activos afectados</w:t>
      </w:r>
    </w:p>
    <w:p>
      <w:pPr>
        <w:keepNext w:val="0"/>
        <w:keepLines/>
        <w:numPr>
          <w:ilvl w:val="0"/>
          <w:numId w:val="10"/>
        </w:numPr>
        <w:ind w:left="369" w:hanging="227"/>
      </w:pPr>
      <w:r>
        <w:t>treasury.albor.example</w:t>
      </w:r>
    </w:p>
    <w:p>
      <w:pPr>
        <w:pStyle w:val="Heading2"/>
        <w:keepNext/>
        <w:keepLines/>
      </w:pPr>
      <w:bookmarkStart w:id="8" w:name="rg_ref_71a7f3bb0e5dd731a0916f1c"/>
      <w:r>
        <w:rPr>
          <w:b/>
          <w:color w:val="314959"/>
          <w:sz w:val="25"/>
        </w:rPr>
        <w:t>ALB-02 Una previsión de liquidez podría mezclar una población reciente con un saldo antiguo</w:t>
      </w:r>
      <w:r>
        <w:t xml:space="preserve"> </w:t>
      </w:r>
      <w:r>
        <w:rPr>
          <w:b/>
          <w:color w:val="FFFFFF"/>
          <w:shd w:val="clear" w:fill="795d00"/>
        </w:rPr>
        <w:t xml:space="preserve"> Media </w:t>
      </w:r>
      <w:bookmarkEnd w:id="8"/>
    </w:p>
    <w:p>
      <w:pPr>
        <w:pStyle w:val="ReportGenMeta"/>
        <w:keepNext/>
        <w:keepLines/>
        <w:tabs>
          <w:tab w:pos="2608" w:val="left"/>
        </w:tabs>
        <w:spacing w:after="80"/>
        <w:ind w:left="2608" w:hanging="2608"/>
        <w:shd w:val="clear" w:fill="edf2f5"/>
      </w:pPr>
      <w:r>
        <w:rPr>
          <w:rFonts w:ascii="DejaVu Sans Mono" w:hAnsi="DejaVu Sans Mono"/>
          <w:color w:val="536273"/>
          <w:sz w:val="17"/>
        </w:rPr>
        <w:t>Dominio afectado</w:t>
      </w:r>
      <w:r>
        <w:tab/>
      </w:r>
      <w:r>
        <w:t>ALB-A01 treasury.albor.example</w:t>
      </w:r>
    </w:p>
    <w:p>
      <w:pPr>
        <w:keepNext/>
      </w:pPr>
      <w:r>
        <w:rPr>
          <w:b/>
        </w:rPr>
        <w:t>Descripción (incl. causa raíz)</w:t>
      </w:r>
    </w:p>
    <w:p>
      <w:pPr>
        <w:pStyle w:val="Heading3"/>
      </w:pPr>
      <w:r>
        <w:rPr>
          <w:b w:val="0"/>
          <w:i w:val="0"/>
        </w:rPr>
        <w:t>Contexto del modelo</w:t>
      </w:r>
    </w:p>
    <w:p>
      <w:r>
        <w:rPr>
          <w:b w:val="0"/>
          <w:i w:val="0"/>
        </w:rPr>
        <w:t>El panel de tesorería combina solicitudes pendientes y saldos de cierre para preparar una decisión de fondeo. En el escenario, las dos fuentes se actualizan por canales independientes. El documento no contiene saldos de clientes ni mediciones de retraso reales.</w:t>
      </w:r>
    </w:p>
    <w:p>
      <w:pPr>
        <w:pStyle w:val="Heading3"/>
      </w:pPr>
      <w:r>
        <w:rPr>
          <w:b w:val="0"/>
          <w:i w:val="0"/>
        </w:rPr>
        <w:t>Hipótesis documental</w:t>
      </w:r>
    </w:p>
    <w:p>
      <w:r>
        <w:rPr>
          <w:b w:val="0"/>
          <w:i w:val="0"/>
        </w:rPr>
        <w:t>La hipótesis consiste en mostrar un total coherente aritméticamente cuya población pertenece a instantes distintos. Un sello de actualización del panel puede describir la consulta y ocultar la antigüedad de uno de sus insumos. El control relevante es el contrato temporal de cada dato, no que la suma termine sin errores.</w:t>
      </w:r>
    </w:p>
    <w:p>
      <w:pPr>
        <w:keepNext/>
      </w:pPr>
      <w:r>
        <w:rPr>
          <w:b/>
        </w:rPr>
        <w:t>Impacto de seguridad</w:t>
      </w:r>
    </w:p>
    <w:p>
      <w:r>
        <w:rPr>
          <w:b w:val="0"/>
          <w:i w:val="0"/>
        </w:rPr>
        <w:t>La decisión de fondeo podría basarse en disponibilidad que ya no existe o en obligaciones que aún no pertenecen a la ventana seleccionada. La consecuencia depende de la política de tesorería; no se asignan pérdida, probabilidad ni incumplimiento contractual.</w:t>
      </w:r>
    </w:p>
    <w:p>
      <w:pPr>
        <w:keepNext/>
      </w:pPr>
      <w:r>
        <w:rPr>
          <w:b/>
        </w:rPr>
        <w:t>Remediación</w:t>
      </w:r>
    </w:p>
    <w:p>
      <w:r>
        <w:rPr>
          <w:b w:val="0"/>
          <w:i w:val="0"/>
        </w:rPr>
        <w:t>Exponer el instante y la población de cada insumo y rechazar una recomendación cuando su combinación no cumpla una regla documentada. Permitir una vista parcial identificada como tal. Mantener el detalle suficiente para reconstruir el total sin presentar un resultado incompleto como una posición definitiva.</w:t>
      </w:r>
    </w:p>
    <w:p>
      <w:pPr>
        <w:pStyle w:val="Heading3"/>
        <w:keepNext/>
        <w:keepLines/>
      </w:pPr>
      <w:r>
        <w:rPr>
          <w:b/>
          <w:color w:val="314959"/>
          <w:sz w:val="21"/>
        </w:rPr>
        <w:t>Referencias</w:t>
      </w:r>
    </w:p>
    <w:p>
      <w:pPr>
        <w:pStyle w:val="ListBullet"/>
      </w:pPr>
      <w:r>
        <w:rPr>
          <w:lang w:val="zxx-ZZ-x-rgwrap"/>
        </w:rPr>
        <w:t>https://review.albor.example/round15/ALB-02?state=pending&amp;execution=none#criteria</w:t>
      </w:r>
    </w:p>
    <w:p>
      <w:pPr>
        <w:pStyle w:val="Heading3"/>
        <w:keepNext/>
        <w:keepLines/>
      </w:pPr>
      <w:r>
        <w:rPr>
          <w:b/>
          <w:color w:val="314959"/>
          <w:sz w:val="21"/>
        </w:rPr>
        <w:t>Procedimiento detallado</w:t>
      </w:r>
    </w:p>
    <w:p>
      <w:pPr>
        <w:keepNext/>
      </w:pPr>
      <w:r>
        <w:rPr>
          <w:b/>
        </w:rPr>
        <w:t xml:space="preserve">ALB-C02-1 </w:t>
      </w:r>
    </w:p>
    <w:p>
      <w:r>
        <w:rPr>
          <w:b w:val="0"/>
          <w:i w:val="0"/>
        </w:rPr>
        <w:t>Pendiente: retrasar sólo la fuente de saldos en un entorno autorizado y comprobar que la vista distingue frescura de consulta y frescura de contenido, sin inventar un saldo.</w:t>
      </w:r>
    </w:p>
    <w:p>
      <w:pPr>
        <w:keepNext/>
      </w:pPr>
      <w:r>
        <w:rPr>
          <w:b/>
        </w:rPr>
        <w:t xml:space="preserve">ALB-C02-2 </w:t>
      </w:r>
    </w:p>
    <w:p>
      <w:r>
        <w:rPr>
          <w:b w:val="0"/>
          <w:i w:val="0"/>
        </w:rPr>
        <w:t>Pendiente: introducir una instrucción en el límite de la ventana y reconstruir por identificador qué elementos entran en cada total y cuáles quedan explícitamente pendientes.</w:t>
      </w:r>
    </w:p>
    <w:p>
      <w:pPr>
        <w:keepNext/>
      </w:pPr>
      <w:r>
        <w:rPr>
          <w:b/>
          <w:i w:val="0"/>
        </w:rPr>
        <w:t>Activos afectados</w:t>
      </w:r>
    </w:p>
    <w:p>
      <w:pPr>
        <w:keepNext w:val="0"/>
        <w:keepLines/>
        <w:numPr>
          <w:ilvl w:val="0"/>
          <w:numId w:val="11"/>
        </w:numPr>
        <w:ind w:left="369" w:hanging="227"/>
      </w:pPr>
      <w:r>
        <w:t>treasury.albor.example</w:t>
      </w:r>
    </w:p>
    <w:p>
      <w:pPr>
        <w:pStyle w:val="Heading2"/>
        <w:keepNext/>
        <w:keepLines/>
      </w:pPr>
      <w:bookmarkStart w:id="9" w:name="rg_ref_d0c32e41fb28d5863b0f9727"/>
      <w:r>
        <w:rPr>
          <w:b/>
          <w:color w:val="314959"/>
          <w:sz w:val="25"/>
        </w:rPr>
        <w:t>ALB-03 Una plantilla de beneficiario podría cambiar después de ser seleccionada</w:t>
      </w:r>
      <w:r>
        <w:t xml:space="preserve"> </w:t>
      </w:r>
      <w:r>
        <w:rPr>
          <w:b/>
          <w:color w:val="FFFFFF"/>
          <w:shd w:val="clear" w:fill="a63b0a"/>
        </w:rPr>
        <w:t xml:space="preserve"> Alta </w:t>
      </w:r>
      <w:bookmarkEnd w:id="9"/>
    </w:p>
    <w:p>
      <w:pPr>
        <w:pStyle w:val="ReportGenMeta"/>
        <w:keepNext/>
        <w:keepLines/>
        <w:tabs>
          <w:tab w:pos="2608" w:val="left"/>
        </w:tabs>
        <w:spacing w:after="80"/>
        <w:ind w:left="2608" w:hanging="2608"/>
        <w:shd w:val="clear" w:fill="edf2f5"/>
      </w:pPr>
      <w:r>
        <w:rPr>
          <w:rFonts w:ascii="DejaVu Sans Mono" w:hAnsi="DejaVu Sans Mono"/>
          <w:color w:val="536273"/>
          <w:sz w:val="17"/>
        </w:rPr>
        <w:t>Dominio afectado</w:t>
      </w:r>
      <w:r>
        <w:tab/>
      </w:r>
      <w:r>
        <w:t>ALB-A02 beneficiaries.albor.example</w:t>
      </w:r>
    </w:p>
    <w:p>
      <w:pPr>
        <w:keepNext/>
      </w:pPr>
      <w:r>
        <w:rPr>
          <w:b/>
        </w:rPr>
        <w:t>Descripción (incl. causa raíz)</w:t>
      </w:r>
    </w:p>
    <w:p>
      <w:pPr>
        <w:pStyle w:val="Heading3"/>
      </w:pPr>
      <w:r>
        <w:rPr>
          <w:b w:val="0"/>
          <w:i w:val="0"/>
        </w:rPr>
        <w:t>Contexto del modelo</w:t>
      </w:r>
    </w:p>
    <w:p>
      <w:r>
        <w:rPr>
          <w:b w:val="0"/>
          <w:i w:val="0"/>
        </w:rPr>
        <w:t>El catálogo ficticio permite que la mesa reutilice una plantilla de beneficiario en lugar de escribir una cuenta en cada operación. El caso separa selección, preparación y aceptación de la instrucción. Ninguna cuenta del documento corresponde a una persona real.</w:t>
      </w:r>
    </w:p>
    <w:p>
      <w:pPr>
        <w:pStyle w:val="Heading3"/>
      </w:pPr>
      <w:r>
        <w:rPr>
          <w:b w:val="0"/>
          <w:i w:val="0"/>
        </w:rPr>
        <w:t>Hipótesis documental</w:t>
      </w:r>
    </w:p>
    <w:p>
      <w:r>
        <w:rPr>
          <w:b w:val="0"/>
          <w:i w:val="0"/>
        </w:rPr>
        <w:t>Se plantea que la instrucción retenga sólo el identificador mutable de la plantilla. Si sus datos cambian después de la selección, el ejecutor podría resolver un destino distinto del mostrado al operador. No se presupone acceso indebido al catálogo: incluso una corrección legítima necesita una regla para operaciones ya preparadas.</w:t>
      </w:r>
    </w:p>
    <w:p>
      <w:pPr>
        <w:keepNext/>
      </w:pPr>
      <w:r>
        <w:rPr>
          <w:b/>
        </w:rPr>
        <w:t>Impacto de seguridad</w:t>
      </w:r>
    </w:p>
    <w:p>
      <w:r>
        <w:rPr>
          <w:b w:val="0"/>
          <w:i w:val="0"/>
        </w:rPr>
        <w:t>La misma referencia visible podría explicar dos destinos económicos diferentes. Esto dificultaría atribuir la decisión y decidir qué obligaciones requieren revisión. El caso no acredita que se haya enviado una operación a un destino incorrecto.</w:t>
      </w:r>
    </w:p>
    <w:p>
      <w:pPr>
        <w:keepNext/>
      </w:pPr>
      <w:r>
        <w:rPr>
          <w:b/>
        </w:rPr>
        <w:t>Remediación</w:t>
      </w:r>
    </w:p>
    <w:p>
      <w:r>
        <w:rPr>
          <w:b w:val="0"/>
          <w:i w:val="0"/>
        </w:rPr>
        <w:t>Vincular cada instrucción a la revisión del beneficiario realmente aceptada y mostrar cualquier cambio relevante antes de otra autorización. Separar la corrección del catálogo de la modificación de operaciones existentes. El historial debe permitir reconstruir el valor previo sin sobrescribirlo con el destino vigente.</w:t>
      </w:r>
    </w:p>
    <w:p>
      <w:pPr>
        <w:pStyle w:val="Heading3"/>
        <w:keepNext/>
        <w:keepLines/>
      </w:pPr>
      <w:r>
        <w:rPr>
          <w:b/>
          <w:color w:val="314959"/>
          <w:sz w:val="21"/>
        </w:rPr>
        <w:t>Referencias</w:t>
      </w:r>
    </w:p>
    <w:p>
      <w:pPr>
        <w:pStyle w:val="ListBullet"/>
      </w:pPr>
      <w:r>
        <w:rPr>
          <w:lang w:val="zxx-ZZ-x-rgwrap"/>
        </w:rPr>
        <w:t>https://review.albor.example/round15/ALB-03?state=pending&amp;execution=none#criteria</w:t>
      </w:r>
    </w:p>
    <w:p>
      <w:pPr>
        <w:pStyle w:val="Heading3"/>
        <w:keepNext/>
        <w:keepLines/>
      </w:pPr>
      <w:r>
        <w:rPr>
          <w:b/>
          <w:color w:val="314959"/>
          <w:sz w:val="21"/>
        </w:rPr>
        <w:t>Procedimiento detallado</w:t>
      </w:r>
    </w:p>
    <w:p>
      <w:pPr>
        <w:keepNext/>
      </w:pPr>
      <w:r>
        <w:rPr>
          <w:b/>
        </w:rPr>
        <w:t xml:space="preserve">ALB-C03-1 </w:t>
      </w:r>
    </w:p>
    <w:p>
      <w:r>
        <w:rPr>
          <w:b w:val="0"/>
          <w:i w:val="0"/>
        </w:rPr>
        <w:t>Pendiente: preparar una instrucción con una revisión de laboratorio, modificar la plantilla y verificar que la operación conserva la revisión aceptada o exige una nueva aprobación explícita.</w:t>
      </w:r>
    </w:p>
    <w:p>
      <w:pPr>
        <w:keepNext/>
      </w:pPr>
      <w:r>
        <w:rPr>
          <w:b/>
        </w:rPr>
        <w:t xml:space="preserve">ALB-C03-2 </w:t>
      </w:r>
    </w:p>
    <w:p>
      <w:r>
        <w:rPr>
          <w:b w:val="0"/>
          <w:i w:val="0"/>
        </w:rPr>
        <w:t>Pendiente: consultar la explicación histórica desde una cuenta autorizada y confirmar que identifica el destino decidido entonces, además de distinguirlo de la revisión actual del catálogo.</w:t>
      </w:r>
    </w:p>
    <w:p>
      <w:pPr>
        <w:keepNext/>
      </w:pPr>
      <w:r>
        <w:rPr>
          <w:b/>
          <w:i w:val="0"/>
        </w:rPr>
        <w:t>Activos afectados</w:t>
      </w:r>
    </w:p>
    <w:p>
      <w:pPr>
        <w:keepNext w:val="0"/>
        <w:keepLines/>
        <w:numPr>
          <w:ilvl w:val="0"/>
          <w:numId w:val="12"/>
        </w:numPr>
        <w:ind w:left="369" w:hanging="227"/>
      </w:pPr>
      <w:r>
        <w:t>beneficiaries.albor.example</w:t>
      </w:r>
    </w:p>
    <w:p>
      <w:pPr>
        <w:pStyle w:val="Heading2"/>
        <w:keepNext/>
        <w:keepLines/>
      </w:pPr>
      <w:bookmarkStart w:id="10" w:name="rg_ref_19b7a30b1c4e3ce460443493"/>
      <w:r>
        <w:rPr>
          <w:b/>
          <w:color w:val="314959"/>
          <w:sz w:val="25"/>
        </w:rPr>
        <w:t>ALB-04 La vigencia de una cotización podría evaluarse sólo al abrir el formulario</w:t>
      </w:r>
      <w:r>
        <w:t xml:space="preserve"> </w:t>
      </w:r>
      <w:r>
        <w:rPr>
          <w:b/>
          <w:color w:val="FFFFFF"/>
          <w:shd w:val="clear" w:fill="795d00"/>
        </w:rPr>
        <w:t xml:space="preserve"> Media </w:t>
      </w:r>
      <w:bookmarkEnd w:id="10"/>
    </w:p>
    <w:p>
      <w:pPr>
        <w:pStyle w:val="ReportGenMeta"/>
        <w:keepNext/>
        <w:keepLines/>
        <w:tabs>
          <w:tab w:pos="2608" w:val="left"/>
        </w:tabs>
        <w:spacing w:after="80"/>
        <w:ind w:left="2608" w:hanging="2608"/>
        <w:shd w:val="clear" w:fill="edf2f5"/>
      </w:pPr>
      <w:r>
        <w:rPr>
          <w:rFonts w:ascii="DejaVu Sans Mono" w:hAnsi="DejaVu Sans Mono"/>
          <w:color w:val="536273"/>
          <w:sz w:val="17"/>
        </w:rPr>
        <w:t>Dominio afectado</w:t>
      </w:r>
      <w:r>
        <w:tab/>
      </w:r>
      <w:r>
        <w:t>ALB-A02 beneficiaries.albor.example</w:t>
      </w:r>
    </w:p>
    <w:p>
      <w:pPr>
        <w:keepNext/>
      </w:pPr>
      <w:r>
        <w:rPr>
          <w:b/>
        </w:rPr>
        <w:t>Descripción (incl. causa raíz)</w:t>
      </w:r>
    </w:p>
    <w:p>
      <w:pPr>
        <w:pStyle w:val="Heading3"/>
      </w:pPr>
      <w:r>
        <w:rPr>
          <w:b w:val="0"/>
          <w:i w:val="0"/>
        </w:rPr>
        <w:t>Contexto del modelo</w:t>
      </w:r>
    </w:p>
    <w:p>
      <w:r>
        <w:rPr>
          <w:b w:val="0"/>
          <w:i w:val="0"/>
        </w:rPr>
        <w:t>Una instrucción de tesorería puede conservar una cotización mientras el operador completa otros datos. El modelo distingue hora de recepción, vencimiento declarado y momento de aceptación. No se incluyen precios de mercado ni compromisos comerciales reales.</w:t>
      </w:r>
    </w:p>
    <w:p>
      <w:pPr>
        <w:pStyle w:val="Heading3"/>
      </w:pPr>
      <w:r>
        <w:rPr>
          <w:b w:val="0"/>
          <w:i w:val="0"/>
        </w:rPr>
        <w:t>Hipótesis documental</w:t>
      </w:r>
    </w:p>
    <w:p>
      <w:r>
        <w:rPr>
          <w:b w:val="0"/>
          <w:i w:val="0"/>
        </w:rPr>
        <w:t>La hipótesis es que el formulario compruebe vigencia al cargar y el servidor acepte después el mismo dato sin volver a examinar su contrato. Una pantalla activa no acredita que una cotización siga disponible. La comparación también debe definir qué reloj y qué instante deciden el límite.</w:t>
      </w:r>
    </w:p>
    <w:p>
      <w:pPr>
        <w:keepNext/>
      </w:pPr>
      <w:r>
        <w:rPr>
          <w:b/>
        </w:rPr>
        <w:t>Impacto de seguridad</w:t>
      </w:r>
    </w:p>
    <w:p>
      <w:r>
        <w:rPr>
          <w:b w:val="0"/>
          <w:i w:val="0"/>
        </w:rPr>
        <w:t>Una instrucción podría llegar con una condición que ya no estaba ofrecida, generando una discrepancia entre la intención del operador y el compromiso registrado. Este efecto sigue sin verificar y no permite calcular diferencia monetaria.</w:t>
      </w:r>
    </w:p>
    <w:p>
      <w:pPr>
        <w:keepNext/>
      </w:pPr>
      <w:r>
        <w:rPr>
          <w:b/>
        </w:rPr>
        <w:t>Remediación</w:t>
      </w:r>
    </w:p>
    <w:p>
      <w:r>
        <w:rPr>
          <w:b w:val="0"/>
          <w:i w:val="0"/>
        </w:rPr>
        <w:t>Aplicar la regla de vigencia en la aceptación económica y devolver una razón explícita cuando cambie la condición. La renovación debe generar una decisión visible; no sustituir silenciosamente el precio. Registrar los instantes relevantes y la revisión de la regla con que se tomó cada decisión.</w:t>
      </w:r>
    </w:p>
    <w:p>
      <w:pPr>
        <w:pStyle w:val="Heading3"/>
        <w:keepNext/>
        <w:keepLines/>
      </w:pPr>
      <w:r>
        <w:rPr>
          <w:b/>
          <w:color w:val="314959"/>
          <w:sz w:val="21"/>
        </w:rPr>
        <w:t>Referencias</w:t>
      </w:r>
    </w:p>
    <w:p>
      <w:pPr>
        <w:pStyle w:val="ListBullet"/>
      </w:pPr>
      <w:r>
        <w:rPr>
          <w:lang w:val="zxx-ZZ-x-rgwrap"/>
        </w:rPr>
        <w:t>https://review.albor.example/round15/ALB-04?state=pending&amp;execution=none#criteria</w:t>
      </w:r>
    </w:p>
    <w:p>
      <w:pPr>
        <w:pStyle w:val="Heading3"/>
        <w:keepNext/>
        <w:keepLines/>
      </w:pPr>
      <w:r>
        <w:rPr>
          <w:b/>
          <w:color w:val="314959"/>
          <w:sz w:val="21"/>
        </w:rPr>
        <w:t>Procedimiento detallado</w:t>
      </w:r>
    </w:p>
    <w:p>
      <w:pPr>
        <w:keepNext/>
      </w:pPr>
      <w:r>
        <w:rPr>
          <w:b/>
        </w:rPr>
        <w:t xml:space="preserve">ALB-C04-1 </w:t>
      </w:r>
    </w:p>
    <w:p>
      <w:r>
        <w:rPr>
          <w:b w:val="0"/>
          <w:i w:val="0"/>
        </w:rPr>
        <w:t>Pendiente: presentar una cotización de laboratorio a ambos lados del vencimiento controlado y comprobar la decisión del servidor, conservando los relojes y el contrato de comparación.</w:t>
      </w:r>
    </w:p>
    <w:p>
      <w:pPr>
        <w:keepNext/>
      </w:pPr>
      <w:r>
        <w:rPr>
          <w:b/>
        </w:rPr>
        <w:t xml:space="preserve">ALB-C04-2 </w:t>
      </w:r>
    </w:p>
    <w:p>
      <w:r>
        <w:rPr>
          <w:b w:val="0"/>
          <w:i w:val="0"/>
        </w:rPr>
        <w:t>Pendiente: simular una renovación y confirmar que la interfaz solicita aceptación de la nueva condición antes de continuar, preservando el historial de ambas decisiones.</w:t>
      </w:r>
    </w:p>
    <w:p>
      <w:pPr>
        <w:keepNext/>
      </w:pPr>
      <w:r>
        <w:rPr>
          <w:b/>
          <w:i w:val="0"/>
        </w:rPr>
        <w:t>Activos afectados</w:t>
      </w:r>
    </w:p>
    <w:p>
      <w:pPr>
        <w:keepNext w:val="0"/>
        <w:keepLines/>
        <w:numPr>
          <w:ilvl w:val="0"/>
          <w:numId w:val="13"/>
        </w:numPr>
        <w:ind w:left="369" w:hanging="227"/>
      </w:pPr>
      <w:r>
        <w:t>beneficiaries.albor.example</w:t>
      </w:r>
    </w:p>
    <w:p>
      <w:pPr>
        <w:pStyle w:val="Heading2"/>
        <w:keepNext/>
        <w:keepLines/>
      </w:pPr>
      <w:bookmarkStart w:id="11" w:name="rg_ref_6044742aca0a2a706fc2cee1"/>
      <w:r>
        <w:rPr>
          <w:b/>
          <w:color w:val="314959"/>
          <w:sz w:val="25"/>
        </w:rPr>
        <w:t>ALB-05 El rechazo de una instrucción podría ocultar un efecto contable parcial</w:t>
      </w:r>
      <w:r>
        <w:t xml:space="preserve"> </w:t>
      </w:r>
      <w:r>
        <w:rPr>
          <w:b/>
          <w:color w:val="FFFFFF"/>
          <w:shd w:val="clear" w:fill="a63b0a"/>
        </w:rPr>
        <w:t xml:space="preserve"> Alta </w:t>
      </w:r>
      <w:bookmarkEnd w:id="11"/>
    </w:p>
    <w:p>
      <w:pPr>
        <w:pStyle w:val="ReportGenMeta"/>
        <w:keepNext/>
        <w:keepLines/>
        <w:tabs>
          <w:tab w:pos="2608" w:val="left"/>
        </w:tabs>
        <w:spacing w:after="80"/>
        <w:ind w:left="2608" w:hanging="2608"/>
        <w:shd w:val="clear" w:fill="edf2f5"/>
      </w:pPr>
      <w:r>
        <w:rPr>
          <w:rFonts w:ascii="DejaVu Sans Mono" w:hAnsi="DejaVu Sans Mono"/>
          <w:color w:val="536273"/>
          <w:sz w:val="17"/>
        </w:rPr>
        <w:t>Dominio afectado</w:t>
      </w:r>
      <w:r>
        <w:tab/>
      </w:r>
      <w:r>
        <w:t>ALB-A03 192.0.2.153</w:t>
      </w:r>
    </w:p>
    <w:p>
      <w:pPr>
        <w:keepNext/>
      </w:pPr>
      <w:r>
        <w:rPr>
          <w:b/>
        </w:rPr>
        <w:t>Descripción (incl. causa raíz)</w:t>
      </w:r>
    </w:p>
    <w:p>
      <w:pPr>
        <w:pStyle w:val="Heading3"/>
      </w:pPr>
      <w:r>
        <w:rPr>
          <w:b w:val="0"/>
          <w:i w:val="0"/>
        </w:rPr>
        <w:t>Contexto del modelo</w:t>
      </w:r>
    </w:p>
    <w:p>
      <w:r>
        <w:rPr>
          <w:b w:val="0"/>
          <w:i w:val="0"/>
        </w:rPr>
        <w:t>La cola documental separa la reserva interna de la aceptación final de una instrucción. Se contempla una respuesta de rechazo después de iniciar parte del trabajo. No se presupone que una transacción de base de datos cubra todas las dependencias del modelo.</w:t>
      </w:r>
    </w:p>
    <w:p>
      <w:pPr>
        <w:pStyle w:val="Heading3"/>
      </w:pPr>
      <w:r>
        <w:rPr>
          <w:b w:val="0"/>
          <w:i w:val="0"/>
        </w:rPr>
        <w:t>Hipótesis documental</w:t>
      </w:r>
    </w:p>
    <w:p>
      <w:r>
        <w:rPr>
          <w:b w:val="0"/>
          <w:i w:val="0"/>
        </w:rPr>
        <w:t>La hipótesis es que el estado visible se cierre como rechazado sin explicar si una reserva o asiento intermedio permanece activo. El rechazo de transporte y la inexistencia de obligación no son equivalentes. Una compensación enviada tampoco acredita que haya sido aceptada y aplicada.</w:t>
      </w:r>
    </w:p>
    <w:p>
      <w:pPr>
        <w:keepNext/>
      </w:pPr>
      <w:r>
        <w:rPr>
          <w:b/>
        </w:rPr>
        <w:t>Impacto de seguridad</w:t>
      </w:r>
    </w:p>
    <w:p>
      <w:r>
        <w:rPr>
          <w:b w:val="0"/>
          <w:i w:val="0"/>
        </w:rPr>
        <w:t>La mesa podría tratar capacidad como disponible cuando aún está retenida, o reintentar una instrucción cuyo efecto no está resuelto. El riesgo cualitativo depende de la relación entre estados; este informe no aporta un asiento bancario observado.</w:t>
      </w:r>
    </w:p>
    <w:p>
      <w:pPr>
        <w:keepNext/>
      </w:pPr>
      <w:r>
        <w:rPr>
          <w:b/>
        </w:rPr>
        <w:t>Remediación</w:t>
      </w:r>
    </w:p>
    <w:p>
      <w:r>
        <w:rPr>
          <w:b w:val="0"/>
          <w:i w:val="0"/>
        </w:rPr>
        <w:t>Definir estados intermedios explícitos y una reconciliación de efectos que no confunda fallo con ausencia de ejecución. Conservar la identidad de reserva, instrucción y compensación. Permitir que las operaciones independientes continúen sólo cuando se haya delimitado qué ambigüedades no pueden afectarlas.</w:t>
      </w:r>
    </w:p>
    <w:p>
      <w:pPr>
        <w:pStyle w:val="Heading3"/>
        <w:keepNext/>
        <w:keepLines/>
      </w:pPr>
      <w:r>
        <w:rPr>
          <w:b/>
          <w:color w:val="314959"/>
          <w:sz w:val="21"/>
        </w:rPr>
        <w:t>Referencias</w:t>
      </w:r>
    </w:p>
    <w:p>
      <w:pPr>
        <w:pStyle w:val="ListBullet"/>
      </w:pPr>
      <w:r>
        <w:rPr>
          <w:lang w:val="zxx-ZZ-x-rgwrap"/>
        </w:rPr>
        <w:t>https://review.albor.example/round15/ALB-05?state=pending&amp;execution=none#criteria</w:t>
      </w:r>
    </w:p>
    <w:p>
      <w:pPr>
        <w:pStyle w:val="Heading3"/>
        <w:keepNext/>
        <w:keepLines/>
      </w:pPr>
      <w:r>
        <w:rPr>
          <w:b/>
          <w:color w:val="314959"/>
          <w:sz w:val="21"/>
        </w:rPr>
        <w:t>Procedimiento detallado</w:t>
      </w:r>
    </w:p>
    <w:p>
      <w:pPr>
        <w:keepNext/>
      </w:pPr>
      <w:r>
        <w:rPr>
          <w:b/>
        </w:rPr>
        <w:t xml:space="preserve">ALB-C05-1 </w:t>
      </w:r>
    </w:p>
    <w:p>
      <w:r>
        <w:rPr>
          <w:b w:val="0"/>
          <w:i w:val="0"/>
        </w:rPr>
        <w:t>Pendiente: provocar un rechazo controlado entre reserva y aceptación en laboratorio y reconstruir todos los efectos persistidos, incluidos los que requieren resolución posterior.</w:t>
      </w:r>
    </w:p>
    <w:p>
      <w:pPr>
        <w:keepNext/>
      </w:pPr>
      <w:r>
        <w:rPr>
          <w:b/>
        </w:rPr>
        <w:t xml:space="preserve">ALB-C05-2 </w:t>
      </w:r>
    </w:p>
    <w:p>
      <w:r>
        <w:rPr>
          <w:b w:val="0"/>
          <w:i w:val="0"/>
        </w:rPr>
        <w:t>Pendiente: reintentar la instrucción desde el estado ambiguo y comprobar que no aumenta la obligación ni oculta una reserva pendiente; documentar la decisión de liberación.</w:t>
      </w:r>
    </w:p>
    <w:p>
      <w:pPr>
        <w:keepNext/>
      </w:pPr>
      <w:r>
        <w:rPr>
          <w:b/>
          <w:i w:val="0"/>
        </w:rPr>
        <w:t>Activos afectados</w:t>
      </w:r>
    </w:p>
    <w:p>
      <w:pPr>
        <w:keepNext w:val="0"/>
        <w:keepLines/>
        <w:numPr>
          <w:ilvl w:val="0"/>
          <w:numId w:val="14"/>
        </w:numPr>
        <w:ind w:left="369" w:hanging="227"/>
      </w:pPr>
      <w:r>
        <w:t>192.0.2.153</w:t>
      </w:r>
    </w:p>
    <w:p>
      <w:pPr>
        <w:pStyle w:val="Heading2"/>
        <w:keepNext/>
        <w:keepLines/>
      </w:pPr>
      <w:bookmarkStart w:id="12" w:name="rg_ref_fa90fb4e6e10cbdc65f9c436"/>
      <w:r>
        <w:rPr>
          <w:b/>
          <w:color w:val="314959"/>
          <w:sz w:val="25"/>
        </w:rPr>
        <w:t>ALB-06 Una instrucción retrasada podría cruzar el cierre de una ventana operativa</w:t>
      </w:r>
      <w:r>
        <w:t xml:space="preserve"> </w:t>
      </w:r>
      <w:r>
        <w:rPr>
          <w:b/>
          <w:color w:val="FFFFFF"/>
          <w:shd w:val="clear" w:fill="a63b0a"/>
        </w:rPr>
        <w:t xml:space="preserve"> Alta </w:t>
      </w:r>
      <w:bookmarkEnd w:id="12"/>
    </w:p>
    <w:p>
      <w:pPr>
        <w:pStyle w:val="ReportGenMeta"/>
        <w:keepNext/>
        <w:keepLines/>
        <w:tabs>
          <w:tab w:pos="2608" w:val="left"/>
        </w:tabs>
        <w:spacing w:after="80"/>
        <w:ind w:left="2608" w:hanging="2608"/>
        <w:shd w:val="clear" w:fill="edf2f5"/>
      </w:pPr>
      <w:r>
        <w:rPr>
          <w:rFonts w:ascii="DejaVu Sans Mono" w:hAnsi="DejaVu Sans Mono"/>
          <w:color w:val="536273"/>
          <w:sz w:val="17"/>
        </w:rPr>
        <w:t>Dominio afectado</w:t>
      </w:r>
      <w:r>
        <w:tab/>
      </w:r>
      <w:r>
        <w:t>ALB-A03 192.0.2.153</w:t>
      </w:r>
    </w:p>
    <w:p>
      <w:pPr>
        <w:keepNext/>
      </w:pPr>
      <w:r>
        <w:rPr>
          <w:b/>
        </w:rPr>
        <w:t>Descripción (incl. causa raíz)</w:t>
      </w:r>
    </w:p>
    <w:p>
      <w:pPr>
        <w:pStyle w:val="Heading3"/>
      </w:pPr>
      <w:r>
        <w:rPr>
          <w:b w:val="0"/>
          <w:i w:val="0"/>
        </w:rPr>
        <w:t>Contexto del modelo</w:t>
      </w:r>
    </w:p>
    <w:p>
      <w:r>
        <w:rPr>
          <w:b w:val="0"/>
          <w:i w:val="0"/>
        </w:rPr>
        <w:t>La mesa utiliza ventanas de procesamiento con un cierre documental para conciliación. Una instrucción puede esperar en cola y llegar después del cierre aunque se haya preparado antes. Las ventanas son reglas inventadas del ejercicio, no horarios de una red financiera real.</w:t>
      </w:r>
    </w:p>
    <w:p>
      <w:pPr>
        <w:pStyle w:val="Heading3"/>
      </w:pPr>
      <w:r>
        <w:rPr>
          <w:b w:val="0"/>
          <w:i w:val="0"/>
        </w:rPr>
        <w:t>Hipótesis documental</w:t>
      </w:r>
    </w:p>
    <w:p>
      <w:r>
        <w:rPr>
          <w:b w:val="0"/>
          <w:i w:val="0"/>
        </w:rPr>
        <w:t>Se plantea que el consumidor use la fecha de preparación para admitir la instrucción en una ventana ya cerrada. El problema no es únicamente el reloj: también importa quién decide la pertenencia y cómo se trata una entrega tardía. Cambiar la fecha de una fila para que encaje ocultaría la secuencia original.</w:t>
      </w:r>
    </w:p>
    <w:p>
      <w:pPr>
        <w:keepNext/>
      </w:pPr>
      <w:r>
        <w:rPr>
          <w:b/>
        </w:rPr>
        <w:t>Impacto de seguridad</w:t>
      </w:r>
    </w:p>
    <w:p>
      <w:r>
        <w:rPr>
          <w:b w:val="0"/>
          <w:i w:val="0"/>
        </w:rPr>
        <w:t>El conjunto conciliado podría modificarse después de que el equipo lo considere completo. Un informe posterior mostraría diferencias difíciles de atribuir a una operación concreta. No se afirma que un cierre contable real haya sido alterado.</w:t>
      </w:r>
    </w:p>
    <w:p>
      <w:pPr>
        <w:keepNext/>
      </w:pPr>
      <w:r>
        <w:rPr>
          <w:b/>
        </w:rPr>
        <w:t>Remediación</w:t>
      </w:r>
    </w:p>
    <w:p>
      <w:r>
        <w:rPr>
          <w:b w:val="0"/>
          <w:i w:val="0"/>
        </w:rPr>
        <w:t>Asignar la pertenencia a una ventana mediante una decisión verificable y conservar preparación, recepción y aceptación como instantes distintos. Las entregas tardías deben rechazarse o entrar en una excepción visible con dueño y revisión. No reabrir una población cerrada mediante una actualización silenciosa.</w:t>
      </w:r>
    </w:p>
    <w:p>
      <w:pPr>
        <w:pStyle w:val="Heading3"/>
        <w:keepNext/>
        <w:keepLines/>
      </w:pPr>
      <w:r>
        <w:rPr>
          <w:b/>
          <w:color w:val="314959"/>
          <w:sz w:val="21"/>
        </w:rPr>
        <w:t>Referencias</w:t>
      </w:r>
    </w:p>
    <w:p>
      <w:pPr>
        <w:pStyle w:val="ListBullet"/>
      </w:pPr>
      <w:r>
        <w:rPr>
          <w:lang w:val="zxx-ZZ-x-rgwrap"/>
        </w:rPr>
        <w:t>https://review.albor.example/round15/ALB-06?state=pending&amp;execution=none#criteria</w:t>
      </w:r>
    </w:p>
    <w:p>
      <w:pPr>
        <w:pStyle w:val="Heading3"/>
        <w:keepNext/>
        <w:keepLines/>
      </w:pPr>
      <w:r>
        <w:rPr>
          <w:b/>
          <w:color w:val="314959"/>
          <w:sz w:val="21"/>
        </w:rPr>
        <w:t>Procedimiento detallado</w:t>
      </w:r>
    </w:p>
    <w:p>
      <w:pPr>
        <w:keepNext/>
      </w:pPr>
      <w:r>
        <w:rPr>
          <w:b/>
        </w:rPr>
        <w:t xml:space="preserve">ALB-C06-1 </w:t>
      </w:r>
    </w:p>
    <w:p>
      <w:r>
        <w:rPr>
          <w:b w:val="0"/>
          <w:i w:val="0"/>
        </w:rPr>
        <w:t>Pendiente: retener una instrucción de laboratorio hasta después del cierre y comprobar que su tratamiento coincide con la política declarada, preservando la secuencia temporal original.</w:t>
      </w:r>
    </w:p>
    <w:p>
      <w:pPr>
        <w:keepNext/>
      </w:pPr>
      <w:r>
        <w:rPr>
          <w:b/>
        </w:rPr>
        <w:t xml:space="preserve">ALB-C06-2 </w:t>
      </w:r>
    </w:p>
    <w:p>
      <w:r>
        <w:rPr>
          <w:b w:val="0"/>
          <w:i w:val="0"/>
        </w:rPr>
        <w:t>Pendiente: repetir la entrega tardía y reconstruir la población conciliada anterior y posterior; verificar que cualquier excepción tiene una decisión explícita y no duplica efectos.</w:t>
      </w:r>
    </w:p>
    <w:p>
      <w:pPr>
        <w:keepNext/>
        <w:jc w:val="center"/>
      </w:pPr>
      <w:r>
        <w:drawing>
          <wp:inline xmlns:a="http://schemas.openxmlformats.org/drawingml/2006/main" xmlns:pic="http://schemas.openxmlformats.org/drawingml/2006/picture" distL="0" distR="0" distT="0" distB="0">
            <wp:extent cx="5400000" cy="2790000"/>
            <wp:docPr id="3" name="Picture 3" descr="ALB-E2-L01: Preparación y recepción son instantes distintos.&#10;ALB-E2-L02: La entrega tardía permanece pendiente; no se ejecutó una prueba."/>
            <wp:cNvGraphicFramePr>
              <a:graphicFrameLocks noChangeAspect="1"/>
            </wp:cNvGraphicFramePr>
            <a:graphic>
              <a:graphicData uri="http://schemas.openxmlformats.org/drawingml/2006/picture">
                <pic:pic>
                  <pic:nvPicPr>
                    <pic:cNvPr id="0" name="e02.png"/>
                    <pic:cNvPicPr/>
                  </pic:nvPicPr>
                  <pic:blipFill>
                    <a:blip r:embed="rId13"/>
                    <a:stretch>
                      <a:fillRect/>
                    </a:stretch>
                  </pic:blipFill>
                  <pic:spPr>
                    <a:xfrm>
                      <a:off x="0" y="0"/>
                      <a:ext cx="5400000" cy="2790000"/>
                    </a:xfrm>
                    <a:prstGeom prst="rect"/>
                  </pic:spPr>
                </pic:pic>
              </a:graphicData>
            </a:graphic>
          </wp:inline>
        </w:drawing>
      </w:r>
    </w:p>
    <w:p>
      <w:pPr>
        <w:keepLines/>
      </w:pPr>
      <w:r>
        <w:rPr>
          <w:b/>
          <w:i/>
          <w:color w:val="314959"/>
          <w:sz w:val="18"/>
        </w:rPr>
        <w:t xml:space="preserve">Figura 2. </w:t>
      </w:r>
      <w:r>
        <w:rPr>
          <w:i/>
          <w:color w:val="536273"/>
          <w:sz w:val="18"/>
        </w:rPr>
        <w:t>ALB-E2-L01: Preparación y recepción son instantes distintos.</w:t>
        <w:br/>
        <w:t>ALB-E2-L02: La entrega tardía permanece pendiente; no se ejecutó una prueba.</w:t>
      </w:r>
    </w:p>
    <w:p>
      <w:pPr>
        <w:keepNext/>
      </w:pPr>
      <w:r>
        <w:rPr>
          <w:b/>
          <w:i w:val="0"/>
        </w:rPr>
        <w:t>Activos afectados</w:t>
      </w:r>
    </w:p>
    <w:p>
      <w:pPr>
        <w:keepNext w:val="0"/>
        <w:keepLines/>
        <w:numPr>
          <w:ilvl w:val="0"/>
          <w:numId w:val="15"/>
        </w:numPr>
        <w:ind w:left="369" w:hanging="227"/>
      </w:pPr>
      <w:r>
        <w:t>192.0.2.153</w:t>
      </w:r>
    </w:p>
    <w:p>
      <w:pPr>
        <w:pStyle w:val="Heading2"/>
        <w:keepNext/>
        <w:keepLines/>
      </w:pPr>
      <w:bookmarkStart w:id="13" w:name="rg_ref_13c0876f3d1573a0a8dee02d"/>
      <w:r>
        <w:rPr>
          <w:b/>
          <w:color w:val="314959"/>
          <w:sz w:val="25"/>
        </w:rPr>
        <w:t>ALB-07 Las consultas de conciliación podrían cruzar ámbitos autorizados</w:t>
      </w:r>
      <w:r>
        <w:t xml:space="preserve"> </w:t>
      </w:r>
      <w:r>
        <w:rPr>
          <w:b/>
          <w:color w:val="FFFFFF"/>
          <w:shd w:val="clear" w:fill="a63b0a"/>
        </w:rPr>
        <w:t xml:space="preserve"> Alta </w:t>
      </w:r>
      <w:bookmarkEnd w:id="13"/>
    </w:p>
    <w:p>
      <w:pPr>
        <w:pStyle w:val="ReportGenMeta"/>
        <w:keepNext/>
        <w:keepLines/>
        <w:tabs>
          <w:tab w:pos="2608" w:val="left"/>
        </w:tabs>
        <w:spacing w:after="80"/>
        <w:ind w:left="2608" w:hanging="2608"/>
        <w:shd w:val="clear" w:fill="edf2f5"/>
      </w:pPr>
      <w:r>
        <w:rPr>
          <w:rFonts w:ascii="DejaVu Sans Mono" w:hAnsi="DejaVu Sans Mono"/>
          <w:color w:val="536273"/>
          <w:sz w:val="17"/>
        </w:rPr>
        <w:t>Dominio afectado</w:t>
      </w:r>
      <w:r>
        <w:tab/>
      </w:r>
      <w:r>
        <w:t>ALB-A04 reconcile.albor.example</w:t>
      </w:r>
    </w:p>
    <w:p>
      <w:pPr>
        <w:keepNext/>
      </w:pPr>
      <w:r>
        <w:rPr>
          <w:b/>
        </w:rPr>
        <w:t>Descripción (incl. causa raíz)</w:t>
      </w:r>
    </w:p>
    <w:p>
      <w:pPr>
        <w:pStyle w:val="Heading3"/>
      </w:pPr>
      <w:r>
        <w:rPr>
          <w:b w:val="0"/>
          <w:i w:val="0"/>
        </w:rPr>
        <w:t>Contexto del modelo</w:t>
      </w:r>
    </w:p>
    <w:p>
      <w:r>
        <w:rPr>
          <w:b w:val="0"/>
          <w:i w:val="0"/>
        </w:rPr>
        <w:t>El reconciliador ALB-A04 relaciona movimientos de tesorería con cuentas, lotes y entidades operativas. En este ejercicio documental, la matriz propuesta distingue perfiles de consulta y ajuste, pero no aporta evidencia verificable sobre el alcance de cada consulta. La hipótesis permanece abierta y sin verificar; no se ha accedido a información bancaria real.</w:t>
      </w:r>
    </w:p>
    <w:p>
      <w:pPr>
        <w:pStyle w:val="Heading3"/>
      </w:pPr>
      <w:r>
        <w:rPr>
          <w:b w:val="0"/>
          <w:i w:val="0"/>
        </w:rPr>
        <w:t>Hipótesis documental</w:t>
      </w:r>
    </w:p>
    <w:p>
      <w:r>
        <w:rPr>
          <w:b w:val="0"/>
          <w:i w:val="0"/>
        </w:rPr>
        <w:t>Una consulta autorizada para un lote podría devolver movimientos o agregados de otro ámbito si la comprobación de pertenencia se aplica únicamente al formulario inicial. El mismo riesgo requiere revisión en búsquedas guardadas, paginación y recuperación de resultados.</w:t>
      </w:r>
    </w:p>
    <w:p>
      <w:pPr>
        <w:keepNext/>
      </w:pPr>
      <w:r>
        <w:rPr>
          <w:b/>
        </w:rPr>
        <w:t>Impacto de seguridad</w:t>
      </w:r>
    </w:p>
    <w:p>
      <w:r>
        <w:rPr>
          <w:b w:val="0"/>
          <w:i w:val="0"/>
        </w:rPr>
        <w:t>Si se confirmara, un operador podría inferir saldos o relaciones entre contrapartes fuera de su responsabilidad. También podrían incorporarse resultados ajenos a una conciliación legítima, debilitando la explicación posterior de diferencias y decisiones de tesorería.</w:t>
      </w:r>
    </w:p>
    <w:p>
      <w:pPr>
        <w:keepNext/>
      </w:pPr>
      <w:r>
        <w:rPr>
          <w:b/>
        </w:rPr>
        <w:t>Remediación</w:t>
      </w:r>
    </w:p>
    <w:p>
      <w:r>
        <w:rPr>
          <w:b w:val="0"/>
          <w:i w:val="0"/>
        </w:rPr>
        <w:t>Definir el alcance efectivo por operador, entidad y lote; comprobarlo en cada solicitud y derivación del resultado. Aplicar una respuesta consistente para objetos fuera de alcance y registrar decisiones de denegación sin copiar datos financieros. La revisión debe incluir agregados, filtros y resultados recuperados desde caché.</w:t>
      </w:r>
    </w:p>
    <w:p>
      <w:pPr>
        <w:pStyle w:val="Heading3"/>
        <w:keepNext/>
        <w:keepLines/>
      </w:pPr>
      <w:r>
        <w:rPr>
          <w:b/>
          <w:color w:val="314959"/>
          <w:sz w:val="21"/>
        </w:rPr>
        <w:t>Referencias</w:t>
      </w:r>
    </w:p>
    <w:p>
      <w:pPr>
        <w:pStyle w:val="ListBullet"/>
      </w:pPr>
      <w:r>
        <w:rPr>
          <w:lang w:val="zxx-ZZ-x-rgwrap"/>
        </w:rPr>
        <w:t>https://review.albor.example/round15/ALB-07?state=pending&amp;execution=none#criteria</w:t>
      </w:r>
    </w:p>
    <w:p>
      <w:pPr>
        <w:pStyle w:val="Heading3"/>
        <w:keepNext/>
        <w:keepLines/>
      </w:pPr>
      <w:r>
        <w:rPr>
          <w:b/>
          <w:color w:val="314959"/>
          <w:sz w:val="21"/>
        </w:rPr>
        <w:t>Procedimiento detallado</w:t>
      </w:r>
    </w:p>
    <w:p>
      <w:pPr>
        <w:keepNext/>
      </w:pPr>
      <w:r>
        <w:rPr>
          <w:b/>
        </w:rPr>
        <w:t xml:space="preserve">ALB-C07-1 </w:t>
      </w:r>
    </w:p>
    <w:p>
      <w:r>
        <w:rPr>
          <w:b w:val="0"/>
          <w:i w:val="0"/>
        </w:rPr>
        <w:t>Pendiente: demostrar con dos ámbitos sintéticos separados que consulta, paginación, agregados y caché mantienen la pertenencia autorizada y no revelan resultados cruzados.</w:t>
      </w:r>
    </w:p>
    <w:p>
      <w:pPr>
        <w:keepNext/>
      </w:pPr>
      <w:r>
        <w:rPr>
          <w:b/>
        </w:rPr>
        <w:t xml:space="preserve">ALB-C07-2 </w:t>
      </w:r>
    </w:p>
    <w:p>
      <w:r>
        <w:rPr>
          <w:b w:val="0"/>
          <w:i w:val="0"/>
        </w:rPr>
        <w:t>Pendiente: conservar solicitudes, decisiones de autorización y resultados anonimizados que permitan al revisor reproducir cada denegación y cada acceso permitido.</w:t>
      </w:r>
    </w:p>
    <w:p>
      <w:pPr>
        <w:keepNext/>
      </w:pPr>
      <w:r>
        <w:rPr>
          <w:b/>
          <w:i w:val="0"/>
        </w:rPr>
        <w:t>Activos afectados</w:t>
      </w:r>
    </w:p>
    <w:p>
      <w:pPr>
        <w:keepNext w:val="0"/>
        <w:keepLines/>
        <w:numPr>
          <w:ilvl w:val="0"/>
          <w:numId w:val="16"/>
        </w:numPr>
        <w:ind w:left="369" w:hanging="227"/>
      </w:pPr>
      <w:r>
        <w:t>reconcile.albor.example</w:t>
      </w:r>
    </w:p>
    <w:p>
      <w:pPr>
        <w:pStyle w:val="Heading2"/>
        <w:keepNext/>
        <w:keepLines/>
      </w:pPr>
      <w:bookmarkStart w:id="14" w:name="rg_ref_e4a03b9b88438e38344be0a7"/>
      <w:r>
        <w:rPr>
          <w:b/>
          <w:color w:val="314959"/>
          <w:sz w:val="25"/>
        </w:rPr>
        <w:t>ALB-08 Un ajuste manual podría perder su vínculo con la obligación económica</w:t>
      </w:r>
      <w:r>
        <w:t xml:space="preserve"> </w:t>
      </w:r>
      <w:r>
        <w:rPr>
          <w:b/>
          <w:color w:val="FFFFFF"/>
          <w:shd w:val="clear" w:fill="a63b0a"/>
        </w:rPr>
        <w:t xml:space="preserve"> Alta </w:t>
      </w:r>
      <w:bookmarkEnd w:id="14"/>
    </w:p>
    <w:p>
      <w:pPr>
        <w:pStyle w:val="ReportGenMeta"/>
        <w:keepNext/>
        <w:keepLines/>
        <w:tabs>
          <w:tab w:pos="2608" w:val="left"/>
        </w:tabs>
        <w:spacing w:after="80"/>
        <w:ind w:left="2608" w:hanging="2608"/>
        <w:shd w:val="clear" w:fill="edf2f5"/>
      </w:pPr>
      <w:r>
        <w:rPr>
          <w:rFonts w:ascii="DejaVu Sans Mono" w:hAnsi="DejaVu Sans Mono"/>
          <w:color w:val="536273"/>
          <w:sz w:val="17"/>
        </w:rPr>
        <w:t>Dominio afectado</w:t>
      </w:r>
      <w:r>
        <w:tab/>
      </w:r>
      <w:r>
        <w:t>ALB-A04 reconcile.albor.example</w:t>
      </w:r>
    </w:p>
    <w:p>
      <w:pPr>
        <w:keepNext/>
      </w:pPr>
      <w:r>
        <w:rPr>
          <w:b/>
        </w:rPr>
        <w:t>Descripción (incl. causa raíz)</w:t>
      </w:r>
    </w:p>
    <w:p>
      <w:pPr>
        <w:pStyle w:val="Heading3"/>
      </w:pPr>
      <w:r>
        <w:rPr>
          <w:b w:val="0"/>
          <w:i w:val="0"/>
        </w:rPr>
        <w:t>Contexto del modelo</w:t>
      </w:r>
    </w:p>
    <w:p>
      <w:r>
        <w:rPr>
          <w:b w:val="0"/>
          <w:i w:val="0"/>
        </w:rPr>
        <w:t>ALB-A04 contempla ajustes manuales para explicar diferencias de conciliación. El expediente ficticio describe una solicitud, una aprobación y un asiento propuesto, pero todavía debe demostrar cómo conserva su relación durante revisiones y reintentos. Esta observación es documental: la hipótesis está abierta y sin verificar, y no acredita un asiento incorrecto.</w:t>
      </w:r>
    </w:p>
    <w:p>
      <w:pPr>
        <w:pStyle w:val="Heading3"/>
      </w:pPr>
      <w:r>
        <w:rPr>
          <w:b w:val="0"/>
          <w:i w:val="0"/>
        </w:rPr>
        <w:t>Hipótesis documental</w:t>
      </w:r>
    </w:p>
    <w:p>
      <w:r>
        <w:rPr>
          <w:b w:val="0"/>
          <w:i w:val="0"/>
        </w:rPr>
        <w:t>Un ajuste podría conservar una aprobación anterior aunque cambien importe, moneda, fecha valor u obligación asociada. También podría perderse la correspondencia entre una reversión y el ajuste original si ambas operaciones se identifican mediante referencias editables.</w:t>
      </w:r>
    </w:p>
    <w:p>
      <w:pPr>
        <w:keepNext/>
      </w:pPr>
      <w:r>
        <w:rPr>
          <w:b/>
        </w:rPr>
        <w:t>Impacto de seguridad</w:t>
      </w:r>
    </w:p>
    <w:p>
      <w:r>
        <w:rPr>
          <w:b w:val="0"/>
          <w:i w:val="0"/>
        </w:rPr>
        <w:t>De confirmarse, una decisión válida para una obligación específica podría justificar otra diferente, o una reversión podría interpretarse como un movimiento independiente. Esto dificultaría reconstruir responsabilidades y verificar que los cambios aprobados coinciden con el efecto económico registrado.</w:t>
      </w:r>
    </w:p>
    <w:p>
      <w:pPr>
        <w:keepNext/>
      </w:pPr>
      <w:r>
        <w:rPr>
          <w:b/>
        </w:rPr>
        <w:t>Remediación</w:t>
      </w:r>
    </w:p>
    <w:p>
      <w:r>
        <w:rPr>
          <w:b w:val="0"/>
          <w:i w:val="0"/>
        </w:rPr>
        <w:t>Vincular cada versión del ajuste a una obligación estable y a sus atributos económicos relevantes. Invalidar la aprobación cuando cambien esos atributos, separar solicitud y autorización, y enlazar explícitamente originales, reintentos y reversiones. Mantener un historial inmutable con motivo, autor y estado de cada transición.</w:t>
      </w:r>
    </w:p>
    <w:p>
      <w:pPr>
        <w:pStyle w:val="Heading3"/>
        <w:keepNext/>
        <w:keepLines/>
      </w:pPr>
      <w:r>
        <w:rPr>
          <w:b/>
          <w:color w:val="314959"/>
          <w:sz w:val="21"/>
        </w:rPr>
        <w:t>Referencias</w:t>
      </w:r>
    </w:p>
    <w:p>
      <w:pPr>
        <w:pStyle w:val="ListBullet"/>
      </w:pPr>
      <w:r>
        <w:rPr>
          <w:lang w:val="zxx-ZZ-x-rgwrap"/>
        </w:rPr>
        <w:t>https://review.albor.example/round15/ALB-08?state=pending&amp;execution=none#criteria</w:t>
      </w:r>
    </w:p>
    <w:p>
      <w:pPr>
        <w:pStyle w:val="Heading3"/>
        <w:keepNext/>
        <w:keepLines/>
      </w:pPr>
      <w:r>
        <w:rPr>
          <w:b/>
          <w:color w:val="314959"/>
          <w:sz w:val="21"/>
        </w:rPr>
        <w:t>Procedimiento detallado</w:t>
      </w:r>
    </w:p>
    <w:p>
      <w:pPr>
        <w:keepNext/>
      </w:pPr>
      <w:r>
        <w:rPr>
          <w:b/>
        </w:rPr>
        <w:t xml:space="preserve">ALB-C08-1 </w:t>
      </w:r>
    </w:p>
    <w:p>
      <w:r>
        <w:rPr>
          <w:b w:val="0"/>
          <w:i w:val="0"/>
        </w:rPr>
        <w:t>Pendiente: demostrar que modificar importe, moneda, fecha valor u obligación exige nueva aprobación y bloquea el uso de autorizaciones de versiones anteriores.</w:t>
      </w:r>
    </w:p>
    <w:p>
      <w:pPr>
        <w:keepNext/>
      </w:pPr>
      <w:r>
        <w:rPr>
          <w:b/>
        </w:rPr>
        <w:t xml:space="preserve">ALB-C08-2 </w:t>
      </w:r>
    </w:p>
    <w:p>
      <w:r>
        <w:rPr>
          <w:b w:val="0"/>
          <w:i w:val="0"/>
        </w:rPr>
        <w:t>Pendiente: reconstruir un ajuste sintético con reintento y reversión, comprobando correspondencia única entre versiones aprobadas, obligación vinculada y movimientos resultantes.</w:t>
      </w:r>
    </w:p>
    <w:p>
      <w:pPr>
        <w:keepNext/>
      </w:pPr>
      <w:r>
        <w:rPr>
          <w:b/>
          <w:i w:val="0"/>
        </w:rPr>
        <w:t>Activos afectados</w:t>
      </w:r>
    </w:p>
    <w:p>
      <w:pPr>
        <w:keepNext w:val="0"/>
        <w:keepLines/>
        <w:numPr>
          <w:ilvl w:val="0"/>
          <w:numId w:val="17"/>
        </w:numPr>
        <w:ind w:left="369" w:hanging="227"/>
      </w:pPr>
      <w:r>
        <w:t>reconcile.albor.example</w:t>
      </w:r>
    </w:p>
    <w:p>
      <w:pPr>
        <w:pStyle w:val="Heading2"/>
        <w:keepNext/>
        <w:keepLines/>
      </w:pPr>
      <w:bookmarkStart w:id="15" w:name="rg_ref_4e5fb498f679eef2cb826296"/>
      <w:r>
        <w:rPr>
          <w:b/>
          <w:color w:val="314959"/>
          <w:sz w:val="25"/>
        </w:rPr>
        <w:t>ALB-09 La revocación de permisos podría no alcanzar sesiones activas</w:t>
      </w:r>
      <w:r>
        <w:t xml:space="preserve"> </w:t>
      </w:r>
      <w:r>
        <w:rPr>
          <w:b/>
          <w:color w:val="FFFFFF"/>
          <w:shd w:val="clear" w:fill="a63b0a"/>
        </w:rPr>
        <w:t xml:space="preserve"> Alta </w:t>
      </w:r>
      <w:bookmarkEnd w:id="15"/>
    </w:p>
    <w:p>
      <w:pPr>
        <w:pStyle w:val="ReportGenMeta"/>
        <w:keepNext/>
        <w:keepLines/>
        <w:tabs>
          <w:tab w:pos="2608" w:val="left"/>
        </w:tabs>
        <w:spacing w:after="80"/>
        <w:ind w:left="2608" w:hanging="2608"/>
        <w:shd w:val="clear" w:fill="edf2f5"/>
      </w:pPr>
      <w:r>
        <w:rPr>
          <w:rFonts w:ascii="DejaVu Sans Mono" w:hAnsi="DejaVu Sans Mono"/>
          <w:color w:val="536273"/>
          <w:sz w:val="17"/>
        </w:rPr>
        <w:t>Dominio afectado</w:t>
      </w:r>
      <w:r>
        <w:tab/>
      </w:r>
      <w:r>
        <w:t>ALB-A05 operations.albor.example</w:t>
      </w:r>
    </w:p>
    <w:p>
      <w:pPr>
        <w:keepNext/>
      </w:pPr>
      <w:r>
        <w:rPr>
          <w:b/>
        </w:rPr>
        <w:t>Descripción (incl. causa raíz)</w:t>
      </w:r>
    </w:p>
    <w:p>
      <w:pPr>
        <w:pStyle w:val="Heading3"/>
      </w:pPr>
      <w:r>
        <w:rPr>
          <w:b w:val="0"/>
          <w:i w:val="0"/>
        </w:rPr>
        <w:t>Contexto del modelo</w:t>
      </w:r>
    </w:p>
    <w:p>
      <w:r>
        <w:rPr>
          <w:b w:val="0"/>
          <w:i w:val="0"/>
        </w:rPr>
        <w:t>La consola operativa ALB-A05 permite distribuir responsabilidades durante cambios de turno. El diseño documental prevé retirar permisos al finalizar una asignación, pero falta evidencia sobre sesiones existentes y trabajos iniciados antes de la retirada. La hipótesis sigue abierta y sin verificar; no se ha interactuado con sistemas reales.</w:t>
      </w:r>
    </w:p>
    <w:p>
      <w:pPr>
        <w:pStyle w:val="Heading3"/>
      </w:pPr>
      <w:r>
        <w:rPr>
          <w:b w:val="0"/>
          <w:i w:val="0"/>
        </w:rPr>
        <w:t>Hipótesis documental</w:t>
      </w:r>
    </w:p>
    <w:p>
      <w:r>
        <w:rPr>
          <w:b w:val="0"/>
          <w:i w:val="0"/>
        </w:rPr>
        <w:t>Un operador cuyo permiso haya expirado podría conservar capacidad de aprobar o lanzar tareas mediante una sesión activa, una pestaña desactualizada o un trabajo en cola. La actualización del directorio no demuestra por sí sola una decisión de autorización actualizada.</w:t>
      </w:r>
    </w:p>
    <w:p>
      <w:pPr>
        <w:keepNext/>
      </w:pPr>
      <w:r>
        <w:rPr>
          <w:b/>
        </w:rPr>
        <w:t>Impacto de seguridad</w:t>
      </w:r>
    </w:p>
    <w:p>
      <w:r>
        <w:rPr>
          <w:b w:val="0"/>
          <w:i w:val="0"/>
        </w:rPr>
        <w:t>Si se confirmara, actividades posteriores al relevo podrían atribuirse a una responsabilidad retirada. Esto introduciría incertidumbre en la supervisión del turno y permitiría que operaciones sensibles continuaran fuera del periodo aprobado, incluso sin una nueva autenticación.</w:t>
      </w:r>
    </w:p>
    <w:p>
      <w:pPr>
        <w:keepNext/>
      </w:pPr>
      <w:r>
        <w:rPr>
          <w:b/>
        </w:rPr>
        <w:t>Remediación</w:t>
      </w:r>
    </w:p>
    <w:p>
      <w:r>
        <w:rPr>
          <w:b w:val="0"/>
          <w:i w:val="0"/>
        </w:rPr>
        <w:t>Establecer un plazo máximo de propagación de la revocación. Reevaluar permisos al ejecutar acciones sensibles y trabajos diferidos; invalidar sesiones o credenciales cuando corresponda. Registrar el instante de retirada y distinguir operaciones completadas antes de ese instante de las canceladas o denegadas después.</w:t>
      </w:r>
    </w:p>
    <w:p>
      <w:pPr>
        <w:pStyle w:val="Heading3"/>
        <w:keepNext/>
        <w:keepLines/>
      </w:pPr>
      <w:r>
        <w:rPr>
          <w:b/>
          <w:color w:val="314959"/>
          <w:sz w:val="21"/>
        </w:rPr>
        <w:t>Referencias</w:t>
      </w:r>
    </w:p>
    <w:p>
      <w:pPr>
        <w:pStyle w:val="ListBullet"/>
      </w:pPr>
      <w:r>
        <w:rPr>
          <w:lang w:val="zxx-ZZ-x-rgwrap"/>
        </w:rPr>
        <w:t>https://review.albor.example/round15/ALB-09?state=pending&amp;execution=none#criteria</w:t>
      </w:r>
    </w:p>
    <w:p>
      <w:pPr>
        <w:pStyle w:val="Heading3"/>
        <w:keepNext/>
        <w:keepLines/>
      </w:pPr>
      <w:r>
        <w:rPr>
          <w:b/>
          <w:color w:val="314959"/>
          <w:sz w:val="21"/>
        </w:rPr>
        <w:t>Procedimiento detallado</w:t>
      </w:r>
    </w:p>
    <w:p>
      <w:pPr>
        <w:keepNext/>
      </w:pPr>
      <w:r>
        <w:rPr>
          <w:b/>
        </w:rPr>
        <w:t xml:space="preserve">ALB-C09-1 </w:t>
      </w:r>
    </w:p>
    <w:p>
      <w:r>
        <w:rPr>
          <w:b w:val="0"/>
          <w:i w:val="0"/>
        </w:rPr>
        <w:t>Pendiente: retirar un permiso sintético y comprobar, dentro del plazo aprobado, la denegación en sesión activa, pestaña antigua y nueva solicitud.</w:t>
      </w:r>
    </w:p>
    <w:p>
      <w:pPr>
        <w:keepNext/>
      </w:pPr>
      <w:r>
        <w:rPr>
          <w:b/>
        </w:rPr>
        <w:t xml:space="preserve">ALB-C09-2 </w:t>
      </w:r>
    </w:p>
    <w:p>
      <w:r>
        <w:rPr>
          <w:b w:val="0"/>
          <w:i w:val="0"/>
        </w:rPr>
        <w:t>Pendiente: verificar que un trabajo en cola reevalúa la autorización al ejecutarse y deja una decisión trazable cuando el permiso ya no existe.</w:t>
      </w:r>
    </w:p>
    <w:p>
      <w:pPr>
        <w:keepNext/>
      </w:pPr>
      <w:r>
        <w:rPr>
          <w:b/>
          <w:i w:val="0"/>
        </w:rPr>
        <w:t>Activos afectados</w:t>
      </w:r>
    </w:p>
    <w:p>
      <w:pPr>
        <w:keepNext w:val="0"/>
        <w:keepLines/>
        <w:numPr>
          <w:ilvl w:val="0"/>
          <w:numId w:val="18"/>
        </w:numPr>
        <w:ind w:left="369" w:hanging="227"/>
      </w:pPr>
      <w:r>
        <w:t>operations.albor.example</w:t>
      </w:r>
    </w:p>
    <w:p>
      <w:pPr>
        <w:pStyle w:val="Heading2"/>
        <w:keepNext/>
        <w:keepLines/>
      </w:pPr>
      <w:bookmarkStart w:id="16" w:name="rg_ref_559999f5a329296a1abcde98"/>
      <w:r>
        <w:rPr>
          <w:b/>
          <w:color w:val="314959"/>
          <w:sz w:val="25"/>
        </w:rPr>
        <w:t>ALB-10 Una exportación de evidencia podría perder controles de autorización</w:t>
      </w:r>
      <w:r>
        <w:t xml:space="preserve"> </w:t>
      </w:r>
      <w:r>
        <w:rPr>
          <w:b/>
          <w:color w:val="FFFFFF"/>
          <w:shd w:val="clear" w:fill="795d00"/>
        </w:rPr>
        <w:t xml:space="preserve"> Media </w:t>
      </w:r>
      <w:bookmarkEnd w:id="16"/>
    </w:p>
    <w:p>
      <w:pPr>
        <w:pStyle w:val="ReportGenMeta"/>
        <w:keepNext/>
        <w:keepLines/>
        <w:tabs>
          <w:tab w:pos="2608" w:val="left"/>
        </w:tabs>
        <w:spacing w:after="80"/>
        <w:ind w:left="2608" w:hanging="2608"/>
        <w:shd w:val="clear" w:fill="edf2f5"/>
      </w:pPr>
      <w:r>
        <w:rPr>
          <w:rFonts w:ascii="DejaVu Sans Mono" w:hAnsi="DejaVu Sans Mono"/>
          <w:color w:val="536273"/>
          <w:sz w:val="17"/>
        </w:rPr>
        <w:t>Dominio afectado</w:t>
      </w:r>
      <w:r>
        <w:tab/>
      </w:r>
      <w:r>
        <w:t>ALB-A05 operations.albor.example</w:t>
      </w:r>
    </w:p>
    <w:p>
      <w:pPr>
        <w:keepNext/>
      </w:pPr>
      <w:r>
        <w:rPr>
          <w:b/>
        </w:rPr>
        <w:t>Descripción (incl. causa raíz)</w:t>
      </w:r>
    </w:p>
    <w:p>
      <w:pPr>
        <w:pStyle w:val="Heading3"/>
      </w:pPr>
      <w:r>
        <w:rPr>
          <w:b w:val="0"/>
          <w:i w:val="0"/>
        </w:rPr>
        <w:t>Contexto del modelo</w:t>
      </w:r>
    </w:p>
    <w:p>
      <w:r>
        <w:rPr>
          <w:b w:val="0"/>
          <w:i w:val="0"/>
        </w:rPr>
        <w:t>ALB-A05 prepara paquetes de evidencia para revisión operativa y archivo. El flujo ficticio separa solicitud, generación y descarga. La documentación aún no demuestra que todas compartan el mismo alcance autorizado. La hipótesis permanece abierta y sin verificar; no se ha extraído ningún documento real.</w:t>
      </w:r>
    </w:p>
    <w:p>
      <w:pPr>
        <w:pStyle w:val="Heading3"/>
      </w:pPr>
      <w:r>
        <w:rPr>
          <w:b w:val="0"/>
          <w:i w:val="0"/>
        </w:rPr>
        <w:t>Hipótesis documental</w:t>
      </w:r>
    </w:p>
    <w:p>
      <w:r>
        <w:rPr>
          <w:b w:val="0"/>
          <w:i w:val="0"/>
        </w:rPr>
        <w:t>Una exportación podría incluir adjuntos de otras entidades, campos restringidos o resultados antiguos si la selección inicial sustituye a una autorización por elemento. Un enlace de descarga persistente podría seguir disponible después de retirar el permiso que justificó generar el paquete.</w:t>
      </w:r>
    </w:p>
    <w:p>
      <w:pPr>
        <w:keepNext/>
      </w:pPr>
      <w:r>
        <w:rPr>
          <w:b/>
        </w:rPr>
        <w:t>Impacto de seguridad</w:t>
      </w:r>
    </w:p>
    <w:p>
      <w:r>
        <w:rPr>
          <w:b w:val="0"/>
          <w:i w:val="0"/>
        </w:rPr>
        <w:t>Si se confirmara, información de conciliación o decisiones internas podría circular fuera del destinatario previsto. Además del acceso indebido, una mezcla de ámbitos podría provocar que un revisor sustentara conclusiones sobre un expediente que no corresponde a su encargo.</w:t>
      </w:r>
    </w:p>
    <w:p>
      <w:pPr>
        <w:keepNext/>
      </w:pPr>
      <w:r>
        <w:rPr>
          <w:b/>
        </w:rPr>
        <w:t>Remediación</w:t>
      </w:r>
    </w:p>
    <w:p>
      <w:r>
        <w:rPr>
          <w:b w:val="0"/>
          <w:i w:val="0"/>
        </w:rPr>
        <w:t>Comprobar autorización y clasificación por elemento al generar el paquete y nuevamente al descargarlo. Minimizar campos, vincular el resultado a su solicitante y ámbito, limitar su vigencia y registrar la entrega. Incluir un manifiesto de contenido que permita comprobar exclusiones sin revelar material excluido.</w:t>
      </w:r>
    </w:p>
    <w:p>
      <w:pPr>
        <w:pStyle w:val="Heading3"/>
        <w:keepNext/>
        <w:keepLines/>
      </w:pPr>
      <w:r>
        <w:rPr>
          <w:b/>
          <w:color w:val="314959"/>
          <w:sz w:val="21"/>
        </w:rPr>
        <w:t>Referencias</w:t>
      </w:r>
    </w:p>
    <w:p>
      <w:pPr>
        <w:pStyle w:val="ListBullet"/>
      </w:pPr>
      <w:r>
        <w:rPr>
          <w:lang w:val="zxx-ZZ-x-rgwrap"/>
        </w:rPr>
        <w:t>https://review.albor.example/round15/ALB-10?state=pending&amp;execution=none#criteria</w:t>
      </w:r>
    </w:p>
    <w:p>
      <w:pPr>
        <w:pStyle w:val="Heading3"/>
        <w:keepNext/>
        <w:keepLines/>
      </w:pPr>
      <w:r>
        <w:rPr>
          <w:b/>
          <w:color w:val="314959"/>
          <w:sz w:val="21"/>
        </w:rPr>
        <w:t>Procedimiento detallado</w:t>
      </w:r>
    </w:p>
    <w:p>
      <w:pPr>
        <w:keepNext/>
      </w:pPr>
      <w:r>
        <w:rPr>
          <w:b/>
        </w:rPr>
        <w:t xml:space="preserve">ALB-C10-1 </w:t>
      </w:r>
    </w:p>
    <w:p>
      <w:r>
        <w:rPr>
          <w:b w:val="0"/>
          <w:i w:val="0"/>
        </w:rPr>
        <w:t>Pendiente: generar un paquete sintético mixto y verificar que sólo contiene elementos y campos autorizados, incluidos adjuntos y documentos relacionados.</w:t>
      </w:r>
    </w:p>
    <w:p>
      <w:pPr>
        <w:keepNext/>
      </w:pPr>
      <w:r>
        <w:rPr>
          <w:b/>
        </w:rPr>
        <w:t xml:space="preserve">ALB-C10-2 </w:t>
      </w:r>
    </w:p>
    <w:p>
      <w:r>
        <w:rPr>
          <w:b w:val="0"/>
          <w:i w:val="0"/>
        </w:rPr>
        <w:t>Pendiente: comprobar que un operador sin autorización para ese paquete, un enlace vencido y un permiso revocado impiden descargarlo, dejando registro de la decisión.</w:t>
      </w:r>
    </w:p>
    <w:p>
      <w:pPr>
        <w:keepNext/>
      </w:pPr>
      <w:r>
        <w:rPr>
          <w:b/>
          <w:i w:val="0"/>
        </w:rPr>
        <w:t>Activos afectados</w:t>
      </w:r>
    </w:p>
    <w:p>
      <w:pPr>
        <w:keepNext w:val="0"/>
        <w:keepLines/>
        <w:numPr>
          <w:ilvl w:val="0"/>
          <w:numId w:val="19"/>
        </w:numPr>
        <w:ind w:left="369" w:hanging="227"/>
      </w:pPr>
      <w:r>
        <w:t>operations.albor.example</w:t>
      </w:r>
    </w:p>
    <w:p>
      <w:pPr>
        <w:pStyle w:val="Heading2"/>
        <w:keepNext/>
        <w:keepLines/>
      </w:pPr>
      <w:bookmarkStart w:id="17" w:name="rg_ref_a76cb2fbeecd69d745381d69"/>
      <w:r>
        <w:rPr>
          <w:b/>
          <w:color w:val="314959"/>
          <w:sz w:val="25"/>
        </w:rPr>
        <w:t>ALB-11 La restauración podría alterar la retención de eventos antifraude</w:t>
      </w:r>
      <w:r>
        <w:t xml:space="preserve"> </w:t>
      </w:r>
      <w:r>
        <w:rPr>
          <w:b/>
          <w:color w:val="FFFFFF"/>
          <w:shd w:val="clear" w:fill="a63b0a"/>
        </w:rPr>
        <w:t xml:space="preserve"> Alta </w:t>
      </w:r>
      <w:bookmarkEnd w:id="17"/>
    </w:p>
    <w:p>
      <w:pPr>
        <w:pStyle w:val="ReportGenMeta"/>
        <w:keepNext/>
        <w:keepLines/>
        <w:tabs>
          <w:tab w:pos="2608" w:val="left"/>
        </w:tabs>
        <w:spacing w:after="80"/>
        <w:ind w:left="2608" w:hanging="2608"/>
        <w:shd w:val="clear" w:fill="edf2f5"/>
      </w:pPr>
      <w:r>
        <w:rPr>
          <w:rFonts w:ascii="DejaVu Sans Mono" w:hAnsi="DejaVu Sans Mono"/>
          <w:color w:val="536273"/>
          <w:sz w:val="17"/>
        </w:rPr>
        <w:t>Dominio afectado</w:t>
      </w:r>
      <w:r>
        <w:tab/>
      </w:r>
      <w:r>
        <w:t>ALB-A06 archive.albor.example</w:t>
      </w:r>
    </w:p>
    <w:p>
      <w:pPr>
        <w:keepNext/>
      </w:pPr>
      <w:r>
        <w:rPr>
          <w:b/>
        </w:rPr>
        <w:t>Descripción (incl. causa raíz)</w:t>
      </w:r>
    </w:p>
    <w:p>
      <w:pPr>
        <w:pStyle w:val="Heading3"/>
      </w:pPr>
      <w:r>
        <w:rPr>
          <w:b w:val="0"/>
          <w:i w:val="0"/>
        </w:rPr>
        <w:t>Contexto del modelo</w:t>
      </w:r>
    </w:p>
    <w:p>
      <w:r>
        <w:rPr>
          <w:b w:val="0"/>
          <w:i w:val="0"/>
        </w:rPr>
        <w:t>El archivo documental ALB-A06 conserva eventos y referencias utilizados para revisar alertas antifraude relacionadas con tesorería. El escenario contempla recuperar un respaldo después de una interrupción, pero no aporta su conciliación con las políticas restauradas. La hipótesis está abierta y sin verificar; no se ha restaurado ningún sistema bancario real.</w:t>
      </w:r>
    </w:p>
    <w:p>
      <w:pPr>
        <w:pStyle w:val="Heading3"/>
      </w:pPr>
      <w:r>
        <w:rPr>
          <w:b w:val="0"/>
          <w:i w:val="0"/>
        </w:rPr>
        <w:t>Hipótesis documental</w:t>
      </w:r>
    </w:p>
    <w:p>
      <w:r>
        <w:rPr>
          <w:b w:val="0"/>
          <w:i w:val="0"/>
        </w:rPr>
        <w:t>Una recuperación podría restablecer eventos sin sus fechas originales de retención, bloqueos de conservación o referencias a expedientes activos. También podría reiniciar contadores desde la restauración, alterando el periodo autorizado aunque los archivos recuperados resulten legibles.</w:t>
      </w:r>
    </w:p>
    <w:p>
      <w:pPr>
        <w:keepNext/>
      </w:pPr>
      <w:r>
        <w:rPr>
          <w:b/>
        </w:rPr>
        <w:t>Impacto de seguridad</w:t>
      </w:r>
    </w:p>
    <w:p>
      <w:r>
        <w:rPr>
          <w:b w:val="0"/>
          <w:i w:val="0"/>
        </w:rPr>
        <w:t>De confirmarse, podrían eliminarse evidencias todavía necesarias o conservarse datos durante más tiempo del previsto. Las investigaciones internas tendrían dificultades para justificar la continuidad del expediente, especialmente cuando una alerta comprende registros anteriores y posteriores al punto de recuperación.</w:t>
      </w:r>
    </w:p>
    <w:p>
      <w:pPr>
        <w:keepNext/>
      </w:pPr>
      <w:r>
        <w:rPr>
          <w:b/>
        </w:rPr>
        <w:t>Remediación</w:t>
      </w:r>
    </w:p>
    <w:p>
      <w:r>
        <w:rPr>
          <w:b w:val="0"/>
          <w:i w:val="0"/>
        </w:rPr>
        <w:t>Incluir políticas, bloqueos, identificadores y relaciones en el alcance de respaldo. Validar su coherencia antes de reactivar la eliminación automática y conciliar los eventos recuperados con un inventario independiente. Documentar diferencias, responsables y decisiones de tratamiento, manteniendo protegidos los expedientes cuya retención no pueda determinarse.</w:t>
      </w:r>
    </w:p>
    <w:p>
      <w:pPr>
        <w:pStyle w:val="Heading3"/>
        <w:keepNext/>
        <w:keepLines/>
      </w:pPr>
      <w:r>
        <w:rPr>
          <w:b/>
          <w:color w:val="314959"/>
          <w:sz w:val="21"/>
        </w:rPr>
        <w:t>Referencias</w:t>
      </w:r>
    </w:p>
    <w:p>
      <w:pPr>
        <w:pStyle w:val="ListBullet"/>
      </w:pPr>
      <w:r>
        <w:rPr>
          <w:lang w:val="zxx-ZZ-x-rgwrap"/>
        </w:rPr>
        <w:t>https://review.albor.example/round15/ALB-11?state=pending&amp;execution=none#criteria</w:t>
      </w:r>
    </w:p>
    <w:p>
      <w:pPr>
        <w:pStyle w:val="Heading3"/>
        <w:keepNext/>
        <w:keepLines/>
      </w:pPr>
      <w:r>
        <w:rPr>
          <w:b/>
          <w:color w:val="314959"/>
          <w:sz w:val="21"/>
        </w:rPr>
        <w:t>Procedimiento detallado</w:t>
      </w:r>
    </w:p>
    <w:p>
      <w:pPr>
        <w:keepNext/>
      </w:pPr>
      <w:r>
        <w:rPr>
          <w:b/>
        </w:rPr>
        <w:t xml:space="preserve">ALB-C11-1 </w:t>
      </w:r>
    </w:p>
    <w:p>
      <w:r>
        <w:rPr>
          <w:b w:val="0"/>
          <w:i w:val="0"/>
        </w:rPr>
        <w:t>Pendiente: restaurar un conjunto sintético con distintas fechas y bloqueos, comprobando que ninguna restauración reinicia silenciosamente el periodo de retención.</w:t>
      </w:r>
    </w:p>
    <w:p>
      <w:pPr>
        <w:keepNext/>
      </w:pPr>
      <w:r>
        <w:rPr>
          <w:b/>
        </w:rPr>
        <w:t xml:space="preserve">ALB-C11-2 </w:t>
      </w:r>
    </w:p>
    <w:p>
      <w:r>
        <w:rPr>
          <w:b w:val="0"/>
          <w:i w:val="0"/>
        </w:rPr>
        <w:t>Pendiente: comparar el inventario anterior y posterior, resolver las diferencias y demostrar que la eliminación permanece suspendida para expedientes con retención indeterminada.</w:t>
      </w:r>
    </w:p>
    <w:p>
      <w:pPr>
        <w:keepNext/>
      </w:pPr>
      <w:r>
        <w:rPr>
          <w:b/>
          <w:i w:val="0"/>
        </w:rPr>
        <w:t>Activos afectados</w:t>
      </w:r>
    </w:p>
    <w:p>
      <w:pPr>
        <w:keepNext w:val="0"/>
        <w:keepLines/>
        <w:numPr>
          <w:ilvl w:val="0"/>
          <w:numId w:val="20"/>
        </w:numPr>
        <w:ind w:left="369" w:hanging="227"/>
      </w:pPr>
      <w:r>
        <w:t>archive.albor.example</w:t>
      </w:r>
    </w:p>
    <w:p>
      <w:pPr>
        <w:pStyle w:val="Heading2"/>
        <w:keepNext/>
        <w:keepLines/>
      </w:pPr>
      <w:bookmarkStart w:id="18" w:name="rg_ref_8c63f89604882431d337e17c"/>
      <w:r>
        <w:rPr>
          <w:b/>
          <w:color w:val="314959"/>
          <w:sz w:val="25"/>
        </w:rPr>
        <w:t>ALB-12 Una excepción podría cerrarse con evidencia documental insuficiente</w:t>
      </w:r>
      <w:r>
        <w:t xml:space="preserve"> </w:t>
      </w:r>
      <w:r>
        <w:rPr>
          <w:b/>
          <w:color w:val="FFFFFF"/>
          <w:shd w:val="clear" w:fill="795d00"/>
        </w:rPr>
        <w:t xml:space="preserve"> Media </w:t>
      </w:r>
      <w:bookmarkEnd w:id="18"/>
    </w:p>
    <w:p>
      <w:pPr>
        <w:pStyle w:val="ReportGenMeta"/>
        <w:keepNext/>
        <w:keepLines/>
        <w:tabs>
          <w:tab w:pos="2608" w:val="left"/>
        </w:tabs>
        <w:spacing w:after="80"/>
        <w:ind w:left="2608" w:hanging="2608"/>
        <w:shd w:val="clear" w:fill="edf2f5"/>
      </w:pPr>
      <w:r>
        <w:rPr>
          <w:rFonts w:ascii="DejaVu Sans Mono" w:hAnsi="DejaVu Sans Mono"/>
          <w:color w:val="536273"/>
          <w:sz w:val="17"/>
        </w:rPr>
        <w:t>Dominio afectado</w:t>
      </w:r>
      <w:r>
        <w:tab/>
      </w:r>
      <w:r>
        <w:t>ALB-A06 archive.albor.example</w:t>
      </w:r>
    </w:p>
    <w:p>
      <w:pPr>
        <w:keepNext/>
      </w:pPr>
      <w:r>
        <w:rPr>
          <w:b/>
        </w:rPr>
        <w:t>Descripción (incl. causa raíz)</w:t>
      </w:r>
    </w:p>
    <w:p>
      <w:pPr>
        <w:pStyle w:val="Heading3"/>
      </w:pPr>
      <w:r>
        <w:rPr>
          <w:b w:val="0"/>
          <w:i w:val="0"/>
        </w:rPr>
        <w:t>Contexto del modelo</w:t>
      </w:r>
    </w:p>
    <w:p>
      <w:r>
        <w:rPr>
          <w:b w:val="0"/>
          <w:i w:val="0"/>
        </w:rPr>
        <w:t>ALB-A06 reúne expedientes de excepciones de tesorería y sus documentos justificativos. El recorrido permite proponer un cierre, pero queda pendiente demostrar que la aprobación distingue evidencia completa, parcial y no verificable. La hipótesis sigue abierta y sin verificar. No hubo acceso a expedientes reales.</w:t>
      </w:r>
    </w:p>
    <w:p>
      <w:pPr>
        <w:pStyle w:val="Heading3"/>
      </w:pPr>
      <w:r>
        <w:rPr>
          <w:b w:val="0"/>
          <w:i w:val="0"/>
        </w:rPr>
        <w:t>Hipótesis documental</w:t>
      </w:r>
    </w:p>
    <w:p>
      <w:r>
        <w:rPr>
          <w:b w:val="0"/>
          <w:i w:val="0"/>
        </w:rPr>
        <w:t>Una excepción podría cerrarse con un adjunto legible pero insuficiente para acreditar el criterio exigido, o con referencias a documentos retirados. Un comentario favorable podría confundirse con una verificación independiente si el sistema presenta ambos como una única aprobación.</w:t>
      </w:r>
    </w:p>
    <w:p>
      <w:pPr>
        <w:keepNext/>
      </w:pPr>
      <w:r>
        <w:rPr>
          <w:b/>
        </w:rPr>
        <w:t>Impacto de seguridad</w:t>
      </w:r>
    </w:p>
    <w:p>
      <w:r>
        <w:rPr>
          <w:b w:val="0"/>
          <w:i w:val="0"/>
        </w:rPr>
        <w:t>Si se confirmara, el inventario de pendientes mostraría asuntos resueltos sin soporte suficiente. Un relevo de responsables o una revisión posterior podría entonces omitir obligaciones todavía abiertas y perder el contexto necesario para decidir si corresponde reabrir el expediente.</w:t>
      </w:r>
    </w:p>
    <w:p>
      <w:pPr>
        <w:keepNext/>
      </w:pPr>
      <w:r>
        <w:rPr>
          <w:b/>
        </w:rPr>
        <w:t>Remediación</w:t>
      </w:r>
    </w:p>
    <w:p>
      <w:r>
        <w:rPr>
          <w:b w:val="0"/>
          <w:i w:val="0"/>
        </w:rPr>
        <w:t>Definir criterios de cierre por tipo de excepción y vincular cada uno con evidencias identificables, su versión y el resultado de revisión. Separar incorporación documental, verificación y autorización final. Conservar las limitaciones y exigir una aceptación responsable, con vencimiento y seguimiento, cuando se permita una excepción al criterio.</w:t>
      </w:r>
    </w:p>
    <w:p>
      <w:pPr>
        <w:pStyle w:val="Heading3"/>
        <w:keepNext/>
        <w:keepLines/>
      </w:pPr>
      <w:r>
        <w:rPr>
          <w:b/>
          <w:color w:val="314959"/>
          <w:sz w:val="21"/>
        </w:rPr>
        <w:t>Referencias</w:t>
      </w:r>
    </w:p>
    <w:p>
      <w:pPr>
        <w:pStyle w:val="ListBullet"/>
      </w:pPr>
      <w:r>
        <w:rPr>
          <w:lang w:val="zxx-ZZ-x-rgwrap"/>
        </w:rPr>
        <w:t>https://review.albor.example/round15/ALB-12?state=pending&amp;execution=none#criteria</w:t>
      </w:r>
    </w:p>
    <w:p>
      <w:pPr>
        <w:pStyle w:val="Heading3"/>
        <w:keepNext/>
        <w:keepLines/>
      </w:pPr>
      <w:r>
        <w:rPr>
          <w:b/>
          <w:color w:val="314959"/>
          <w:sz w:val="21"/>
        </w:rPr>
        <w:t>Procedimiento detallado</w:t>
      </w:r>
    </w:p>
    <w:p>
      <w:pPr>
        <w:keepNext/>
      </w:pPr>
      <w:r>
        <w:rPr>
          <w:b/>
        </w:rPr>
        <w:t xml:space="preserve">ALB-C12-1 </w:t>
      </w:r>
    </w:p>
    <w:p>
      <w:r>
        <w:rPr>
          <w:b w:val="0"/>
          <w:i w:val="0"/>
        </w:rPr>
        <w:t>Pendiente: intentar cerrar expedientes sintéticos con evidencia parcial, retirada y no verificable, confirmando que el flujo identifica y bloquea los criterios incumplidos.</w:t>
      </w:r>
    </w:p>
    <w:p>
      <w:pPr>
        <w:keepNext/>
      </w:pPr>
      <w:r>
        <w:rPr>
          <w:b/>
        </w:rPr>
        <w:t xml:space="preserve">ALB-C12-2 </w:t>
      </w:r>
    </w:p>
    <w:p>
      <w:r>
        <w:rPr>
          <w:b w:val="0"/>
          <w:i w:val="0"/>
        </w:rPr>
        <w:t>Pendiente: reconstruir un cierre autorizado y una aceptación temporal, verificando responsables distintos, documentos, límites pendientes y fecha de revisión cuando corresponda.</w:t>
      </w:r>
    </w:p>
    <w:p>
      <w:pPr>
        <w:keepNext/>
        <w:jc w:val="center"/>
      </w:pPr>
      <w:r>
        <w:drawing>
          <wp:inline xmlns:a="http://schemas.openxmlformats.org/drawingml/2006/main" xmlns:pic="http://schemas.openxmlformats.org/drawingml/2006/picture" distL="0" distR="0" distT="0" distB="0">
            <wp:extent cx="5400000" cy="2790000"/>
            <wp:docPr id="4" name="Picture 4" descr="ALB-E3-L01 | ALB-01: Definir la población que se pretende revisar.&#10;ALB-E3-L02 | ALB-01: Identificar la revisión del contrato aplicable.&#10;ALB-E3-L03 | ALB-01: Registrar qué material falta para la comparación.&#10;ALB-E3-L04 | ALB-01: Conservar el control negativo todavía pendiente.&#10;ALB-E3-L05 | ALB-01: Explicar por qué no existe decisión de cierre.&#10;ALB-E3-L06 | ALB-02: Definir la población que se pretende revisar.&#10;ALB-E3-L07 | ALB-02: Identificar la revisión del contrato aplicable.&#10;ALB-E3-L08 | ALB-02: Registrar qué material falta para la comparación.&#10;ALB-E3-L09 | ALB-02: Conservar el control negativo todavía pendiente.&#10;ALB-E3-L10 | ALB-02: Explicar por qué no existe decisión de cierre.&#10;ALB-E3-L11 | ALB-03: Definir la población que se pretende revisar.&#10;ALB-E3-L12 | ALB-03: Identificar la revisión del contrato aplicable.&#10;ALB-E3-L13 | ALB-03: Registrar qué material falta para la comparación.&#10;ALB-E3-L14 | ALB-03: Conservar el control negativo todavía pendiente.&#10;ALB-E3-L15 | ALB-03: Explicar por qué no existe decisión de cierre.&#10;ALB-E3-L16 | ALB-04: Definir la población que se pretende revisar.&#10;ALB-E3-L17 | ALB-04: Identificar la revisión del contrato aplicable.&#10;ALB-E3-L18 | ALB-04: Registrar qué material falta para la comparación.&#10;ALB-E3-L19 | ALB-04: Conservar el control negativo todavía pendiente.&#10;ALB-E3-L20 | ALB-04: Explicar por qué no existe decisión de cierre.&#10;ALB-E3-L21 | ALB-05: Definir la población que se pretende revisar.&#10;ALB-E3-L22 | ALB-05: Identificar la revisión del contrato aplicable.&#10;ALB-E3-L23 | ALB-05: Registrar qué material falta para la comparación.&#10;ALB-E3-L24 | ALB-05: Conservar el control negativo todavía pendiente.&#10;ALB-E3-L25 | ALB-05: Explicar por qué no existe decisión de cierre.&#10;ALB-E3-L26 | ALB-06: Definir la población que se pretende revisar.&#10;ALB-E3-L27 | ALB-06: Identificar la revisión del contrato aplicable.&#10;ALB-E3-L28 | ALB-06: Registrar qué material falta para la comparación.&#10;ALB-E3-L29 | ALB-06: Conservar el control negativo todavía pendiente.&#10;ALB-E3-L30 | ALB-06: Explicar por qué no existe decisión de cierre.&#10;ALB-E3-L31 | ALB-07: Definir la población que se pretende revisar.&#10;ALB-E3-L32 | ALB-07: Identificar la revisión del contrato aplicable.&#10;ALB-E3-L33 | ALB-07: Registrar qué material falta para la comparación.&#10;ALB-E3-L34 | ALB-07: Conservar el control negativo todavía pendiente.&#10;ALB-E3-L35 | ALB-07: Explicar por qué no existe decisión de cierre.&#10;ALB-E3-L36 | ALB-08: Definir la población que se pretende revisar.&#10;ALB-E3-L37 | ALB-08: Identificar la revisión del contrato aplicable.&#10;ALB-E3-L38 | ALB-08: Registrar qué material falta para la comparación.&#10;ALB-E3-L39 | ALB-08: Conservar el control negativo todavía pendiente.&#10;ALB-E3-L40 | ALB-08: Explicar por qué no existe decisión de cierre.&#10;ALB-E3-L41 | ALB-09: Definir la población que se pretende revisar.&#10;ALB-E3-L42 | ALB-09: Identificar la revisión del contrato aplicable.&#10;ALB-E3-L43 | ALB-09: Registrar qué material falta para la comparación.&#10;ALB-E3-L44 | ALB-09: Conservar el control negativo todavía pendiente.&#10;ALB-E3-L45 | ALB-09: Explicar por qué no existe decisión de cierre.&#10;ALB-E3-L46 | ALB-10: Definir la población que se pretende revisar.&#10;ALB-E3-L47 | ALB-10: Identificar la revisión del contrato aplicable.&#10;ALB-E3-L48 | ALB-10: Registrar qué material falta para la comparación.&#10;ALB-E3-L49 | ALB-10: Conservar el control negativo todavía pendiente.&#10;ALB-E3-L50 | ALB-10: Explicar por qué no existe decisión de cierre.&#10;ALB-E3-L51 | ALB-11: Definir la población que se pretende revisar.&#10;ALB-E3-L52 | ALB-11: Identificar la revisión del contrato aplicable.&#10;ALB-E3-L53 | ALB-11: Registrar qué material falta para la comparación.&#10;ALB-E3-L54 | ALB-11: Conservar el control negativo todavía pendiente.&#10;ALB-E3-L55 | ALB-11: Explicar por qué no existe decisión de cierre.&#10;ALB-E3-L56 | ALB-12: Definir la población que se pretende revisar.&#10;ALB-E3-L57 | ALB-12: Identificar la revisión del contrato aplicable.&#10;ALB-E3-L58 | ALB-12: Registrar qué material falta para la comparación.&#10;ALB-E3-L59 | ALB-12: Conservar el control negativo todavía pendiente.&#10;ALB-E3-L60 | ALB-12: Explicar por qué no existe decisión de cierre."/>
            <wp:cNvGraphicFramePr>
              <a:graphicFrameLocks noChangeAspect="1"/>
            </wp:cNvGraphicFramePr>
            <a:graphic>
              <a:graphicData uri="http://schemas.openxmlformats.org/drawingml/2006/picture">
                <pic:pic>
                  <pic:nvPicPr>
                    <pic:cNvPr id="0" name="e03.png"/>
                    <pic:cNvPicPr/>
                  </pic:nvPicPr>
                  <pic:blipFill>
                    <a:blip r:embed="rId14"/>
                    <a:stretch>
                      <a:fillRect/>
                    </a:stretch>
                  </pic:blipFill>
                  <pic:spPr>
                    <a:xfrm>
                      <a:off x="0" y="0"/>
                      <a:ext cx="5400000" cy="2790000"/>
                    </a:xfrm>
                    <a:prstGeom prst="rect"/>
                  </pic:spPr>
                </pic:pic>
              </a:graphicData>
            </a:graphic>
          </wp:inline>
        </w:drawing>
      </w:r>
    </w:p>
    <w:p>
      <w:pPr>
        <w:keepLines w:val="0"/>
      </w:pPr>
      <w:r>
        <w:rPr>
          <w:b/>
          <w:i/>
          <w:color w:val="314959"/>
          <w:sz w:val="18"/>
        </w:rPr>
        <w:t xml:space="preserve">Figura 3. </w:t>
      </w:r>
      <w:r>
        <w:rPr>
          <w:i/>
          <w:color w:val="536273"/>
          <w:sz w:val="18"/>
        </w:rPr>
        <w:t>ALB-E3-L01 | ALB-01: Definir la población que se pretende revisar.</w:t>
        <w:br/>
        <w:t>ALB-E3-L02 | ALB-01: Identificar la revisión del contrato aplicable.</w:t>
        <w:br/>
        <w:t>ALB-E3-L03 | ALB-01: Registrar qué material falta para la comparación.</w:t>
        <w:br/>
        <w:t>ALB-E3-L04 | ALB-01: Conservar el control negativo todavía pendiente.</w:t>
        <w:br/>
        <w:t>ALB-E3-L05 | ALB-01: Explicar por qué no existe decisión de cierre.</w:t>
        <w:br/>
        <w:t>ALB-E3-L06 | ALB-02: Definir la población que se pretende revisar.</w:t>
        <w:br/>
        <w:t>ALB-E3-L07 | ALB-02: Identificar la revisión del contrato aplicable.</w:t>
        <w:br/>
        <w:t>ALB-E3-L08 | ALB-02: Registrar qué material falta para la comparación.</w:t>
        <w:br/>
        <w:t>ALB-E3-L09 | ALB-02: Conservar el control negativo todavía pendiente.</w:t>
        <w:br/>
        <w:t>ALB-E3-L10 | ALB-02: Explicar por qué no existe decisión de cierre.</w:t>
        <w:br/>
        <w:t>ALB-E3-L11 | ALB-03: Definir la población que se pretende revisar.</w:t>
        <w:br/>
        <w:t>ALB-E3-L12 | ALB-03: Identificar la revisión del contrato aplicable.</w:t>
        <w:br/>
        <w:t>ALB-E3-L13 | ALB-03: Registrar qué material falta para la comparación.</w:t>
        <w:br/>
        <w:t>ALB-E3-L14 | ALB-03: Conservar el control negativo todavía pendiente.</w:t>
        <w:br/>
        <w:t>ALB-E3-L15 | ALB-03: Explicar por qué no existe decisión de cierre.</w:t>
        <w:br/>
        <w:t>ALB-E3-L16 | ALB-04: Definir la población que se pretende revisar.</w:t>
        <w:br/>
        <w:t>ALB-E3-L17 | ALB-04: Identificar la revisión del contrato aplicable.</w:t>
        <w:br/>
        <w:t>ALB-E3-L18 | ALB-04: Registrar qué material falta para la comparación.</w:t>
        <w:br/>
        <w:t>ALB-E3-L19 | ALB-04: Conservar el control negativo todavía pendiente.</w:t>
        <w:br/>
        <w:t>ALB-E3-L20 | ALB-04: Explicar por qué no existe decisión de cierre.</w:t>
        <w:br/>
        <w:t>ALB-E3-L21 | ALB-05: Definir la población que se pretende revisar.</w:t>
        <w:br/>
        <w:t>ALB-E3-L22 | ALB-05: Identificar la revisión del contrato aplicable.</w:t>
        <w:br/>
        <w:t>ALB-E3-L23 | ALB-05: Registrar qué material falta para la comparación.</w:t>
        <w:br/>
        <w:t>ALB-E3-L24 | ALB-05: Conservar el control negativo todavía pendiente.</w:t>
        <w:br/>
        <w:t>ALB-E3-L25 | ALB-05: Explicar por qué no existe decisión de cierre.</w:t>
        <w:br/>
        <w:t>ALB-E3-L26 | ALB-06: Definir la población que se pretende revisar.</w:t>
        <w:br/>
        <w:t>ALB-E3-L27 | ALB-06: Identificar la revisión del contrato aplicable.</w:t>
        <w:br/>
        <w:t>ALB-E3-L28 | ALB-06: Registrar qué material falta para la comparación.</w:t>
        <w:br/>
        <w:t>ALB-E3-L29 | ALB-06: Conservar el control negativo todavía pendiente.</w:t>
        <w:br/>
        <w:t>ALB-E3-L30 | ALB-06: Explicar por qué no existe decisión de cierre.</w:t>
        <w:br/>
        <w:t>ALB-E3-L31 | ALB-07: Definir la población que se pretende revisar.</w:t>
        <w:br/>
        <w:t>ALB-E3-L32 | ALB-07: Identificar la revisión del contrato aplicable.</w:t>
        <w:br/>
        <w:t>ALB-E3-L33 | ALB-07: Registrar qué material falta para la comparación.</w:t>
        <w:br/>
        <w:t>ALB-E3-L34 | ALB-07: Conservar el control negativo todavía pendiente.</w:t>
        <w:br/>
        <w:t>ALB-E3-L35 | ALB-07: Explicar por qué no existe decisión de cierre.</w:t>
        <w:br/>
        <w:t>ALB-E3-L36 | ALB-08: Definir la población que se pretende revisar.</w:t>
        <w:br/>
        <w:t>ALB-E3-L37 | ALB-08: Identificar la revisión del contrato aplicable.</w:t>
        <w:br/>
        <w:t>ALB-E3-L38 | ALB-08: Registrar qué material falta para la comparación.</w:t>
        <w:br/>
        <w:t>ALB-E3-L39 | ALB-08: Conservar el control negativo todavía pendiente.</w:t>
        <w:br/>
        <w:t>ALB-E3-L40 | ALB-08: Explicar por qué no existe decisión de cierre.</w:t>
        <w:br/>
        <w:t>ALB-E3-L41 | ALB-09: Definir la población que se pretende revisar.</w:t>
        <w:br/>
        <w:t>ALB-E3-L42 | ALB-09: Identificar la revisión del contrato aplicable.</w:t>
        <w:br/>
        <w:t>ALB-E3-L43 | ALB-09: Registrar qué material falta para la comparación.</w:t>
        <w:br/>
        <w:t>ALB-E3-L44 | ALB-09: Conservar el control negativo todavía pendiente.</w:t>
        <w:br/>
        <w:t>ALB-E3-L45 | ALB-09: Explicar por qué no existe decisión de cierre.</w:t>
        <w:br/>
        <w:t>ALB-E3-L46 | ALB-10: Definir la población que se pretende revisar.</w:t>
        <w:br/>
        <w:t>ALB-E3-L47 | ALB-10: Identificar la revisión del contrato aplicable.</w:t>
        <w:br/>
        <w:t>ALB-E3-L48 | ALB-10: Registrar qué material falta para la comparación.</w:t>
        <w:br/>
        <w:t>ALB-E3-L49 | ALB-10: Conservar el control negativo todavía pendiente.</w:t>
        <w:br/>
        <w:t>ALB-E3-L50 | ALB-10: Explicar por qué no existe decisión de cierre.</w:t>
        <w:br/>
        <w:t>ALB-E3-L51 | ALB-11: Definir la población que se pretende revisar.</w:t>
        <w:br/>
        <w:t>ALB-E3-L52 | ALB-11: Identificar la revisión del contrato aplicable.</w:t>
        <w:br/>
        <w:t>ALB-E3-L53 | ALB-11: Registrar qué material falta para la comparación.</w:t>
        <w:br/>
        <w:t>ALB-E3-L54 | ALB-11: Conservar el control negativo todavía pendiente.</w:t>
        <w:br/>
        <w:t>ALB-E3-L55 | ALB-11: Explicar por qué no existe decisión de cierre.</w:t>
        <w:br/>
        <w:t>ALB-E3-L56 | ALB-12: Definir la población que se pretende revisar.</w:t>
        <w:br/>
        <w:t>ALB-E3-L57 | ALB-12: Identificar la revisión del contrato aplicable.</w:t>
        <w:br/>
        <w:t>ALB-E3-L58 | ALB-12: Registrar qué material falta para la comparación.</w:t>
        <w:br/>
        <w:t>ALB-E3-L59 | ALB-12: Conservar el control negativo todavía pendiente.</w:t>
        <w:br/>
        <w:t>ALB-E3-L60 | ALB-12: Explicar por qué no existe decisión de cierre.</w:t>
      </w:r>
    </w:p>
    <w:p>
      <w:pPr>
        <w:keepNext/>
      </w:pPr>
      <w:r>
        <w:rPr>
          <w:b/>
          <w:i w:val="0"/>
        </w:rPr>
        <w:t>Activos afectados</w:t>
      </w:r>
    </w:p>
    <w:p>
      <w:pPr>
        <w:keepNext w:val="0"/>
        <w:keepLines/>
        <w:numPr>
          <w:ilvl w:val="0"/>
          <w:numId w:val="21"/>
        </w:numPr>
        <w:ind w:left="369" w:hanging="227"/>
      </w:pPr>
      <w:r>
        <w:t>archive.albor.example</w:t>
      </w:r>
    </w:p>
    <w:p>
      <w:pPr>
        <w:pStyle w:val="Heading1"/>
        <w:keepNext/>
        <w:keepLines/>
        <w:pageBreakBefore w:val="0"/>
        <w:spacing w:before="280"/>
      </w:pPr>
      <w:bookmarkStart w:id="30" w:name="rg_toc_30"/>
      <w:bookmarkStart w:id="19" w:name="rg_ref_1fde86460173eb556fef4ca1"/>
      <w:r>
        <w:rPr>
          <w:b/>
          <w:color w:val="4B5E72"/>
        </w:rPr>
        <w:t xml:space="preserve">6  </w:t>
      </w:r>
      <w:r>
        <w:rPr>
          <w:b/>
          <w:color w:val="182B3B"/>
          <w:sz w:val="34"/>
        </w:rPr>
        <w:t>Secuencia de corrección y decisión de cierre</w:t>
      </w:r>
      <w:bookmarkEnd w:id="19"/>
      <w:bookmarkEnd w:id="30"/>
    </w:p>
    <w:p>
      <w:pPr>
        <w:pStyle w:val="Heading3"/>
      </w:pPr>
      <w:r>
        <w:rPr>
          <w:b w:val="0"/>
          <w:i w:val="0"/>
        </w:rPr>
        <w:t>Orden propuesto</w:t>
      </w:r>
    </w:p>
    <w:p>
      <w:r>
        <w:rPr>
          <w:b w:val="0"/>
          <w:i w:val="0"/>
        </w:rPr>
        <w:t>Primero, delimitar las revisiones y los estados de las instrucciones en ALB-A01, ALB-A02 y ALB-A03. La conciliación no puede explicar un cambio de estado si el significado de aprobado, reservado o rechazado sigue ambiguo. Esta etapa necesita una decisión de negocio documentada antes de modificar pantallas.</w:t>
      </w:r>
    </w:p>
    <w:p>
      <w:r>
        <w:rPr>
          <w:b w:val="0"/>
          <w:i w:val="0"/>
        </w:rPr>
        <w:t>Después, comprobar que ALB-A04 conserva la población y las relaciones económicas al generar consultas y ajustes. Un ajuste no debería borrar la operación que pretende explicar. La consola ALB-A05 debe aplicar permiso y revocación en el servicio que materializa el cambio; esconder un botón no sustituye ese control.</w:t>
      </w:r>
    </w:p>
    <w:p>
      <w:r>
        <w:rPr>
          <w:b w:val="0"/>
          <w:i w:val="0"/>
        </w:rPr>
        <w:t>Finalmente, revisar que ALB-A06 conserva evidencia pertinente y permite explicar sus ausencias. La restauración puede reabrir funciones independientes si las ambigüedades que no las afectan quedan delimitadas. No se exige paralizar todo el banco por una excepción aislada; sí se exige explicar por qué la función reabierta no depende de ella.</w:t>
      </w:r>
    </w:p>
    <w:p>
      <w:pPr>
        <w:pStyle w:val="Heading3"/>
      </w:pPr>
      <w:r>
        <w:rPr>
          <w:b w:val="0"/>
          <w:i w:val="0"/>
        </w:rPr>
        <w:t>Decisión de cierre</w:t>
      </w:r>
    </w:p>
    <w:p>
      <w:r>
        <w:rPr>
          <w:b w:val="0"/>
          <w:i w:val="0"/>
        </w:rPr>
        <w:t>Cada dueño debe proponer qué observación cerraría su hipótesis y qué incertidumbre permanecería. Una revisión independiente debe poder reconstruir ese razonamiento sin depender de la memoria del operador. Si falta material, el estado debe conservar la limitación. Aceptar una incertidumbre es una decisión distinta de afirmar que la corrección quedó verificada.</w:t>
      </w:r>
    </w:p>
    <w:p>
      <w:pPr>
        <w:pStyle w:val="Heading1"/>
        <w:keepNext/>
        <w:keepLines/>
        <w:pageBreakBefore w:val="0"/>
        <w:spacing w:before="280"/>
      </w:pPr>
      <w:bookmarkStart w:id="31" w:name="rg_toc_31"/>
      <w:bookmarkStart w:id="20" w:name="rg_ref_0fe4a3009b1c84244de23262"/>
      <w:r>
        <w:rPr>
          <w:b/>
          <w:color w:val="4B5E72"/>
        </w:rPr>
        <w:t xml:space="preserve">7  </w:t>
      </w:r>
      <w:r>
        <w:rPr>
          <w:b/>
          <w:color w:val="182B3B"/>
          <w:sz w:val="34"/>
        </w:rPr>
        <w:t>Referencias largas y fronteras de representación</w:t>
      </w:r>
      <w:bookmarkEnd w:id="20"/>
      <w:bookmarkEnd w:id="31"/>
    </w:p>
    <w:p>
      <w:r>
        <w:rPr>
          <w:b w:val="0"/>
          <w:i w:val="0"/>
        </w:rPr>
        <w:t>Las siguientes cadenas son estímulos editoriales documentales. Deben conservar texto y destino, incluyendo parámetros vacíos, repetidos y escapados. Los prefijos cortos hacen visible un salto anticipado que desperdicie el espacio restante.</w:t>
      </w:r>
    </w:p>
    <w:p>
      <w:r>
        <w:rPr>
          <w:b w:val="0"/>
          <w:i w:val="0"/>
        </w:rPr>
        <w:t xml:space="preserve">URL: </w:t>
      </w:r>
      <w:r>
        <w:rPr>
          <w:b w:val="0"/>
          <w:i w:val="0"/>
          <w:lang w:val="zxx-ZZ-x-rgwrap"/>
        </w:rPr>
        <w:t>https://treasury.albor.example/revisions/ALB%2D015/0123456789ABCDEFGHIJKLMNOPQRSTUVWXYZ0123456789ABCDEFGHIJKLMNOPQRSTUVWXYZ0123456789ABCDEFGHIJKLMNOPQRSTUVWXYZ0123456789ABCDEFGHIJKLMNOPQRSTUVWXYZ0123456789ABCDEFGHIJKLMNOPQRSTUVWXYZ?state=pending&amp;empty=&amp;repeated=one&amp;repeated=two&amp;literal=%252F&amp;value=A%26B#review(15)</w:t>
      </w:r>
    </w:p>
    <w:p>
      <w:r>
        <w:rPr>
          <w:b w:val="0"/>
          <w:i w:val="0"/>
        </w:rPr>
        <w:t xml:space="preserve">LINK: </w:t>
      </w:r>
      <w:hyperlink r:id="rId15">
        <w:r>
          <w:rPr>
            <w:b w:val="0"/>
            <w:i w:val="0"/>
            <w:rStyle w:val="Hyperlink"/>
            <w:lang w:val="zxx-ZZ-x-rgwrap"/>
          </w:rPr>
          <w:t>https://treasury.albor.example/revisions/ALB%2D015/0123456789ABCDEFGHIJKLMNOPQRSTUVWXYZ0123456789ABCDEFGHIJKLMNOPQRSTUVWXYZ0123456789ABCDEFGHIJKLMNOPQRSTUVWXYZ0123456789ABCDEFGHIJKLMNOPQRSTUVWXYZ0123456789ABCDEFGHIJKLMNOPQRSTUVWXYZ?state=pending&amp;empty=&amp;repeated=one&amp;repeated=two&amp;literal=%252F&amp;value=A%26B#review(15)</w:t>
        </w:r>
      </w:hyperlink>
    </w:p>
    <w:p>
      <w:r>
        <w:rPr>
          <w:b w:val="0"/>
          <w:i w:val="0"/>
        </w:rPr>
        <w:t>URL: https://archive.albor.example/café/東京?label=Δ&amp;revision=ALB%2D015#revisión</w:t>
      </w:r>
    </w:p>
    <w:p>
      <w:r>
        <w:rPr>
          <w:b w:val="0"/>
          <w:i w:val="0"/>
        </w:rPr>
        <w:t xml:space="preserve">LINK: </w:t>
      </w:r>
      <w:hyperlink r:id="rId16">
        <w:r>
          <w:rPr>
            <w:b w:val="0"/>
            <w:i w:val="0"/>
            <w:rStyle w:val="Hyperlink"/>
          </w:rPr>
          <w:t>https://archive.albor.example/café/東京?label=Δ&amp;revision=ALB%2D015#revisión</w:t>
        </w:r>
      </w:hyperlink>
    </w:p>
    <w:p>
      <w:r>
        <w:rPr>
          <w:b w:val="0"/>
          <w:i w:val="0"/>
        </w:rPr>
        <w:t>URL: https://archive.albor.example/café/source?normalization=preserve&amp;escaped=%E2%88%92#pending</w:t>
      </w:r>
    </w:p>
    <w:p>
      <w:r>
        <w:rPr>
          <w:b w:val="0"/>
          <w:i w:val="0"/>
        </w:rPr>
        <w:t xml:space="preserve">LINK: </w:t>
      </w:r>
      <w:hyperlink r:id="rId17">
        <w:r>
          <w:rPr>
            <w:b w:val="0"/>
            <w:i w:val="0"/>
            <w:rStyle w:val="Hyperlink"/>
          </w:rPr>
          <w:t>https://archive.albor.example/café/source?normalization=preserve&amp;escaped=%E2%88%92#pending</w:t>
        </w:r>
      </w:hyperlink>
    </w:p>
    <w:p>
      <w:r>
        <w:rPr>
          <w:b w:val="0"/>
          <w:i w:val="0"/>
        </w:rPr>
        <w:t xml:space="preserve">TOKEN: </w:t>
      </w:r>
      <w:r>
        <w:rPr>
          <w:b w:val="0"/>
          <w:i w:val="0"/>
          <w:lang w:val="zxx-ZZ-x-rgwrap"/>
        </w:rPr>
        <w:t>ALBOR15_UNSEPARATED_IDENTIFIER_0123456789ABCDEFGHIJKLMNOPQRSTUVWXYZ0123456789ABCDEFGHIJKLMNOPQRSTUVWXYZ0123456789ABCDEFGHIJKLMNOPQRSTUVWXYZ0123456789ABCDEFGHIJKLMNOPQRSTUVWXYZ0123456789ABCDEFGHIJKLMNOPQRSTUVWXYZ</w:t>
      </w:r>
    </w:p>
    <w:p>
      <w:r>
        <w:rPr>
          <w:b w:val="0"/>
          <w:i w:val="0"/>
        </w:rPr>
        <w:t xml:space="preserve">Texto antes del identificador </w:t>
      </w:r>
      <w:r>
        <w:rPr>
          <w:b w:val="0"/>
          <w:i w:val="0"/>
          <w:lang w:val="zxx-ZZ-x-rgwrap"/>
        </w:rPr>
        <w:t>ALBOR15_UNSEPARATED_IDENTIFIER_0123456789ABCDEFGHIJKLMNOPQRSTUVWXYZ0123456789ABCDEFGHIJKLMNOPQRSTUVWXYZ0123456789ABCDEFGHIJKLMNOPQRSTUVWXYZ0123456789ABCDEFGHIJKLMNOPQRSTUVWXYZ0123456789ABCDEFGHIJKLMNOPQRSTUVWXYZ</w:t>
      </w:r>
      <w:r>
        <w:rPr>
          <w:b w:val="0"/>
          <w:i w:val="0"/>
        </w:rPr>
        <w:t xml:space="preserve"> y texto después.</w:t>
      </w:r>
    </w:p>
    <w:p>
      <w:pPr>
        <w:numPr>
          <w:ilvl w:val="0"/>
          <w:numId w:val="22"/>
        </w:numPr>
        <w:tabs>
          <w:tab w:pos="430" w:val="left"/>
        </w:tabs>
        <w:ind w:left="430" w:hanging="289"/>
      </w:pPr>
      <w:r>
        <w:t xml:space="preserve">URL: </w:t>
      </w:r>
      <w:r>
        <w:rPr>
          <w:lang w:val="zxx-ZZ-x-rgwrap"/>
        </w:rPr>
        <w:t>https://treasury.albor.example/revisions/ALB%2D015/0123456789ABCDEFGHIJKLMNOPQRSTUVWXYZ0123456789ABCDEFGHIJKLMNOPQRSTUVWXYZ0123456789ABCDEFGHIJKLMNOPQRSTUVWXYZ0123456789ABCDEFGHIJKLMNOPQRSTUVWXYZ0123456789ABCDEFGHIJKLMNOPQRSTUVWXYZ?state=pending&amp;empty=&amp;repeated=one&amp;repeated=two&amp;literal=%252F&amp;value=A%26B#review(15)</w:t>
      </w:r>
    </w:p>
    <w:p>
      <w:pPr>
        <w:numPr>
          <w:ilvl w:val="0"/>
          <w:numId w:val="23"/>
        </w:numPr>
        <w:ind w:left="799" w:hanging="227"/>
      </w:pPr>
      <w:r>
        <w:t xml:space="preserve">TOKEN: </w:t>
      </w:r>
      <w:r>
        <w:rPr>
          <w:lang w:val="zxx-ZZ-x-rgwrap"/>
        </w:rPr>
        <w:t>ALBOR15_UNSEPARATED_IDENTIFIER_0123456789ABCDEFGHIJKLMNOPQRSTUVWXYZ0123456789ABCDEFGHIJKLMNOPQRSTUVWXYZ0123456789ABCDEFGHIJKLMNOPQRSTUVWXYZ0123456789ABCDEFGHIJKLMNOPQRSTUVWXYZ0123456789ABCDEFGHIJKLMNOPQRSTUVWXYZ</w:t>
      </w:r>
    </w:p>
    <w:p>
      <w:pPr>
        <w:numPr>
          <w:ilvl w:val="0"/>
          <w:numId w:val="24"/>
        </w:numPr>
        <w:ind w:left="1167" w:hanging="227"/>
      </w:pPr>
      <w:r>
        <w:t>Nivel tres: conserva orden y pertenencia.</w:t>
      </w:r>
    </w:p>
    <w:tbl>
      <w:tblPr>
        <w:tblStyle w:val="TableGrid"/>
        <w:tblW w:type="dxa" w:w="9866"/>
        <w:tblLayout w:type="fixed"/>
        <w:tblLook w:firstColumn="1" w:firstRow="1" w:lastColumn="0" w:lastRow="0" w:noHBand="0" w:noVBand="1" w:val="04A0"/>
      </w:tblPr>
      <w:tblGrid>
        <w:gridCol w:w="7354"/>
        <w:gridCol w:w="2512"/>
      </w:tblGrid>
      <w:tr>
        <w:trPr>
          <w:tblHeader/>
          <w:cantSplit/>
        </w:trPr>
        <w:tc>
          <w:tcPr>
            <w:tcW w:type="dxa" w:w="7354"/>
          </w:tcPr>
          <w:p>
            <w:pPr>
              <w:keepNext/>
              <w:keepLines/>
              <w:spacing w:after="0" w:line="240" w:lineRule="auto"/>
            </w:pPr>
            <w:r>
              <w:rPr>
                <w:b/>
                <w:i w:val="0"/>
              </w:rPr>
              <w:t>Literal</w:t>
            </w:r>
          </w:p>
        </w:tc>
        <w:tc>
          <w:tcPr>
            <w:tcW w:type="dxa" w:w="2512"/>
          </w:tcPr>
          <w:p>
            <w:pPr>
              <w:keepNext/>
              <w:keepLines/>
              <w:spacing w:after="0" w:line="240" w:lineRule="auto"/>
            </w:pPr>
            <w:r>
              <w:rPr>
                <w:b/>
                <w:i w:val="0"/>
              </w:rPr>
              <w:t>Contexto</w:t>
            </w:r>
          </w:p>
        </w:tc>
      </w:tr>
      <w:tr>
        <w:trPr>
          <w:cantSplit/>
        </w:trPr>
        <w:tc>
          <w:tcPr>
            <w:tcW w:type="dxa" w:w="7354"/>
          </w:tcPr>
          <w:p>
            <w:pPr>
              <w:keepNext/>
              <w:keepLines/>
              <w:spacing w:after="0" w:line="240" w:lineRule="auto"/>
            </w:pPr>
            <w:r>
              <w:rPr>
                <w:b w:val="0"/>
                <w:i w:val="0"/>
              </w:rPr>
              <w:t xml:space="preserve">URL: </w:t>
            </w:r>
            <w:r>
              <w:rPr>
                <w:b w:val="0"/>
                <w:i w:val="0"/>
                <w:lang w:val="zxx-ZZ-x-rgwrap"/>
              </w:rPr>
              <w:t>https://treasury.albor.example/revisions/ALB%2D015/0123456789ABCDEFGHIJKLMNOPQRSTUVWXYZ0123456789ABCDEFGHIJKLMNOPQRSTUVWXYZ0123456789ABCDEFGHIJKLMNOPQRSTUVWXYZ0123456789ABCDEFGHIJKLMNOPQRSTUVWXYZ0123456789ABCDEFGHIJKLMNOPQRSTUVWXYZ?state=pending&amp;empty=&amp;repeated=one&amp;repeated=two&amp;literal=%252F&amp;value=A%26B#review(15)</w:t>
            </w:r>
          </w:p>
        </w:tc>
        <w:tc>
          <w:tcPr>
            <w:tcW w:type="dxa" w:w="2512"/>
          </w:tcPr>
          <w:p>
            <w:pPr>
              <w:keepNext/>
              <w:keepLines/>
              <w:spacing w:after="0" w:line="240" w:lineRule="auto"/>
            </w:pPr>
            <w:r>
              <w:rPr>
                <w:b w:val="0"/>
                <w:i w:val="0"/>
              </w:rPr>
              <w:t>Destino documental, no consultado</w:t>
            </w:r>
          </w:p>
        </w:tc>
      </w:tr>
      <w:tr>
        <w:trPr>
          <w:cantSplit/>
        </w:trPr>
        <w:tc>
          <w:tcPr>
            <w:tcW w:type="dxa" w:w="7354"/>
          </w:tcPr>
          <w:p>
            <w:pPr>
              <w:keepNext w:val="0"/>
              <w:keepLines/>
              <w:spacing w:after="0" w:line="240" w:lineRule="auto"/>
            </w:pPr>
            <w:r>
              <w:rPr>
                <w:b w:val="0"/>
                <w:i w:val="0"/>
              </w:rPr>
              <w:t xml:space="preserve">TOKEN: </w:t>
            </w:r>
            <w:r>
              <w:rPr>
                <w:b w:val="0"/>
                <w:i w:val="0"/>
                <w:lang w:val="zxx-ZZ-x-rgwrap"/>
              </w:rPr>
              <w:t>ALBOR15_UNSEPARATED_IDENTIFIER_0123456789ABCDEFGHIJKLMNOPQRSTUVWXYZ0123456789ABCDEFGHIJKLMNOPQRSTUVWXYZ0123456789ABCDEFGHIJKLMNOPQRSTUVWXYZ0123456789ABCDEFGHIJKLMNOPQRSTUVWXYZ0123456789ABCDEFGHIJKLMNOPQRSTUVWXYZ</w:t>
            </w:r>
          </w:p>
        </w:tc>
        <w:tc>
          <w:tcPr>
            <w:tcW w:type="dxa" w:w="2512"/>
          </w:tcPr>
          <w:p>
            <w:pPr>
              <w:keepNext w:val="0"/>
              <w:keepLines/>
              <w:spacing w:after="0" w:line="240" w:lineRule="auto"/>
            </w:pPr>
            <w:r>
              <w:rPr>
                <w:b w:val="0"/>
                <w:i w:val="0"/>
              </w:rPr>
              <w:t>Identificador indivisible en origen</w:t>
            </w:r>
          </w:p>
        </w:tc>
      </w:tr>
    </w:tbl>
    <w:p/>
    <w:tbl>
      <w:tblPr>
        <w:tblStyle w:val="TableGrid"/>
        <w:tblW w:type="dxa" w:w="9866"/>
        <w:tblLayout w:type="fixed"/>
        <w:tblLook w:firstColumn="1" w:firstRow="1" w:lastColumn="0" w:lastRow="0" w:noHBand="0" w:noVBand="1" w:val="04A0"/>
      </w:tblPr>
      <w:tblGrid>
        <w:gridCol w:w="2382"/>
        <w:gridCol w:w="7484"/>
      </w:tblGrid>
      <w:tr>
        <w:trPr>
          <w:tblHeader/>
          <w:cantSplit/>
        </w:trPr>
        <w:tc>
          <w:tcPr>
            <w:tcW w:type="dxa" w:w="2382"/>
          </w:tcPr>
          <w:p>
            <w:pPr>
              <w:keepNext/>
              <w:keepLines/>
              <w:spacing w:after="0" w:line="240" w:lineRule="auto"/>
            </w:pPr>
            <w:r>
              <w:rPr>
                <w:b/>
                <w:i w:val="0"/>
              </w:rPr>
              <w:t>Frontera</w:t>
            </w:r>
          </w:p>
        </w:tc>
        <w:tc>
          <w:tcPr>
            <w:tcW w:type="dxa" w:w="7484"/>
          </w:tcPr>
          <w:p>
            <w:pPr>
              <w:keepNext/>
              <w:keepLines/>
              <w:spacing w:after="0" w:line="240" w:lineRule="auto"/>
            </w:pPr>
            <w:r>
              <w:rPr>
                <w:b/>
                <w:i w:val="0"/>
              </w:rPr>
              <w:t>Valor</w:t>
            </w:r>
          </w:p>
        </w:tc>
      </w:tr>
      <w:tr>
        <w:trPr>
          <w:cantSplit/>
        </w:trPr>
        <w:tc>
          <w:tcPr>
            <w:tcW w:type="dxa" w:w="2382"/>
          </w:tcPr>
          <w:p>
            <w:pPr>
              <w:keepNext w:val="0"/>
              <w:keepLines/>
              <w:spacing w:after="0" w:line="240" w:lineRule="auto"/>
            </w:pPr>
            <w:r>
              <w:rPr>
                <w:b w:val="0"/>
                <w:i w:val="0"/>
              </w:rPr>
              <w:t>31</w:t>
            </w:r>
          </w:p>
        </w:tc>
        <w:tc>
          <w:tcPr>
            <w:tcW w:type="dxa" w:w="7484"/>
          </w:tcPr>
          <w:p>
            <w:pPr>
              <w:keepNext w:val="0"/>
              <w:keepLines/>
              <w:spacing w:after="0" w:line="240" w:lineRule="auto"/>
            </w:pPr>
            <w:r>
              <w:rPr>
                <w:b w:val="0"/>
                <w:i w:val="0"/>
              </w:rPr>
              <w:t>TOKEN: AAAAAAAAAAAAAAAAAAAAAAAAAAAAAAA</w:t>
            </w:r>
          </w:p>
        </w:tc>
      </w:tr>
      <w:tr>
        <w:trPr>
          <w:cantSplit/>
        </w:trPr>
        <w:tc>
          <w:tcPr>
            <w:tcW w:type="dxa" w:w="2382"/>
          </w:tcPr>
          <w:p>
            <w:pPr>
              <w:keepNext w:val="0"/>
              <w:keepLines/>
              <w:spacing w:after="0" w:line="240" w:lineRule="auto"/>
            </w:pPr>
            <w:r>
              <w:rPr>
                <w:b w:val="0"/>
                <w:i w:val="0"/>
              </w:rPr>
              <w:t>32</w:t>
            </w:r>
          </w:p>
        </w:tc>
        <w:tc>
          <w:tcPr>
            <w:tcW w:type="dxa" w:w="7484"/>
          </w:tcPr>
          <w:p>
            <w:pPr>
              <w:keepNext w:val="0"/>
              <w:keepLines/>
              <w:spacing w:after="0" w:line="240" w:lineRule="auto"/>
            </w:pPr>
            <w:r>
              <w:rPr>
                <w:b w:val="0"/>
                <w:i w:val="0"/>
              </w:rPr>
              <w:t>TOKEN: BBBBBBBBBBBBBBBBBBBBBBBBBBBBBBBB</w:t>
            </w:r>
          </w:p>
        </w:tc>
      </w:tr>
      <w:tr>
        <w:trPr>
          <w:cantSplit/>
        </w:trPr>
        <w:tc>
          <w:tcPr>
            <w:tcW w:type="dxa" w:w="2382"/>
          </w:tcPr>
          <w:p>
            <w:pPr>
              <w:keepNext w:val="0"/>
              <w:keepLines/>
              <w:spacing w:after="0" w:line="240" w:lineRule="auto"/>
            </w:pPr>
            <w:r>
              <w:rPr>
                <w:b w:val="0"/>
                <w:i w:val="0"/>
              </w:rPr>
              <w:t>63</w:t>
            </w:r>
          </w:p>
        </w:tc>
        <w:tc>
          <w:tcPr>
            <w:tcW w:type="dxa" w:w="7484"/>
          </w:tcPr>
          <w:p>
            <w:pPr>
              <w:keepNext w:val="0"/>
              <w:keepLines/>
              <w:spacing w:after="0" w:line="240" w:lineRule="auto"/>
            </w:pPr>
            <w:r>
              <w:rPr>
                <w:b w:val="0"/>
                <w:i w:val="0"/>
              </w:rPr>
              <w:t>TOKEN: CCCCCCCCCCCCCCCCCCCCCCCCCCCCCCCCCCCCCCCCCCCCCCCCCCCCCCCCCCCCCCC</w:t>
            </w:r>
          </w:p>
        </w:tc>
      </w:tr>
      <w:tr>
        <w:trPr>
          <w:cantSplit/>
        </w:trPr>
        <w:tc>
          <w:tcPr>
            <w:tcW w:type="dxa" w:w="2382"/>
          </w:tcPr>
          <w:p>
            <w:pPr>
              <w:keepNext/>
              <w:keepLines/>
              <w:spacing w:after="0" w:line="240" w:lineRule="auto"/>
            </w:pPr>
            <w:r>
              <w:rPr>
                <w:b w:val="0"/>
                <w:i w:val="0"/>
              </w:rPr>
              <w:t>64</w:t>
            </w:r>
          </w:p>
        </w:tc>
        <w:tc>
          <w:tcPr>
            <w:tcW w:type="dxa" w:w="7484"/>
          </w:tcPr>
          <w:p>
            <w:pPr>
              <w:keepNext/>
              <w:keepLines/>
              <w:spacing w:after="0" w:line="240" w:lineRule="auto"/>
            </w:pPr>
            <w:r>
              <w:rPr>
                <w:b w:val="0"/>
                <w:i w:val="0"/>
              </w:rPr>
              <w:t>TOKEN: DDDDDDDDDDDDDDDDDDDDDDDDDDDDDDDDDDDDDDDDDDDDDDDDDDDDDDDDDDDDDDDD</w:t>
            </w:r>
          </w:p>
        </w:tc>
      </w:tr>
      <w:tr>
        <w:trPr>
          <w:cantSplit/>
        </w:trPr>
        <w:tc>
          <w:tcPr>
            <w:tcW w:type="dxa" w:w="2382"/>
          </w:tcPr>
          <w:p>
            <w:pPr>
              <w:keepNext/>
              <w:keepLines/>
              <w:spacing w:after="0" w:line="240" w:lineRule="auto"/>
            </w:pPr>
            <w:r>
              <w:rPr>
                <w:b w:val="0"/>
                <w:i w:val="0"/>
              </w:rPr>
              <w:t>24</w:t>
            </w:r>
          </w:p>
        </w:tc>
        <w:tc>
          <w:tcPr>
            <w:tcW w:type="dxa" w:w="7484"/>
          </w:tcPr>
          <w:p>
            <w:pPr>
              <w:keepNext/>
              <w:keepLines/>
              <w:spacing w:after="0" w:line="240" w:lineRule="auto"/>
            </w:pPr>
            <w:r>
              <w:rPr>
                <w:b w:val="0"/>
                <w:i w:val="0"/>
              </w:rPr>
              <w:t xml:space="preserve">TOKEN: </w:t>
            </w:r>
            <w:r>
              <w:rPr>
                <w:b w:val="0"/>
                <w:i w:val="0"/>
                <w:lang w:val="zxx-ZZ-x-rgwrap"/>
              </w:rPr>
              <w:t>ABCD1234ABCD1234ABCD1234</w:t>
            </w:r>
          </w:p>
        </w:tc>
      </w:tr>
      <w:tr>
        <w:trPr>
          <w:cantSplit/>
        </w:trPr>
        <w:tc>
          <w:tcPr>
            <w:tcW w:type="dxa" w:w="2382"/>
          </w:tcPr>
          <w:p>
            <w:pPr>
              <w:keepNext w:val="0"/>
              <w:keepLines/>
              <w:spacing w:after="0" w:line="240" w:lineRule="auto"/>
            </w:pPr>
            <w:r>
              <w:rPr>
                <w:b w:val="0"/>
                <w:i w:val="0"/>
              </w:rPr>
              <w:t>72</w:t>
            </w:r>
          </w:p>
        </w:tc>
        <w:tc>
          <w:tcPr>
            <w:tcW w:type="dxa" w:w="7484"/>
          </w:tcPr>
          <w:p>
            <w:pPr>
              <w:keepNext w:val="0"/>
              <w:keepLines/>
              <w:spacing w:after="0" w:line="240" w:lineRule="auto"/>
            </w:pPr>
            <w:r>
              <w:rPr>
                <w:b w:val="0"/>
                <w:i w:val="0"/>
              </w:rPr>
              <w:t xml:space="preserve">TOKEN: </w:t>
            </w:r>
            <w:r>
              <w:rPr>
                <w:b w:val="0"/>
                <w:i w:val="0"/>
                <w:lang w:val="zxx-ZZ-x-rgwrap"/>
              </w:rPr>
              <w:t>0123456789ABCDEFGHIJKLMNOPQRSTUVWXYZ0123456789ABCDEFGHIJKLMNOPQRSTUVWXYZ</w:t>
            </w:r>
          </w:p>
        </w:tc>
      </w:tr>
    </w:tbl>
    <w:p>
      <w:pPr>
        <w:pStyle w:val="Heading1"/>
        <w:keepNext/>
        <w:keepLines/>
        <w:pageBreakBefore w:val="0"/>
        <w:spacing w:before="280"/>
      </w:pPr>
      <w:bookmarkStart w:id="32" w:name="rg_toc_32"/>
      <w:bookmarkStart w:id="21" w:name="rg_ref_b3b32820e7990f60c85d460d"/>
      <w:r>
        <w:rPr>
          <w:b/>
          <w:color w:val="4B5E72"/>
        </w:rPr>
        <w:t xml:space="preserve">8  </w:t>
      </w:r>
      <w:r>
        <w:rPr>
          <w:b/>
          <w:color w:val="182B3B"/>
          <w:sz w:val="34"/>
        </w:rPr>
        <w:t xml:space="preserve">Anexo editorial </w:t>
      </w:r>
      <w:r>
        <w:rPr>
          <w:b/>
          <w:color w:val="182B3B"/>
          <w:sz w:val="34"/>
          <w:lang w:val="zxx-ZZ-x-rgwrap"/>
        </w:rPr>
        <w:t>ALBOR15_INDEX_WWWWWWWWWWWWWWWWWWWWWWWWWWWWWWWWWWWWWWWWWWWWWWWWWWWWWWWWWWWWWWWW</w:t>
      </w:r>
      <w:bookmarkEnd w:id="21"/>
      <w:bookmarkEnd w:id="32"/>
    </w:p>
    <w:p>
      <w:r>
        <w:rPr>
          <w:b w:val="0"/>
          <w:i w:val="0"/>
        </w:rPr>
        <w:t>El bloque siguiente verifica la conservación de texto, no representa una consola ejecutada. La figura E1 no tiene leyenda textual; E2 contiene dos líneas explícitas; E3 contiene sesenta líneas explícitas con identificadores únicos. Una leyenda extensa puede continuar en otra página, pero no debe recortar ni reemplazar la figura. Los títulos siguientes prueban el ancho del índice sin modificar sus destinos.</w:t>
      </w:r>
    </w:p>
    <w:p>
      <w:pPr>
        <w:pStyle w:val="Heading4"/>
      </w:pPr>
      <w:r>
        <w:rPr>
          <w:b w:val="0"/>
          <w:i w:val="0"/>
        </w:rPr>
        <w:t>Texto después de h5</w:t>
      </w:r>
    </w:p>
    <w:p>
      <w:r>
        <w:rPr>
          <w:b w:val="0"/>
          <w:i w:val="0"/>
        </w:rPr>
        <w:t>La lectura continúa como prosa. No debe quedar dentro de un marco de código ni perder su espacio respecto al título.</w:t>
      </w:r>
    </w:p>
    <w:p>
      <w:pPr>
        <w:pStyle w:val="Heading4"/>
      </w:pPr>
      <w:r>
        <w:rPr>
          <w:b w:val="0"/>
          <w:i w:val="0"/>
        </w:rPr>
        <w:t>Texto después de h6</w:t>
      </w:r>
    </w:p>
    <w:p>
      <w:r>
        <w:rPr>
          <w:b w:val="0"/>
          <w:i w:val="0"/>
        </w:rPr>
        <w:t>La relación entre el bloque previo y este párrafo sigue siendo editorial, no una nueva evidencia observada.</w:t>
      </w:r>
    </w:p>
    <w:p>
      <w:r>
        <w:rPr>
          <w:b w:val="0"/>
          <w:i w:val="0"/>
        </w:rPr>
        <w:t>café | café | 東京 | Δ | A B | A | B | =1+1 | −0.01 | tt fi fl st ffi ffl</w:t>
      </w:r>
    </w:p>
    <w:p>
      <w:pPr>
        <w:pStyle w:val="ReportGenCode"/>
        <w:shd w:val="clear" w:fill="182b3b"/>
        <w:keepNext w:val="0"/>
        <w:keepLines/>
        <w:pBdr>
          <w:left w:val="single" w:sz="18" w:space="4" w:color="4B5E72"/>
        </w:pBdr>
        <w:spacing w:before="60" w:after="60"/>
        <w:ind w:left="113"/>
      </w:pPr>
      <w:r>
        <w:rPr>
          <w:rFonts w:ascii="DejaVu Sans Mono" w:hAnsi="DejaVu Sans Mono"/>
          <w:color w:val="E9E9F2"/>
          <w:sz w:val="18"/>
        </w:rPr>
        <w:t>{</w:t>
      </w:r>
      <w:r>
        <w:br/>
      </w:r>
      <w:r>
        <w:rPr>
          <w:rFonts w:ascii="DejaVu Sans Mono" w:hAnsi="DejaVu Sans Mono"/>
          <w:color w:val="E9E9F2"/>
          <w:sz w:val="18"/>
        </w:rPr>
        <w:t xml:space="preserve">  "case": "ALBOR-15",</w:t>
      </w:r>
      <w:r>
        <w:br/>
      </w:r>
      <w:r>
        <w:rPr>
          <w:rFonts w:ascii="DejaVu Sans Mono" w:hAnsi="DejaVu Sans Mono"/>
          <w:color w:val="E9E9F2"/>
          <w:sz w:val="18"/>
        </w:rPr>
        <w:t xml:space="preserve">  "execution": "not_performed",</w:t>
      </w:r>
      <w:r>
        <w:br/>
      </w:r>
      <w:r>
        <w:rPr>
          <w:rFonts w:ascii="DejaVu Sans Mono" w:hAnsi="DejaVu Sans Mono"/>
          <w:color w:val="E9E9F2"/>
          <w:sz w:val="18"/>
        </w:rPr>
        <w:t xml:space="preserve">  "path": </w:t>
      </w:r>
      <w:r>
        <w:rPr>
          <w:rFonts w:ascii="DejaVu Sans Mono" w:hAnsi="DejaVu Sans Mono"/>
          <w:color w:val="E9E9F2"/>
          <w:sz w:val="18"/>
          <w:lang w:val="zxx-ZZ-x-rgwrap"/>
        </w:rPr>
        <w:t xml:space="preserve">"C:\\AlborLab\\Treasury",</w:t>
      </w:r>
      <w:r>
        <w:br/>
      </w:r>
      <w:r>
        <w:rPr>
          <w:rFonts w:ascii="DejaVu Sans Mono" w:hAnsi="DejaVu Sans Mono"/>
          <w:color w:val="E9E9F2"/>
          <w:sz w:val="18"/>
        </w:rPr>
        <w:t xml:space="preserve">  "literal": "&lt;value&gt; &amp; \"quoted\"",</w:t>
      </w:r>
      <w:r>
        <w:br/>
      </w:r>
      <w:r>
        <w:rPr>
          <w:rFonts w:ascii="DejaVu Sans Mono" w:hAnsi="DejaVu Sans Mono"/>
          <w:color w:val="E9E9F2"/>
          <w:sz w:val="18"/>
        </w:rPr>
        <w:t xml:space="preserve">  "state": "pending",</w:t>
      </w:r>
      <w:r>
        <w:br/>
      </w:r>
      <w:r>
        <w:rPr>
          <w:rFonts w:ascii="DejaVu Sans Mono" w:hAnsi="DejaVu Sans Mono"/>
          <w:color w:val="E9E9F2"/>
          <w:sz w:val="18"/>
        </w:rPr>
        <w:t xml:space="preserve">  "unicode": [</w:t>
      </w:r>
      <w:r>
        <w:br/>
      </w:r>
      <w:r>
        <w:rPr>
          <w:rFonts w:ascii="DejaVu Sans Mono" w:hAnsi="DejaVu Sans Mono"/>
          <w:color w:val="E9E9F2"/>
          <w:sz w:val="18"/>
        </w:rPr>
        <w:t xml:space="preserve">    "café",</w:t>
      </w:r>
      <w:r>
        <w:br/>
      </w:r>
      <w:r>
        <w:rPr>
          <w:rFonts w:ascii="DejaVu Sans Mono" w:hAnsi="DejaVu Sans Mono"/>
          <w:color w:val="E9E9F2"/>
          <w:sz w:val="18"/>
        </w:rPr>
        <w:t xml:space="preserve">    "café",</w:t>
      </w:r>
      <w:r>
        <w:br/>
      </w:r>
      <w:r>
        <w:rPr>
          <w:rFonts w:ascii="DejaVu Sans Mono" w:hAnsi="DejaVu Sans Mono"/>
          <w:color w:val="E9E9F2"/>
          <w:sz w:val="18"/>
        </w:rPr>
        <w:t xml:space="preserve">    "東京"</w:t>
      </w:r>
      <w:r>
        <w:br/>
      </w:r>
      <w:r>
        <w:rPr>
          <w:rFonts w:ascii="DejaVu Sans Mono" w:hAnsi="DejaVu Sans Mono"/>
          <w:color w:val="E9E9F2"/>
          <w:sz w:val="18"/>
        </w:rPr>
        <w:t xml:space="preserve">  ]</w:t>
      </w:r>
      <w:r>
        <w:br/>
      </w:r>
      <w:r>
        <w:rPr>
          <w:rFonts w:ascii="DejaVu Sans Mono" w:hAnsi="DejaVu Sans Mono"/>
          <w:color w:val="E9E9F2"/>
          <w:sz w:val="18"/>
        </w:rPr>
        <w:t>}</w:t>
      </w:r>
    </w:p>
    <w:p>
      <w:r>
        <w:rPr>
          <w:b w:val="0"/>
          <w:i w:val="0"/>
        </w:rPr>
        <w:t>La prosa continúa fuera del código.</w:t>
      </w:r>
    </w:p>
    <w:p>
      <w:pPr>
        <w:pStyle w:val="Heading1"/>
        <w:keepNext/>
        <w:keepLines/>
        <w:pageBreakBefore w:val="0"/>
        <w:spacing w:before="280"/>
      </w:pPr>
      <w:bookmarkStart w:id="33" w:name="rg_toc_33"/>
      <w:bookmarkStart w:id="22" w:name="rg_ref_5915fd1e930b5df1eb14fcbb"/>
      <w:r>
        <w:rPr>
          <w:b/>
          <w:color w:val="4B5E72"/>
        </w:rPr>
        <w:t xml:space="preserve">9  </w:t>
      </w:r>
      <w:r>
        <w:rPr>
          <w:b/>
          <w:color w:val="182B3B"/>
          <w:sz w:val="34"/>
        </w:rPr>
        <w:t>Inventario de activos</w:t>
      </w:r>
      <w:bookmarkEnd w:id="22"/>
      <w:bookmarkEnd w:id="33"/>
    </w:p>
    <w:tbl>
      <w:tblPr>
        <w:tblStyle w:val="TableGrid"/>
        <w:tblW w:type="dxa" w:w="9866"/>
        <w:tblLayout w:type="fixed"/>
        <w:tblLook w:firstColumn="1" w:firstRow="1" w:lastColumn="0" w:lastRow="0" w:noHBand="0" w:noVBand="1" w:val="04A0"/>
      </w:tblPr>
      <w:tblGrid>
        <w:gridCol w:w="1776"/>
        <w:gridCol w:w="2762"/>
        <w:gridCol w:w="1579"/>
        <w:gridCol w:w="3749"/>
      </w:tblGrid>
      <w:tr>
        <w:trPr>
          <w:tblHeader/>
          <w:cantSplit/>
        </w:trPr>
        <w:tc>
          <w:tcPr>
            <w:tcW w:type="dxa" w:w="1776"/>
          </w:tcPr>
          <w:p>
            <w:pPr>
              <w:keepNext/>
              <w:keepLines/>
              <w:spacing w:after="0" w:line="240" w:lineRule="auto"/>
            </w:pPr>
            <w:r>
              <w:rPr>
                <w:b/>
                <w:i w:val="0"/>
              </w:rPr>
              <w:t>Activo</w:t>
            </w:r>
          </w:p>
        </w:tc>
        <w:tc>
          <w:tcPr>
            <w:tcW w:type="dxa" w:w="2762"/>
          </w:tcPr>
          <w:p>
            <w:pPr>
              <w:keepNext/>
              <w:keepLines/>
              <w:spacing w:after="0" w:line="240" w:lineRule="auto"/>
            </w:pPr>
            <w:r>
              <w:rPr>
                <w:b/>
                <w:i w:val="0"/>
              </w:rPr>
              <w:t>Objetivo</w:t>
            </w:r>
          </w:p>
        </w:tc>
        <w:tc>
          <w:tcPr>
            <w:tcW w:type="dxa" w:w="1579"/>
          </w:tcPr>
          <w:p>
            <w:pPr>
              <w:keepNext/>
              <w:keepLines/>
              <w:spacing w:after="0" w:line="240" w:lineRule="auto"/>
            </w:pPr>
            <w:r>
              <w:rPr>
                <w:b/>
                <w:i w:val="0"/>
              </w:rPr>
              <w:t>Tipo</w:t>
            </w:r>
          </w:p>
        </w:tc>
        <w:tc>
          <w:tcPr>
            <w:tcW w:type="dxa" w:w="3749"/>
          </w:tcPr>
          <w:p>
            <w:pPr>
              <w:keepNext/>
              <w:keepLines/>
              <w:spacing w:after="0" w:line="240" w:lineRule="auto"/>
            </w:pPr>
            <w:r>
              <w:rPr>
                <w:b/>
                <w:i w:val="0"/>
              </w:rPr>
              <w:t>Notas</w:t>
            </w:r>
          </w:p>
        </w:tc>
      </w:tr>
      <w:tr>
        <w:trPr>
          <w:cantSplit/>
        </w:trPr>
        <w:tc>
          <w:tcPr>
            <w:tcW w:type="dxa" w:w="1776"/>
          </w:tcPr>
          <w:p>
            <w:pPr>
              <w:keepNext w:val="0"/>
              <w:keepLines/>
              <w:spacing w:after="0" w:line="240" w:lineRule="auto"/>
            </w:pPr>
            <w:r>
              <w:rPr>
                <w:b w:val="0"/>
                <w:i w:val="0"/>
              </w:rPr>
              <w:t>ALB-A01</w:t>
            </w:r>
          </w:p>
        </w:tc>
        <w:tc>
          <w:tcPr>
            <w:tcW w:type="dxa" w:w="2762"/>
          </w:tcPr>
          <w:p>
            <w:pPr>
              <w:keepNext w:val="0"/>
              <w:keepLines/>
              <w:spacing w:after="0" w:line="240" w:lineRule="auto"/>
            </w:pPr>
            <w:r>
              <w:rPr>
                <w:b w:val="0"/>
                <w:i w:val="0"/>
              </w:rPr>
              <w:t>treasury.albor.example</w:t>
            </w:r>
          </w:p>
        </w:tc>
        <w:tc>
          <w:tcPr>
            <w:tcW w:type="dxa" w:w="1579"/>
          </w:tcPr>
          <w:p>
            <w:pPr>
              <w:keepNext w:val="0"/>
              <w:keepLines/>
              <w:spacing w:after="0" w:line="240" w:lineRule="auto"/>
            </w:pPr>
            <w:r>
              <w:rPr>
                <w:b w:val="0"/>
                <w:i w:val="0"/>
              </w:rPr>
              <w:t>server</w:t>
            </w:r>
          </w:p>
        </w:tc>
        <w:tc>
          <w:tcPr>
            <w:tcW w:type="dxa" w:w="3749"/>
          </w:tcPr>
          <w:p>
            <w:pPr>
              <w:keepNext w:val="0"/>
              <w:keepLines/>
              <w:spacing w:after="0" w:line="240" w:lineRule="auto"/>
            </w:pPr>
            <w:r>
              <w:rPr>
                <w:b w:val="0"/>
                <w:i w:val="0"/>
              </w:rPr>
              <w:t>Preparación y aprobación de instrucciones; sin contacto</w:t>
            </w:r>
          </w:p>
        </w:tc>
      </w:tr>
      <w:tr>
        <w:trPr>
          <w:cantSplit/>
        </w:trPr>
        <w:tc>
          <w:tcPr>
            <w:tcW w:type="dxa" w:w="1776"/>
          </w:tcPr>
          <w:p>
            <w:pPr>
              <w:keepNext w:val="0"/>
              <w:keepLines/>
              <w:spacing w:after="0" w:line="240" w:lineRule="auto"/>
            </w:pPr>
            <w:r>
              <w:rPr>
                <w:b w:val="0"/>
                <w:i w:val="0"/>
              </w:rPr>
              <w:t>ALB-A02</w:t>
            </w:r>
          </w:p>
        </w:tc>
        <w:tc>
          <w:tcPr>
            <w:tcW w:type="dxa" w:w="2762"/>
          </w:tcPr>
          <w:p>
            <w:pPr>
              <w:keepNext w:val="0"/>
              <w:keepLines/>
              <w:spacing w:after="0" w:line="240" w:lineRule="auto"/>
            </w:pPr>
            <w:r>
              <w:rPr>
                <w:b w:val="0"/>
                <w:i w:val="0"/>
              </w:rPr>
              <w:t>beneficiaries.albor.example</w:t>
            </w:r>
          </w:p>
        </w:tc>
        <w:tc>
          <w:tcPr>
            <w:tcW w:type="dxa" w:w="1579"/>
          </w:tcPr>
          <w:p>
            <w:pPr>
              <w:keepNext w:val="0"/>
              <w:keepLines/>
              <w:spacing w:after="0" w:line="240" w:lineRule="auto"/>
            </w:pPr>
            <w:r>
              <w:rPr>
                <w:b w:val="0"/>
                <w:i w:val="0"/>
              </w:rPr>
              <w:t>server</w:t>
            </w:r>
          </w:p>
        </w:tc>
        <w:tc>
          <w:tcPr>
            <w:tcW w:type="dxa" w:w="3749"/>
          </w:tcPr>
          <w:p>
            <w:pPr>
              <w:keepNext w:val="0"/>
              <w:keepLines/>
              <w:spacing w:after="0" w:line="240" w:lineRule="auto"/>
            </w:pPr>
            <w:r>
              <w:rPr>
                <w:b w:val="0"/>
                <w:i w:val="0"/>
              </w:rPr>
              <w:t>Catálogo de beneficiarios y condiciones; sin contacto</w:t>
            </w:r>
          </w:p>
        </w:tc>
      </w:tr>
      <w:tr>
        <w:trPr>
          <w:cantSplit/>
        </w:trPr>
        <w:tc>
          <w:tcPr>
            <w:tcW w:type="dxa" w:w="1776"/>
          </w:tcPr>
          <w:p>
            <w:pPr>
              <w:keepNext w:val="0"/>
              <w:keepLines/>
              <w:spacing w:after="0" w:line="240" w:lineRule="auto"/>
            </w:pPr>
            <w:r>
              <w:rPr>
                <w:b w:val="0"/>
                <w:i w:val="0"/>
              </w:rPr>
              <w:t>ALB-A03</w:t>
            </w:r>
          </w:p>
        </w:tc>
        <w:tc>
          <w:tcPr>
            <w:tcW w:type="dxa" w:w="2762"/>
          </w:tcPr>
          <w:p>
            <w:pPr>
              <w:keepNext w:val="0"/>
              <w:keepLines/>
              <w:spacing w:after="0" w:line="240" w:lineRule="auto"/>
            </w:pPr>
            <w:r>
              <w:rPr>
                <w:b w:val="0"/>
                <w:i w:val="0"/>
              </w:rPr>
              <w:t>192.0.2.153</w:t>
            </w:r>
          </w:p>
        </w:tc>
        <w:tc>
          <w:tcPr>
            <w:tcW w:type="dxa" w:w="1579"/>
          </w:tcPr>
          <w:p>
            <w:pPr>
              <w:keepNext w:val="0"/>
              <w:keepLines/>
              <w:spacing w:after="0" w:line="240" w:lineRule="auto"/>
            </w:pPr>
            <w:r>
              <w:rPr>
                <w:b w:val="0"/>
                <w:i w:val="0"/>
              </w:rPr>
              <w:t>server</w:t>
            </w:r>
          </w:p>
        </w:tc>
        <w:tc>
          <w:tcPr>
            <w:tcW w:type="dxa" w:w="3749"/>
          </w:tcPr>
          <w:p>
            <w:pPr>
              <w:keepNext w:val="0"/>
              <w:keepLines/>
              <w:spacing w:after="0" w:line="240" w:lineRule="auto"/>
            </w:pPr>
            <w:r>
              <w:rPr>
                <w:b w:val="0"/>
                <w:i w:val="0"/>
              </w:rPr>
              <w:t>Cola documental de reservas e instrucciones; sin contacto</w:t>
            </w:r>
          </w:p>
        </w:tc>
      </w:tr>
      <w:tr>
        <w:trPr>
          <w:cantSplit/>
        </w:trPr>
        <w:tc>
          <w:tcPr>
            <w:tcW w:type="dxa" w:w="1776"/>
          </w:tcPr>
          <w:p>
            <w:pPr>
              <w:keepNext/>
              <w:keepLines/>
              <w:spacing w:after="0" w:line="240" w:lineRule="auto"/>
            </w:pPr>
            <w:r>
              <w:rPr>
                <w:b w:val="0"/>
                <w:i w:val="0"/>
              </w:rPr>
              <w:t>ALB-A04</w:t>
            </w:r>
          </w:p>
        </w:tc>
        <w:tc>
          <w:tcPr>
            <w:tcW w:type="dxa" w:w="2762"/>
          </w:tcPr>
          <w:p>
            <w:pPr>
              <w:keepNext/>
              <w:keepLines/>
              <w:spacing w:after="0" w:line="240" w:lineRule="auto"/>
            </w:pPr>
            <w:r>
              <w:rPr>
                <w:b w:val="0"/>
                <w:i w:val="0"/>
              </w:rPr>
              <w:t>reconcile.albor.example</w:t>
            </w:r>
          </w:p>
        </w:tc>
        <w:tc>
          <w:tcPr>
            <w:tcW w:type="dxa" w:w="1579"/>
          </w:tcPr>
          <w:p>
            <w:pPr>
              <w:keepNext/>
              <w:keepLines/>
              <w:spacing w:after="0" w:line="240" w:lineRule="auto"/>
            </w:pPr>
            <w:r>
              <w:rPr>
                <w:b w:val="0"/>
                <w:i w:val="0"/>
              </w:rPr>
              <w:t>server</w:t>
            </w:r>
          </w:p>
        </w:tc>
        <w:tc>
          <w:tcPr>
            <w:tcW w:type="dxa" w:w="3749"/>
          </w:tcPr>
          <w:p>
            <w:pPr>
              <w:keepNext/>
              <w:keepLines/>
              <w:spacing w:after="0" w:line="240" w:lineRule="auto"/>
            </w:pPr>
            <w:r>
              <w:rPr>
                <w:b w:val="0"/>
                <w:i w:val="0"/>
              </w:rPr>
              <w:t>Conciliación y explicación de ajustes; sin contacto</w:t>
            </w:r>
          </w:p>
        </w:tc>
      </w:tr>
      <w:tr>
        <w:trPr>
          <w:cantSplit/>
        </w:trPr>
        <w:tc>
          <w:tcPr>
            <w:tcW w:type="dxa" w:w="1776"/>
          </w:tcPr>
          <w:p>
            <w:pPr>
              <w:keepNext/>
              <w:keepLines/>
              <w:spacing w:after="0" w:line="240" w:lineRule="auto"/>
            </w:pPr>
            <w:r>
              <w:rPr>
                <w:b w:val="0"/>
                <w:i w:val="0"/>
              </w:rPr>
              <w:t>ALB-A05</w:t>
            </w:r>
          </w:p>
        </w:tc>
        <w:tc>
          <w:tcPr>
            <w:tcW w:type="dxa" w:w="2762"/>
          </w:tcPr>
          <w:p>
            <w:pPr>
              <w:keepNext/>
              <w:keepLines/>
              <w:spacing w:after="0" w:line="240" w:lineRule="auto"/>
            </w:pPr>
            <w:r>
              <w:rPr>
                <w:b w:val="0"/>
                <w:i w:val="0"/>
              </w:rPr>
              <w:t>operations.albor.example</w:t>
            </w:r>
          </w:p>
        </w:tc>
        <w:tc>
          <w:tcPr>
            <w:tcW w:type="dxa" w:w="1579"/>
          </w:tcPr>
          <w:p>
            <w:pPr>
              <w:keepNext/>
              <w:keepLines/>
              <w:spacing w:after="0" w:line="240" w:lineRule="auto"/>
            </w:pPr>
            <w:r>
              <w:rPr>
                <w:b w:val="0"/>
                <w:i w:val="0"/>
              </w:rPr>
              <w:t>server</w:t>
            </w:r>
          </w:p>
        </w:tc>
        <w:tc>
          <w:tcPr>
            <w:tcW w:type="dxa" w:w="3749"/>
          </w:tcPr>
          <w:p>
            <w:pPr>
              <w:keepNext/>
              <w:keepLines/>
              <w:spacing w:after="0" w:line="240" w:lineRule="auto"/>
            </w:pPr>
            <w:r>
              <w:rPr>
                <w:b w:val="0"/>
                <w:i w:val="0"/>
              </w:rPr>
              <w:t>Consola de turnos y exportación; sin contacto</w:t>
            </w:r>
          </w:p>
        </w:tc>
      </w:tr>
      <w:tr>
        <w:trPr>
          <w:cantSplit/>
        </w:trPr>
        <w:tc>
          <w:tcPr>
            <w:tcW w:type="dxa" w:w="1776"/>
          </w:tcPr>
          <w:p>
            <w:pPr>
              <w:keepNext w:val="0"/>
              <w:keepLines/>
              <w:spacing w:after="0" w:line="240" w:lineRule="auto"/>
            </w:pPr>
            <w:r>
              <w:rPr>
                <w:b w:val="0"/>
                <w:i w:val="0"/>
              </w:rPr>
              <w:t>ALB-A06</w:t>
            </w:r>
          </w:p>
        </w:tc>
        <w:tc>
          <w:tcPr>
            <w:tcW w:type="dxa" w:w="2762"/>
          </w:tcPr>
          <w:p>
            <w:pPr>
              <w:keepNext w:val="0"/>
              <w:keepLines/>
              <w:spacing w:after="0" w:line="240" w:lineRule="auto"/>
            </w:pPr>
            <w:r>
              <w:rPr>
                <w:b w:val="0"/>
                <w:i w:val="0"/>
              </w:rPr>
              <w:t>archive.albor.example</w:t>
            </w:r>
          </w:p>
        </w:tc>
        <w:tc>
          <w:tcPr>
            <w:tcW w:type="dxa" w:w="1579"/>
          </w:tcPr>
          <w:p>
            <w:pPr>
              <w:keepNext w:val="0"/>
              <w:keepLines/>
              <w:spacing w:after="0" w:line="240" w:lineRule="auto"/>
            </w:pPr>
            <w:r>
              <w:rPr>
                <w:b w:val="0"/>
                <w:i w:val="0"/>
              </w:rPr>
              <w:t>server</w:t>
            </w:r>
          </w:p>
        </w:tc>
        <w:tc>
          <w:tcPr>
            <w:tcW w:type="dxa" w:w="3749"/>
          </w:tcPr>
          <w:p>
            <w:pPr>
              <w:keepNext w:val="0"/>
              <w:keepLines/>
              <w:spacing w:after="0" w:line="240" w:lineRule="auto"/>
            </w:pPr>
            <w:r>
              <w:rPr>
                <w:b w:val="0"/>
                <w:i w:val="0"/>
              </w:rPr>
              <w:t>Archivo y retención documental; sin contacto</w:t>
            </w:r>
          </w:p>
        </w:tc>
      </w:tr>
    </w:tbl>
    <w:p>
      <w:pPr>
        <w:pStyle w:val="Heading1"/>
        <w:keepNext/>
        <w:keepLines/>
        <w:pageBreakBefore w:val="0"/>
        <w:spacing w:before="280"/>
      </w:pPr>
      <w:bookmarkStart w:id="34" w:name="rg_toc_34"/>
      <w:bookmarkStart w:id="23" w:name="rg_ref_37c9c353a5f9a5028d27f5ba"/>
      <w:r>
        <w:rPr>
          <w:b/>
          <w:color w:val="4B5E72"/>
        </w:rPr>
        <w:t xml:space="preserve">10  </w:t>
      </w:r>
      <w:r>
        <w:rPr>
          <w:b/>
          <w:color w:val="182B3B"/>
          <w:sz w:val="34"/>
        </w:rPr>
        <w:t>Cobertura y limitaciones</w:t>
      </w:r>
      <w:bookmarkEnd w:id="23"/>
      <w:bookmarkEnd w:id="34"/>
    </w:p>
    <w:tbl>
      <w:tblPr>
        <w:tblStyle w:val="TableGrid"/>
        <w:tblW w:type="dxa" w:w="9866"/>
        <w:tblLayout w:type="fixed"/>
        <w:tblLook w:firstColumn="1" w:firstRow="1" w:lastColumn="0" w:lastRow="0" w:noHBand="0" w:noVBand="1" w:val="04A0"/>
      </w:tblPr>
      <w:tblGrid>
        <w:gridCol w:w="2466"/>
        <w:gridCol w:w="2861"/>
        <w:gridCol w:w="1480"/>
        <w:gridCol w:w="3058"/>
      </w:tblGrid>
      <w:tr>
        <w:trPr>
          <w:tblHeader/>
          <w:cantSplit/>
        </w:trPr>
        <w:tc>
          <w:tcPr>
            <w:tcW w:type="dxa" w:w="2466"/>
          </w:tcPr>
          <w:p>
            <w:pPr>
              <w:keepNext/>
              <w:keepLines/>
              <w:spacing w:after="0" w:line="240" w:lineRule="auto"/>
            </w:pPr>
            <w:r>
              <w:rPr>
                <w:b/>
                <w:i w:val="0"/>
              </w:rPr>
              <w:t>Prueba</w:t>
            </w:r>
          </w:p>
        </w:tc>
        <w:tc>
          <w:tcPr>
            <w:tcW w:type="dxa" w:w="2861"/>
          </w:tcPr>
          <w:p>
            <w:pPr>
              <w:keepNext/>
              <w:keepLines/>
              <w:spacing w:after="0" w:line="240" w:lineRule="auto"/>
            </w:pPr>
            <w:r>
              <w:rPr>
                <w:b/>
                <w:i w:val="0"/>
              </w:rPr>
              <w:t>Activo</w:t>
            </w:r>
          </w:p>
        </w:tc>
        <w:tc>
          <w:tcPr>
            <w:tcW w:type="dxa" w:w="1480"/>
          </w:tcPr>
          <w:p>
            <w:pPr>
              <w:keepNext/>
              <w:keepLines/>
              <w:spacing w:after="0" w:line="240" w:lineRule="auto"/>
            </w:pPr>
            <w:r>
              <w:rPr>
                <w:b/>
                <w:i w:val="0"/>
              </w:rPr>
              <w:t>Estado</w:t>
            </w:r>
          </w:p>
        </w:tc>
        <w:tc>
          <w:tcPr>
            <w:tcW w:type="dxa" w:w="3058"/>
          </w:tcPr>
          <w:p>
            <w:pPr>
              <w:keepNext/>
              <w:keepLines/>
              <w:spacing w:after="0" w:line="240" w:lineRule="auto"/>
            </w:pPr>
            <w:r>
              <w:rPr>
                <w:b/>
                <w:i w:val="0"/>
              </w:rPr>
              <w:t>Observaciones</w:t>
            </w:r>
          </w:p>
        </w:tc>
      </w:tr>
      <w:tr>
        <w:trPr>
          <w:cantSplit/>
        </w:trPr>
        <w:tc>
          <w:tcPr>
            <w:tcW w:type="dxa" w:w="2466"/>
          </w:tcPr>
          <w:p>
            <w:pPr>
              <w:keepNext w:val="0"/>
              <w:keepLines/>
              <w:spacing w:after="0" w:line="240" w:lineRule="auto"/>
            </w:pPr>
            <w:r>
              <w:rPr>
                <w:b w:val="0"/>
                <w:i w:val="0"/>
              </w:rPr>
              <w:t>Preparación y aprobación de instrucciones</w:t>
            </w:r>
          </w:p>
        </w:tc>
        <w:tc>
          <w:tcPr>
            <w:tcW w:type="dxa" w:w="2861"/>
          </w:tcPr>
          <w:p>
            <w:pPr>
              <w:keepNext w:val="0"/>
              <w:keepLines/>
              <w:spacing w:after="0" w:line="240" w:lineRule="auto"/>
            </w:pPr>
            <w:r>
              <w:rPr>
                <w:b w:val="0"/>
                <w:i w:val="0"/>
              </w:rPr>
              <w:t>treasury.albor.example</w:t>
            </w:r>
          </w:p>
        </w:tc>
        <w:tc>
          <w:tcPr>
            <w:tcW w:type="dxa" w:w="1480"/>
          </w:tcPr>
          <w:p>
            <w:pPr>
              <w:keepNext w:val="0"/>
              <w:keepLines/>
              <w:spacing w:after="0" w:line="240" w:lineRule="auto"/>
            </w:pPr>
            <w:r>
              <w:rPr>
                <w:b w:val="0"/>
                <w:i w:val="0"/>
              </w:rPr>
              <w:t>Pendiente</w:t>
            </w:r>
          </w:p>
        </w:tc>
        <w:tc>
          <w:tcPr>
            <w:tcW w:type="dxa" w:w="3058"/>
          </w:tcPr>
          <w:p>
            <w:pPr>
              <w:keepNext w:val="0"/>
              <w:keepLines/>
              <w:spacing w:after="0" w:line="240" w:lineRule="auto"/>
            </w:pPr>
            <w:r>
              <w:rPr>
                <w:b w:val="0"/>
                <w:i w:val="0"/>
              </w:rPr>
              <w:t>Revisión documental pendiente, sin ejecución.</w:t>
            </w:r>
          </w:p>
        </w:tc>
      </w:tr>
      <w:tr>
        <w:trPr>
          <w:cantSplit/>
        </w:trPr>
        <w:tc>
          <w:tcPr>
            <w:tcW w:type="dxa" w:w="2466"/>
          </w:tcPr>
          <w:p>
            <w:pPr>
              <w:keepNext w:val="0"/>
              <w:keepLines/>
              <w:spacing w:after="0" w:line="240" w:lineRule="auto"/>
            </w:pPr>
            <w:r>
              <w:rPr>
                <w:b w:val="0"/>
                <w:i w:val="0"/>
              </w:rPr>
              <w:t>Catálogo de beneficiarios y condiciones</w:t>
            </w:r>
          </w:p>
        </w:tc>
        <w:tc>
          <w:tcPr>
            <w:tcW w:type="dxa" w:w="2861"/>
          </w:tcPr>
          <w:p>
            <w:pPr>
              <w:keepNext w:val="0"/>
              <w:keepLines/>
              <w:spacing w:after="0" w:line="240" w:lineRule="auto"/>
            </w:pPr>
            <w:r>
              <w:rPr>
                <w:b w:val="0"/>
                <w:i w:val="0"/>
              </w:rPr>
              <w:t>beneficiaries.albor.example</w:t>
            </w:r>
          </w:p>
        </w:tc>
        <w:tc>
          <w:tcPr>
            <w:tcW w:type="dxa" w:w="1480"/>
          </w:tcPr>
          <w:p>
            <w:pPr>
              <w:keepNext w:val="0"/>
              <w:keepLines/>
              <w:spacing w:after="0" w:line="240" w:lineRule="auto"/>
            </w:pPr>
            <w:r>
              <w:rPr>
                <w:b w:val="0"/>
                <w:i w:val="0"/>
              </w:rPr>
              <w:t>Pendiente</w:t>
            </w:r>
          </w:p>
        </w:tc>
        <w:tc>
          <w:tcPr>
            <w:tcW w:type="dxa" w:w="3058"/>
          </w:tcPr>
          <w:p>
            <w:pPr>
              <w:keepNext w:val="0"/>
              <w:keepLines/>
              <w:spacing w:after="0" w:line="240" w:lineRule="auto"/>
            </w:pPr>
            <w:r>
              <w:rPr>
                <w:b w:val="0"/>
                <w:i w:val="0"/>
              </w:rPr>
              <w:t>Revisión documental pendiente, sin ejecución.</w:t>
            </w:r>
          </w:p>
        </w:tc>
      </w:tr>
      <w:tr>
        <w:trPr>
          <w:cantSplit/>
        </w:trPr>
        <w:tc>
          <w:tcPr>
            <w:tcW w:type="dxa" w:w="2466"/>
          </w:tcPr>
          <w:p>
            <w:pPr>
              <w:keepNext w:val="0"/>
              <w:keepLines/>
              <w:spacing w:after="0" w:line="240" w:lineRule="auto"/>
            </w:pPr>
            <w:r>
              <w:rPr>
                <w:b w:val="0"/>
                <w:i w:val="0"/>
              </w:rPr>
              <w:t>Cola documental de reservas e instrucciones</w:t>
            </w:r>
          </w:p>
        </w:tc>
        <w:tc>
          <w:tcPr>
            <w:tcW w:type="dxa" w:w="2861"/>
          </w:tcPr>
          <w:p>
            <w:pPr>
              <w:keepNext w:val="0"/>
              <w:keepLines/>
              <w:spacing w:after="0" w:line="240" w:lineRule="auto"/>
            </w:pPr>
            <w:r>
              <w:rPr>
                <w:b w:val="0"/>
                <w:i w:val="0"/>
              </w:rPr>
              <w:t>192.0.2.153</w:t>
            </w:r>
          </w:p>
        </w:tc>
        <w:tc>
          <w:tcPr>
            <w:tcW w:type="dxa" w:w="1480"/>
          </w:tcPr>
          <w:p>
            <w:pPr>
              <w:keepNext w:val="0"/>
              <w:keepLines/>
              <w:spacing w:after="0" w:line="240" w:lineRule="auto"/>
            </w:pPr>
            <w:r>
              <w:rPr>
                <w:b w:val="0"/>
                <w:i w:val="0"/>
              </w:rPr>
              <w:t>Pendiente</w:t>
            </w:r>
          </w:p>
        </w:tc>
        <w:tc>
          <w:tcPr>
            <w:tcW w:type="dxa" w:w="3058"/>
          </w:tcPr>
          <w:p>
            <w:pPr>
              <w:keepNext w:val="0"/>
              <w:keepLines/>
              <w:spacing w:after="0" w:line="240" w:lineRule="auto"/>
            </w:pPr>
            <w:r>
              <w:rPr>
                <w:b w:val="0"/>
                <w:i w:val="0"/>
              </w:rPr>
              <w:t>Revisión documental pendiente, sin ejecución.</w:t>
            </w:r>
          </w:p>
        </w:tc>
      </w:tr>
      <w:tr>
        <w:trPr>
          <w:cantSplit/>
        </w:trPr>
        <w:tc>
          <w:tcPr>
            <w:tcW w:type="dxa" w:w="2466"/>
          </w:tcPr>
          <w:p>
            <w:pPr>
              <w:keepNext/>
              <w:keepLines/>
              <w:spacing w:after="0" w:line="240" w:lineRule="auto"/>
            </w:pPr>
            <w:r>
              <w:rPr>
                <w:b w:val="0"/>
                <w:i w:val="0"/>
              </w:rPr>
              <w:t>Conciliación y explicación de ajustes</w:t>
            </w:r>
          </w:p>
        </w:tc>
        <w:tc>
          <w:tcPr>
            <w:tcW w:type="dxa" w:w="2861"/>
          </w:tcPr>
          <w:p>
            <w:pPr>
              <w:keepNext/>
              <w:keepLines/>
              <w:spacing w:after="0" w:line="240" w:lineRule="auto"/>
            </w:pPr>
            <w:r>
              <w:rPr>
                <w:b w:val="0"/>
                <w:i w:val="0"/>
              </w:rPr>
              <w:t>reconcile.albor.example</w:t>
            </w:r>
          </w:p>
        </w:tc>
        <w:tc>
          <w:tcPr>
            <w:tcW w:type="dxa" w:w="1480"/>
          </w:tcPr>
          <w:p>
            <w:pPr>
              <w:keepNext/>
              <w:keepLines/>
              <w:spacing w:after="0" w:line="240" w:lineRule="auto"/>
            </w:pPr>
            <w:r>
              <w:rPr>
                <w:b w:val="0"/>
                <w:i w:val="0"/>
              </w:rPr>
              <w:t>Pendiente</w:t>
            </w:r>
          </w:p>
        </w:tc>
        <w:tc>
          <w:tcPr>
            <w:tcW w:type="dxa" w:w="3058"/>
          </w:tcPr>
          <w:p>
            <w:pPr>
              <w:keepNext/>
              <w:keepLines/>
              <w:spacing w:after="0" w:line="240" w:lineRule="auto"/>
            </w:pPr>
            <w:r>
              <w:rPr>
                <w:b w:val="0"/>
                <w:i w:val="0"/>
              </w:rPr>
              <w:t>Revisión documental pendiente, sin ejecución.</w:t>
            </w:r>
          </w:p>
        </w:tc>
      </w:tr>
      <w:tr>
        <w:trPr>
          <w:cantSplit/>
        </w:trPr>
        <w:tc>
          <w:tcPr>
            <w:tcW w:type="dxa" w:w="2466"/>
          </w:tcPr>
          <w:p>
            <w:pPr>
              <w:keepNext/>
              <w:keepLines/>
              <w:spacing w:after="0" w:line="240" w:lineRule="auto"/>
            </w:pPr>
            <w:r>
              <w:rPr>
                <w:b w:val="0"/>
                <w:i w:val="0"/>
              </w:rPr>
              <w:t>Consola de turnos y exportación</w:t>
            </w:r>
          </w:p>
        </w:tc>
        <w:tc>
          <w:tcPr>
            <w:tcW w:type="dxa" w:w="2861"/>
          </w:tcPr>
          <w:p>
            <w:pPr>
              <w:keepNext/>
              <w:keepLines/>
              <w:spacing w:after="0" w:line="240" w:lineRule="auto"/>
            </w:pPr>
            <w:r>
              <w:rPr>
                <w:b w:val="0"/>
                <w:i w:val="0"/>
              </w:rPr>
              <w:t>operations.albor.example</w:t>
            </w:r>
          </w:p>
        </w:tc>
        <w:tc>
          <w:tcPr>
            <w:tcW w:type="dxa" w:w="1480"/>
          </w:tcPr>
          <w:p>
            <w:pPr>
              <w:keepNext/>
              <w:keepLines/>
              <w:spacing w:after="0" w:line="240" w:lineRule="auto"/>
            </w:pPr>
            <w:r>
              <w:rPr>
                <w:b w:val="0"/>
                <w:i w:val="0"/>
              </w:rPr>
              <w:t>Pendiente</w:t>
            </w:r>
          </w:p>
        </w:tc>
        <w:tc>
          <w:tcPr>
            <w:tcW w:type="dxa" w:w="3058"/>
          </w:tcPr>
          <w:p>
            <w:pPr>
              <w:keepNext/>
              <w:keepLines/>
              <w:spacing w:after="0" w:line="240" w:lineRule="auto"/>
            </w:pPr>
            <w:r>
              <w:rPr>
                <w:b w:val="0"/>
                <w:i w:val="0"/>
              </w:rPr>
              <w:t>Revisión documental pendiente, sin ejecución.</w:t>
            </w:r>
          </w:p>
        </w:tc>
      </w:tr>
      <w:tr>
        <w:trPr>
          <w:cantSplit/>
        </w:trPr>
        <w:tc>
          <w:tcPr>
            <w:tcW w:type="dxa" w:w="2466"/>
          </w:tcPr>
          <w:p>
            <w:pPr>
              <w:keepNext w:val="0"/>
              <w:keepLines/>
              <w:spacing w:after="0" w:line="240" w:lineRule="auto"/>
            </w:pPr>
            <w:r>
              <w:rPr>
                <w:b w:val="0"/>
                <w:i w:val="0"/>
              </w:rPr>
              <w:t>Archivo y retención documental</w:t>
            </w:r>
          </w:p>
        </w:tc>
        <w:tc>
          <w:tcPr>
            <w:tcW w:type="dxa" w:w="2861"/>
          </w:tcPr>
          <w:p>
            <w:pPr>
              <w:keepNext w:val="0"/>
              <w:keepLines/>
              <w:spacing w:after="0" w:line="240" w:lineRule="auto"/>
            </w:pPr>
            <w:r>
              <w:rPr>
                <w:b w:val="0"/>
                <w:i w:val="0"/>
              </w:rPr>
              <w:t>archive.albor.example</w:t>
            </w:r>
          </w:p>
        </w:tc>
        <w:tc>
          <w:tcPr>
            <w:tcW w:type="dxa" w:w="1480"/>
          </w:tcPr>
          <w:p>
            <w:pPr>
              <w:keepNext w:val="0"/>
              <w:keepLines/>
              <w:spacing w:after="0" w:line="240" w:lineRule="auto"/>
            </w:pPr>
            <w:r>
              <w:rPr>
                <w:b w:val="0"/>
                <w:i w:val="0"/>
              </w:rPr>
              <w:t>Pendiente</w:t>
            </w:r>
          </w:p>
        </w:tc>
        <w:tc>
          <w:tcPr>
            <w:tcW w:type="dxa" w:w="3058"/>
          </w:tcPr>
          <w:p>
            <w:pPr>
              <w:keepNext w:val="0"/>
              <w:keepLines/>
              <w:spacing w:after="0" w:line="240" w:lineRule="auto"/>
            </w:pPr>
            <w:r>
              <w:rPr>
                <w:b w:val="0"/>
                <w:i w:val="0"/>
              </w:rPr>
              <w:t>Revisión documental pendiente, sin ejecución.</w:t>
            </w:r>
          </w:p>
        </w:tc>
      </w:tr>
    </w:tbl>
    <w:p/>
    <w:p>
      <w:pPr>
        <w:pStyle w:val="Heading3"/>
      </w:pPr>
      <w:r>
        <w:rPr>
          <w:b w:val="0"/>
          <w:i w:val="0"/>
        </w:rPr>
        <w:t>Limitaciones</w:t>
      </w:r>
    </w:p>
    <w:p>
      <w:r>
        <w:rPr>
          <w:b w:val="0"/>
          <w:i w:val="0"/>
        </w:rPr>
        <w:t>Caso sintético. Doce hipótesis abiertas y sin verificar; veinticuatro criterios pendientes. Sin acceso a infraestructura, explotación, transferencias ni observaciones bancarias. Tres diagramas creados por código. No CVSS, pérdidas estimadas ni afirmaciones de cumplimiento. Los registros de seguimiento son planes documentales sin ejecución; los límites del exportador se evalúan aparte.</w:t>
      </w:r>
    </w:p>
    <w:p>
      <w:pPr>
        <w:pStyle w:val="Heading1"/>
        <w:keepNext/>
        <w:keepLines/>
        <w:pageBreakBefore w:val="0"/>
        <w:spacing w:before="280"/>
      </w:pPr>
      <w:bookmarkStart w:id="35" w:name="rg_toc_35"/>
      <w:bookmarkStart w:id="24" w:name="rg_ref_5e039d6a3f6252440b347d97"/>
      <w:r>
        <w:rPr>
          <w:b/>
          <w:color w:val="4B5E72"/>
        </w:rPr>
        <w:t xml:space="preserve">11  </w:t>
      </w:r>
      <w:r>
        <w:rPr>
          <w:b/>
          <w:color w:val="182B3B"/>
          <w:sz w:val="34"/>
        </w:rPr>
        <w:t>Seguimiento de correcciones y retest</w:t>
      </w:r>
      <w:bookmarkEnd w:id="24"/>
      <w:bookmarkEnd w:id="35"/>
    </w:p>
    <w:p>
      <w:pPr>
        <w:keepNext/>
      </w:pPr>
      <w:r>
        <w:rPr>
          <w:b w:val="0"/>
          <w:i w:val="0"/>
        </w:rPr>
        <w:t>Abierto: 12</w:t>
      </w:r>
    </w:p>
    <w:tbl>
      <w:tblPr>
        <w:tblStyle w:val="TableGrid"/>
        <w:tblW w:type="dxa" w:w="9866"/>
        <w:tblLayout w:type="fixed"/>
        <w:tblLook w:firstColumn="1" w:firstRow="1" w:lastColumn="0" w:lastRow="0" w:noHBand="0" w:noVBand="1" w:val="04A0"/>
      </w:tblPr>
      <w:tblGrid>
        <w:gridCol w:w="3354"/>
        <w:gridCol w:w="1579"/>
        <w:gridCol w:w="1973"/>
        <w:gridCol w:w="1480"/>
        <w:gridCol w:w="1480"/>
      </w:tblGrid>
      <w:tr>
        <w:trPr>
          <w:tblHeader/>
          <w:cantSplit/>
        </w:trPr>
        <w:tc>
          <w:tcPr>
            <w:tcW w:type="dxa" w:w="3354"/>
          </w:tcPr>
          <w:p>
            <w:pPr>
              <w:keepNext/>
              <w:keepLines/>
              <w:spacing w:after="0" w:line="240" w:lineRule="auto"/>
            </w:pPr>
            <w:r>
              <w:rPr>
                <w:b/>
                <w:i w:val="0"/>
              </w:rPr>
              <w:t>Hallazgo</w:t>
            </w:r>
          </w:p>
        </w:tc>
        <w:tc>
          <w:tcPr>
            <w:tcW w:type="dxa" w:w="1579"/>
          </w:tcPr>
          <w:p>
            <w:pPr>
              <w:keepNext/>
              <w:keepLines/>
              <w:spacing w:after="0" w:line="240" w:lineRule="auto"/>
            </w:pPr>
            <w:r>
              <w:rPr>
                <w:b/>
                <w:i w:val="0"/>
              </w:rPr>
              <w:t>Estado</w:t>
            </w:r>
          </w:p>
        </w:tc>
        <w:tc>
          <w:tcPr>
            <w:tcW w:type="dxa" w:w="1973"/>
          </w:tcPr>
          <w:p>
            <w:pPr>
              <w:keepNext/>
              <w:keepLines/>
              <w:spacing w:after="0" w:line="240" w:lineRule="auto"/>
            </w:pPr>
            <w:r>
              <w:rPr>
                <w:b/>
                <w:i w:val="0"/>
              </w:rPr>
              <w:t>Responsable</w:t>
            </w:r>
          </w:p>
        </w:tc>
        <w:tc>
          <w:tcPr>
            <w:tcW w:type="dxa" w:w="1480"/>
          </w:tcPr>
          <w:p>
            <w:pPr>
              <w:keepNext/>
              <w:keepLines/>
              <w:spacing w:after="0" w:line="240" w:lineRule="auto"/>
            </w:pPr>
            <w:r>
              <w:rPr>
                <w:b/>
                <w:i w:val="0"/>
              </w:rPr>
              <w:t>Fecha objetivo</w:t>
            </w:r>
          </w:p>
        </w:tc>
        <w:tc>
          <w:tcPr>
            <w:tcW w:type="dxa" w:w="1480"/>
          </w:tcPr>
          <w:p>
            <w:pPr>
              <w:keepNext/>
              <w:keepLines/>
              <w:spacing w:after="0" w:line="240" w:lineRule="auto"/>
            </w:pPr>
            <w:r>
              <w:rPr>
                <w:b/>
                <w:i w:val="0"/>
              </w:rPr>
              <w:t>Último retest</w:t>
            </w:r>
          </w:p>
        </w:tc>
      </w:tr>
      <w:tr>
        <w:trPr>
          <w:cantSplit/>
        </w:trPr>
        <w:tc>
          <w:tcPr>
            <w:tcW w:type="dxa" w:w="3354"/>
          </w:tcPr>
          <w:p>
            <w:pPr>
              <w:keepNext w:val="0"/>
              <w:keepLines/>
              <w:spacing w:after="0" w:line="240" w:lineRule="auto"/>
            </w:pPr>
            <w:r>
              <w:rPr>
                <w:b w:val="0"/>
                <w:i w:val="0"/>
              </w:rPr>
              <w:t>ALB-01 · La aprobación del lote podría no vincular la versión exacta de sus instrucciones</w:t>
            </w:r>
          </w:p>
        </w:tc>
        <w:tc>
          <w:tcPr>
            <w:tcW w:type="dxa" w:w="1579"/>
          </w:tcPr>
          <w:p>
            <w:pPr>
              <w:keepNext w:val="0"/>
              <w:keepLines/>
              <w:spacing w:after="0" w:line="240" w:lineRule="auto"/>
            </w:pPr>
            <w:r>
              <w:rPr>
                <w:b w:val="0"/>
                <w:i w:val="0"/>
              </w:rPr>
              <w:t>Abierto</w:t>
            </w:r>
          </w:p>
        </w:tc>
        <w:tc>
          <w:tcPr>
            <w:tcW w:type="dxa" w:w="1973"/>
          </w:tcPr>
          <w:p>
            <w:pPr>
              <w:keepNext w:val="0"/>
              <w:keepLines/>
              <w:spacing w:after="0" w:line="240" w:lineRule="auto"/>
            </w:pPr>
            <w:r>
              <w:rPr>
                <w:b w:val="0"/>
                <w:i w:val="0"/>
              </w:rPr>
              <w:t>Equipo documental Albor</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ALB-02 · Una previsión de liquidez podría mezclar una población reciente con un saldo antiguo</w:t>
            </w:r>
          </w:p>
        </w:tc>
        <w:tc>
          <w:tcPr>
            <w:tcW w:type="dxa" w:w="1579"/>
          </w:tcPr>
          <w:p>
            <w:pPr>
              <w:keepNext w:val="0"/>
              <w:keepLines/>
              <w:spacing w:after="0" w:line="240" w:lineRule="auto"/>
            </w:pPr>
            <w:r>
              <w:rPr>
                <w:b w:val="0"/>
                <w:i w:val="0"/>
              </w:rPr>
              <w:t>Abierto</w:t>
            </w:r>
          </w:p>
        </w:tc>
        <w:tc>
          <w:tcPr>
            <w:tcW w:type="dxa" w:w="1973"/>
          </w:tcPr>
          <w:p>
            <w:pPr>
              <w:keepNext w:val="0"/>
              <w:keepLines/>
              <w:spacing w:after="0" w:line="240" w:lineRule="auto"/>
            </w:pPr>
            <w:r>
              <w:rPr>
                <w:b w:val="0"/>
                <w:i w:val="0"/>
              </w:rPr>
              <w:t>Equipo documental Albor</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ALB-03 · Una plantilla de beneficiario podría cambiar después de ser seleccionada</w:t>
            </w:r>
          </w:p>
        </w:tc>
        <w:tc>
          <w:tcPr>
            <w:tcW w:type="dxa" w:w="1579"/>
          </w:tcPr>
          <w:p>
            <w:pPr>
              <w:keepNext w:val="0"/>
              <w:keepLines/>
              <w:spacing w:after="0" w:line="240" w:lineRule="auto"/>
            </w:pPr>
            <w:r>
              <w:rPr>
                <w:b w:val="0"/>
                <w:i w:val="0"/>
              </w:rPr>
              <w:t>Abierto</w:t>
            </w:r>
          </w:p>
        </w:tc>
        <w:tc>
          <w:tcPr>
            <w:tcW w:type="dxa" w:w="1973"/>
          </w:tcPr>
          <w:p>
            <w:pPr>
              <w:keepNext w:val="0"/>
              <w:keepLines/>
              <w:spacing w:after="0" w:line="240" w:lineRule="auto"/>
            </w:pPr>
            <w:r>
              <w:rPr>
                <w:b w:val="0"/>
                <w:i w:val="0"/>
              </w:rPr>
              <w:t>Equipo documental Albor</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ALB-04 · La vigencia de una cotización podría evaluarse sólo al abrir el formulario</w:t>
            </w:r>
          </w:p>
        </w:tc>
        <w:tc>
          <w:tcPr>
            <w:tcW w:type="dxa" w:w="1579"/>
          </w:tcPr>
          <w:p>
            <w:pPr>
              <w:keepNext w:val="0"/>
              <w:keepLines/>
              <w:spacing w:after="0" w:line="240" w:lineRule="auto"/>
            </w:pPr>
            <w:r>
              <w:rPr>
                <w:b w:val="0"/>
                <w:i w:val="0"/>
              </w:rPr>
              <w:t>Abierto</w:t>
            </w:r>
          </w:p>
        </w:tc>
        <w:tc>
          <w:tcPr>
            <w:tcW w:type="dxa" w:w="1973"/>
          </w:tcPr>
          <w:p>
            <w:pPr>
              <w:keepNext w:val="0"/>
              <w:keepLines/>
              <w:spacing w:after="0" w:line="240" w:lineRule="auto"/>
            </w:pPr>
            <w:r>
              <w:rPr>
                <w:b w:val="0"/>
                <w:i w:val="0"/>
              </w:rPr>
              <w:t>Equipo documental Albor</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ALB-05 · El rechazo de una instrucción podría ocultar un efecto contable parcial</w:t>
            </w:r>
          </w:p>
        </w:tc>
        <w:tc>
          <w:tcPr>
            <w:tcW w:type="dxa" w:w="1579"/>
          </w:tcPr>
          <w:p>
            <w:pPr>
              <w:keepNext w:val="0"/>
              <w:keepLines/>
              <w:spacing w:after="0" w:line="240" w:lineRule="auto"/>
            </w:pPr>
            <w:r>
              <w:rPr>
                <w:b w:val="0"/>
                <w:i w:val="0"/>
              </w:rPr>
              <w:t>Abierto</w:t>
            </w:r>
          </w:p>
        </w:tc>
        <w:tc>
          <w:tcPr>
            <w:tcW w:type="dxa" w:w="1973"/>
          </w:tcPr>
          <w:p>
            <w:pPr>
              <w:keepNext w:val="0"/>
              <w:keepLines/>
              <w:spacing w:after="0" w:line="240" w:lineRule="auto"/>
            </w:pPr>
            <w:r>
              <w:rPr>
                <w:b w:val="0"/>
                <w:i w:val="0"/>
              </w:rPr>
              <w:t>Equipo documental Albor</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ALB-06 · Una instrucción retrasada podría cruzar el cierre de una ventana operativa</w:t>
            </w:r>
          </w:p>
        </w:tc>
        <w:tc>
          <w:tcPr>
            <w:tcW w:type="dxa" w:w="1579"/>
          </w:tcPr>
          <w:p>
            <w:pPr>
              <w:keepNext w:val="0"/>
              <w:keepLines/>
              <w:spacing w:after="0" w:line="240" w:lineRule="auto"/>
            </w:pPr>
            <w:r>
              <w:rPr>
                <w:b w:val="0"/>
                <w:i w:val="0"/>
              </w:rPr>
              <w:t>Abierto</w:t>
            </w:r>
          </w:p>
        </w:tc>
        <w:tc>
          <w:tcPr>
            <w:tcW w:type="dxa" w:w="1973"/>
          </w:tcPr>
          <w:p>
            <w:pPr>
              <w:keepNext w:val="0"/>
              <w:keepLines/>
              <w:spacing w:after="0" w:line="240" w:lineRule="auto"/>
            </w:pPr>
            <w:r>
              <w:rPr>
                <w:b w:val="0"/>
                <w:i w:val="0"/>
              </w:rPr>
              <w:t>Equipo documental Albor</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ALB-07 · Las consultas de conciliación podrían cruzar ámbitos autorizados</w:t>
            </w:r>
          </w:p>
        </w:tc>
        <w:tc>
          <w:tcPr>
            <w:tcW w:type="dxa" w:w="1579"/>
          </w:tcPr>
          <w:p>
            <w:pPr>
              <w:keepNext w:val="0"/>
              <w:keepLines/>
              <w:spacing w:after="0" w:line="240" w:lineRule="auto"/>
            </w:pPr>
            <w:r>
              <w:rPr>
                <w:b w:val="0"/>
                <w:i w:val="0"/>
              </w:rPr>
              <w:t>Abierto</w:t>
            </w:r>
          </w:p>
        </w:tc>
        <w:tc>
          <w:tcPr>
            <w:tcW w:type="dxa" w:w="1973"/>
          </w:tcPr>
          <w:p>
            <w:pPr>
              <w:keepNext w:val="0"/>
              <w:keepLines/>
              <w:spacing w:after="0" w:line="240" w:lineRule="auto"/>
            </w:pPr>
            <w:r>
              <w:rPr>
                <w:b w:val="0"/>
                <w:i w:val="0"/>
              </w:rPr>
              <w:t>Equipo documental Albor</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ALB-08 · Un ajuste manual podría perder su vínculo con la obligación económica</w:t>
            </w:r>
          </w:p>
        </w:tc>
        <w:tc>
          <w:tcPr>
            <w:tcW w:type="dxa" w:w="1579"/>
          </w:tcPr>
          <w:p>
            <w:pPr>
              <w:keepNext w:val="0"/>
              <w:keepLines/>
              <w:spacing w:after="0" w:line="240" w:lineRule="auto"/>
            </w:pPr>
            <w:r>
              <w:rPr>
                <w:b w:val="0"/>
                <w:i w:val="0"/>
              </w:rPr>
              <w:t>Abierto</w:t>
            </w:r>
          </w:p>
        </w:tc>
        <w:tc>
          <w:tcPr>
            <w:tcW w:type="dxa" w:w="1973"/>
          </w:tcPr>
          <w:p>
            <w:pPr>
              <w:keepNext w:val="0"/>
              <w:keepLines/>
              <w:spacing w:after="0" w:line="240" w:lineRule="auto"/>
            </w:pPr>
            <w:r>
              <w:rPr>
                <w:b w:val="0"/>
                <w:i w:val="0"/>
              </w:rPr>
              <w:t>Equipo documental Albor</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ALB-09 · La revocación de permisos podría no alcanzar sesiones activas</w:t>
            </w:r>
          </w:p>
        </w:tc>
        <w:tc>
          <w:tcPr>
            <w:tcW w:type="dxa" w:w="1579"/>
          </w:tcPr>
          <w:p>
            <w:pPr>
              <w:keepNext w:val="0"/>
              <w:keepLines/>
              <w:spacing w:after="0" w:line="240" w:lineRule="auto"/>
            </w:pPr>
            <w:r>
              <w:rPr>
                <w:b w:val="0"/>
                <w:i w:val="0"/>
              </w:rPr>
              <w:t>Abierto</w:t>
            </w:r>
          </w:p>
        </w:tc>
        <w:tc>
          <w:tcPr>
            <w:tcW w:type="dxa" w:w="1973"/>
          </w:tcPr>
          <w:p>
            <w:pPr>
              <w:keepNext w:val="0"/>
              <w:keepLines/>
              <w:spacing w:after="0" w:line="240" w:lineRule="auto"/>
            </w:pPr>
            <w:r>
              <w:rPr>
                <w:b w:val="0"/>
                <w:i w:val="0"/>
              </w:rPr>
              <w:t>Equipo documental Albor</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keepLines/>
              <w:spacing w:after="0" w:line="240" w:lineRule="auto"/>
            </w:pPr>
            <w:r>
              <w:rPr>
                <w:b w:val="0"/>
                <w:i w:val="0"/>
              </w:rPr>
              <w:t>ALB-10 · Una exportación de evidencia podría perder controles de autorización</w:t>
            </w:r>
          </w:p>
        </w:tc>
        <w:tc>
          <w:tcPr>
            <w:tcW w:type="dxa" w:w="1579"/>
          </w:tcPr>
          <w:p>
            <w:pPr>
              <w:keepNext/>
              <w:keepLines/>
              <w:spacing w:after="0" w:line="240" w:lineRule="auto"/>
            </w:pPr>
            <w:r>
              <w:rPr>
                <w:b w:val="0"/>
                <w:i w:val="0"/>
              </w:rPr>
              <w:t>Abierto</w:t>
            </w:r>
          </w:p>
        </w:tc>
        <w:tc>
          <w:tcPr>
            <w:tcW w:type="dxa" w:w="1973"/>
          </w:tcPr>
          <w:p>
            <w:pPr>
              <w:keepNext/>
              <w:keepLines/>
              <w:spacing w:after="0" w:line="240" w:lineRule="auto"/>
            </w:pPr>
            <w:r>
              <w:rPr>
                <w:b w:val="0"/>
                <w:i w:val="0"/>
              </w:rPr>
              <w:t>Equipo documental Albor</w:t>
            </w:r>
          </w:p>
        </w:tc>
        <w:tc>
          <w:tcPr>
            <w:tcW w:type="dxa" w:w="1480"/>
          </w:tcPr>
          <w:p>
            <w:pPr>
              <w:keepNext/>
              <w:keepLines/>
              <w:spacing w:after="0" w:line="240" w:lineRule="auto"/>
            </w:pPr>
          </w:p>
        </w:tc>
        <w:tc>
          <w:tcPr>
            <w:tcW w:type="dxa" w:w="1480"/>
          </w:tcPr>
          <w:p>
            <w:pPr>
              <w:keepNext/>
              <w:keepLines/>
              <w:spacing w:after="0" w:line="240" w:lineRule="auto"/>
            </w:pPr>
          </w:p>
        </w:tc>
      </w:tr>
      <w:tr>
        <w:trPr>
          <w:cantSplit/>
        </w:trPr>
        <w:tc>
          <w:tcPr>
            <w:tcW w:type="dxa" w:w="3354"/>
          </w:tcPr>
          <w:p>
            <w:pPr>
              <w:keepNext/>
              <w:keepLines/>
              <w:spacing w:after="0" w:line="240" w:lineRule="auto"/>
            </w:pPr>
            <w:r>
              <w:rPr>
                <w:b w:val="0"/>
                <w:i w:val="0"/>
              </w:rPr>
              <w:t>ALB-11 · La restauración podría alterar la retención de eventos antifraude</w:t>
            </w:r>
          </w:p>
        </w:tc>
        <w:tc>
          <w:tcPr>
            <w:tcW w:type="dxa" w:w="1579"/>
          </w:tcPr>
          <w:p>
            <w:pPr>
              <w:keepNext/>
              <w:keepLines/>
              <w:spacing w:after="0" w:line="240" w:lineRule="auto"/>
            </w:pPr>
            <w:r>
              <w:rPr>
                <w:b w:val="0"/>
                <w:i w:val="0"/>
              </w:rPr>
              <w:t>Abierto</w:t>
            </w:r>
          </w:p>
        </w:tc>
        <w:tc>
          <w:tcPr>
            <w:tcW w:type="dxa" w:w="1973"/>
          </w:tcPr>
          <w:p>
            <w:pPr>
              <w:keepNext/>
              <w:keepLines/>
              <w:spacing w:after="0" w:line="240" w:lineRule="auto"/>
            </w:pPr>
            <w:r>
              <w:rPr>
                <w:b w:val="0"/>
                <w:i w:val="0"/>
              </w:rPr>
              <w:t>Equipo documental Albor</w:t>
            </w:r>
          </w:p>
        </w:tc>
        <w:tc>
          <w:tcPr>
            <w:tcW w:type="dxa" w:w="1480"/>
          </w:tcPr>
          <w:p>
            <w:pPr>
              <w:keepNext/>
              <w:keepLines/>
              <w:spacing w:after="0" w:line="240" w:lineRule="auto"/>
            </w:pPr>
          </w:p>
        </w:tc>
        <w:tc>
          <w:tcPr>
            <w:tcW w:type="dxa" w:w="1480"/>
          </w:tcPr>
          <w:p>
            <w:pPr>
              <w:keepNext/>
              <w:keepLines/>
              <w:spacing w:after="0" w:line="240" w:lineRule="auto"/>
            </w:pPr>
          </w:p>
        </w:tc>
      </w:tr>
      <w:tr>
        <w:trPr>
          <w:cantSplit/>
        </w:trPr>
        <w:tc>
          <w:tcPr>
            <w:tcW w:type="dxa" w:w="3354"/>
          </w:tcPr>
          <w:p>
            <w:pPr>
              <w:keepNext w:val="0"/>
              <w:keepLines/>
              <w:spacing w:after="0" w:line="240" w:lineRule="auto"/>
            </w:pPr>
            <w:r>
              <w:rPr>
                <w:b w:val="0"/>
                <w:i w:val="0"/>
              </w:rPr>
              <w:t>ALB-12 · Una excepción podría cerrarse con evidencia documental insuficiente</w:t>
            </w:r>
          </w:p>
        </w:tc>
        <w:tc>
          <w:tcPr>
            <w:tcW w:type="dxa" w:w="1579"/>
          </w:tcPr>
          <w:p>
            <w:pPr>
              <w:keepNext w:val="0"/>
              <w:keepLines/>
              <w:spacing w:after="0" w:line="240" w:lineRule="auto"/>
            </w:pPr>
            <w:r>
              <w:rPr>
                <w:b w:val="0"/>
                <w:i w:val="0"/>
              </w:rPr>
              <w:t>Abierto</w:t>
            </w:r>
          </w:p>
        </w:tc>
        <w:tc>
          <w:tcPr>
            <w:tcW w:type="dxa" w:w="1973"/>
          </w:tcPr>
          <w:p>
            <w:pPr>
              <w:keepNext w:val="0"/>
              <w:keepLines/>
              <w:spacing w:after="0" w:line="240" w:lineRule="auto"/>
            </w:pPr>
            <w:r>
              <w:rPr>
                <w:b w:val="0"/>
                <w:i w:val="0"/>
              </w:rPr>
              <w:t>Equipo documental Albor</w:t>
            </w:r>
          </w:p>
        </w:tc>
        <w:tc>
          <w:tcPr>
            <w:tcW w:type="dxa" w:w="1480"/>
          </w:tcPr>
          <w:p>
            <w:pPr>
              <w:keepNext w:val="0"/>
              <w:keepLines/>
              <w:spacing w:after="0" w:line="240" w:lineRule="auto"/>
            </w:pPr>
          </w:p>
        </w:tc>
        <w:tc>
          <w:tcPr>
            <w:tcW w:type="dxa" w:w="1480"/>
          </w:tcPr>
          <w:p>
            <w:pPr>
              <w:keepNext w:val="0"/>
              <w:keepLines/>
              <w:spacing w:after="0" w:line="240" w:lineRule="auto"/>
            </w:pPr>
          </w:p>
        </w:tc>
      </w:tr>
    </w:tbl>
    <w:p/>
    <w:p>
      <w:pPr>
        <w:pStyle w:val="Heading3"/>
      </w:pPr>
      <w:r>
        <w:rPr>
          <w:b w:val="0"/>
          <w:i w:val="0"/>
        </w:rPr>
        <w:t>Verificación técnica</w:t>
      </w:r>
    </w:p>
    <w:tbl>
      <w:tblPr>
        <w:tblStyle w:val="TableGrid"/>
        <w:tblW w:type="dxa" w:w="9866"/>
        <w:tblLayout w:type="fixed"/>
        <w:tblLook w:firstColumn="1" w:firstRow="1" w:lastColumn="0" w:lastRow="0" w:noHBand="0" w:noVBand="1" w:val="04A0"/>
      </w:tblPr>
      <w:tblGrid>
        <w:gridCol w:w="4337"/>
        <w:gridCol w:w="5529"/>
      </w:tblGrid>
      <w:tr>
        <w:trPr>
          <w:tblHeader/>
          <w:cantSplit/>
        </w:trPr>
        <w:tc>
          <w:tcPr>
            <w:tcW w:type="dxa" w:w="4337"/>
          </w:tcPr>
          <w:p>
            <w:pPr>
              <w:keepNext/>
              <w:keepLines/>
              <w:spacing w:after="0" w:line="240" w:lineRule="auto"/>
            </w:pPr>
            <w:r>
              <w:rPr>
                <w:b/>
                <w:i w:val="0"/>
              </w:rPr>
              <w:t>Hallazgo</w:t>
            </w:r>
          </w:p>
        </w:tc>
        <w:tc>
          <w:tcPr>
            <w:tcW w:type="dxa" w:w="5529"/>
          </w:tcPr>
          <w:p>
            <w:pPr>
              <w:keepNext/>
              <w:keepLines/>
              <w:spacing w:after="0" w:line="240" w:lineRule="auto"/>
            </w:pPr>
            <w:r>
              <w:rPr>
                <w:b/>
                <w:i w:val="0"/>
              </w:rPr>
              <w:t>Verificación</w:t>
            </w:r>
          </w:p>
        </w:tc>
      </w:tr>
      <w:tr>
        <w:trPr>
          <w:cantSplit/>
        </w:trPr>
        <w:tc>
          <w:tcPr>
            <w:tcW w:type="dxa" w:w="4337"/>
          </w:tcPr>
          <w:p>
            <w:pPr>
              <w:keepNext w:val="0"/>
              <w:keepLines/>
              <w:spacing w:after="0" w:line="240" w:lineRule="auto"/>
            </w:pPr>
            <w:r>
              <w:rPr>
                <w:b w:val="0"/>
                <w:i w:val="0"/>
              </w:rPr>
              <w:t>ALB-01</w:t>
            </w:r>
          </w:p>
        </w:tc>
        <w:tc>
          <w:tcPr>
            <w:tcW w:type="dxa" w:w="5529"/>
          </w:tcPr>
          <w:p>
            <w:pPr>
              <w:keepNext w:val="0"/>
              <w:keepLines/>
              <w:spacing w:after="0" w:line="240" w:lineRule="auto"/>
            </w:pPr>
            <w:r>
              <w:rPr>
                <w:b w:val="0"/>
                <w:i w:val="0"/>
              </w:rPr>
              <w:t>Sin verificar</w:t>
            </w:r>
          </w:p>
        </w:tc>
      </w:tr>
      <w:tr>
        <w:trPr>
          <w:cantSplit/>
        </w:trPr>
        <w:tc>
          <w:tcPr>
            <w:tcW w:type="dxa" w:w="4337"/>
          </w:tcPr>
          <w:p>
            <w:pPr>
              <w:keepNext w:val="0"/>
              <w:keepLines/>
              <w:spacing w:after="0" w:line="240" w:lineRule="auto"/>
            </w:pPr>
            <w:r>
              <w:rPr>
                <w:b w:val="0"/>
                <w:i w:val="0"/>
              </w:rPr>
              <w:t>ALB-02</w:t>
            </w:r>
          </w:p>
        </w:tc>
        <w:tc>
          <w:tcPr>
            <w:tcW w:type="dxa" w:w="5529"/>
          </w:tcPr>
          <w:p>
            <w:pPr>
              <w:keepNext w:val="0"/>
              <w:keepLines/>
              <w:spacing w:after="0" w:line="240" w:lineRule="auto"/>
            </w:pPr>
            <w:r>
              <w:rPr>
                <w:b w:val="0"/>
                <w:i w:val="0"/>
              </w:rPr>
              <w:t>Sin verificar</w:t>
            </w:r>
          </w:p>
        </w:tc>
      </w:tr>
      <w:tr>
        <w:trPr>
          <w:cantSplit/>
        </w:trPr>
        <w:tc>
          <w:tcPr>
            <w:tcW w:type="dxa" w:w="4337"/>
          </w:tcPr>
          <w:p>
            <w:pPr>
              <w:keepNext w:val="0"/>
              <w:keepLines/>
              <w:spacing w:after="0" w:line="240" w:lineRule="auto"/>
            </w:pPr>
            <w:r>
              <w:rPr>
                <w:b w:val="0"/>
                <w:i w:val="0"/>
              </w:rPr>
              <w:t>ALB-03</w:t>
            </w:r>
          </w:p>
        </w:tc>
        <w:tc>
          <w:tcPr>
            <w:tcW w:type="dxa" w:w="5529"/>
          </w:tcPr>
          <w:p>
            <w:pPr>
              <w:keepNext w:val="0"/>
              <w:keepLines/>
              <w:spacing w:after="0" w:line="240" w:lineRule="auto"/>
            </w:pPr>
            <w:r>
              <w:rPr>
                <w:b w:val="0"/>
                <w:i w:val="0"/>
              </w:rPr>
              <w:t>Sin verificar</w:t>
            </w:r>
          </w:p>
        </w:tc>
      </w:tr>
      <w:tr>
        <w:trPr>
          <w:cantSplit/>
        </w:trPr>
        <w:tc>
          <w:tcPr>
            <w:tcW w:type="dxa" w:w="4337"/>
          </w:tcPr>
          <w:p>
            <w:pPr>
              <w:keepNext w:val="0"/>
              <w:keepLines/>
              <w:spacing w:after="0" w:line="240" w:lineRule="auto"/>
            </w:pPr>
            <w:r>
              <w:rPr>
                <w:b w:val="0"/>
                <w:i w:val="0"/>
              </w:rPr>
              <w:t>ALB-04</w:t>
            </w:r>
          </w:p>
        </w:tc>
        <w:tc>
          <w:tcPr>
            <w:tcW w:type="dxa" w:w="5529"/>
          </w:tcPr>
          <w:p>
            <w:pPr>
              <w:keepNext w:val="0"/>
              <w:keepLines/>
              <w:spacing w:after="0" w:line="240" w:lineRule="auto"/>
            </w:pPr>
            <w:r>
              <w:rPr>
                <w:b w:val="0"/>
                <w:i w:val="0"/>
              </w:rPr>
              <w:t>Sin verificar</w:t>
            </w:r>
          </w:p>
        </w:tc>
      </w:tr>
      <w:tr>
        <w:trPr>
          <w:cantSplit/>
        </w:trPr>
        <w:tc>
          <w:tcPr>
            <w:tcW w:type="dxa" w:w="4337"/>
          </w:tcPr>
          <w:p>
            <w:pPr>
              <w:keepNext w:val="0"/>
              <w:keepLines/>
              <w:spacing w:after="0" w:line="240" w:lineRule="auto"/>
            </w:pPr>
            <w:r>
              <w:rPr>
                <w:b w:val="0"/>
                <w:i w:val="0"/>
              </w:rPr>
              <w:t>ALB-05</w:t>
            </w:r>
          </w:p>
        </w:tc>
        <w:tc>
          <w:tcPr>
            <w:tcW w:type="dxa" w:w="5529"/>
          </w:tcPr>
          <w:p>
            <w:pPr>
              <w:keepNext w:val="0"/>
              <w:keepLines/>
              <w:spacing w:after="0" w:line="240" w:lineRule="auto"/>
            </w:pPr>
            <w:r>
              <w:rPr>
                <w:b w:val="0"/>
                <w:i w:val="0"/>
              </w:rPr>
              <w:t>Sin verificar</w:t>
            </w:r>
          </w:p>
        </w:tc>
      </w:tr>
      <w:tr>
        <w:trPr>
          <w:cantSplit/>
        </w:trPr>
        <w:tc>
          <w:tcPr>
            <w:tcW w:type="dxa" w:w="4337"/>
          </w:tcPr>
          <w:p>
            <w:pPr>
              <w:keepNext w:val="0"/>
              <w:keepLines/>
              <w:spacing w:after="0" w:line="240" w:lineRule="auto"/>
            </w:pPr>
            <w:r>
              <w:rPr>
                <w:b w:val="0"/>
                <w:i w:val="0"/>
              </w:rPr>
              <w:t>ALB-06</w:t>
            </w:r>
          </w:p>
        </w:tc>
        <w:tc>
          <w:tcPr>
            <w:tcW w:type="dxa" w:w="5529"/>
          </w:tcPr>
          <w:p>
            <w:pPr>
              <w:keepNext w:val="0"/>
              <w:keepLines/>
              <w:spacing w:after="0" w:line="240" w:lineRule="auto"/>
            </w:pPr>
            <w:r>
              <w:rPr>
                <w:b w:val="0"/>
                <w:i w:val="0"/>
              </w:rPr>
              <w:t>Sin verificar</w:t>
            </w:r>
          </w:p>
        </w:tc>
      </w:tr>
      <w:tr>
        <w:trPr>
          <w:cantSplit/>
        </w:trPr>
        <w:tc>
          <w:tcPr>
            <w:tcW w:type="dxa" w:w="4337"/>
          </w:tcPr>
          <w:p>
            <w:pPr>
              <w:keepNext w:val="0"/>
              <w:keepLines/>
              <w:spacing w:after="0" w:line="240" w:lineRule="auto"/>
            </w:pPr>
            <w:r>
              <w:rPr>
                <w:b w:val="0"/>
                <w:i w:val="0"/>
              </w:rPr>
              <w:t>ALB-07</w:t>
            </w:r>
          </w:p>
        </w:tc>
        <w:tc>
          <w:tcPr>
            <w:tcW w:type="dxa" w:w="5529"/>
          </w:tcPr>
          <w:p>
            <w:pPr>
              <w:keepNext w:val="0"/>
              <w:keepLines/>
              <w:spacing w:after="0" w:line="240" w:lineRule="auto"/>
            </w:pPr>
            <w:r>
              <w:rPr>
                <w:b w:val="0"/>
                <w:i w:val="0"/>
              </w:rPr>
              <w:t>Sin verificar</w:t>
            </w:r>
          </w:p>
        </w:tc>
      </w:tr>
      <w:tr>
        <w:trPr>
          <w:cantSplit/>
        </w:trPr>
        <w:tc>
          <w:tcPr>
            <w:tcW w:type="dxa" w:w="4337"/>
          </w:tcPr>
          <w:p>
            <w:pPr>
              <w:keepNext w:val="0"/>
              <w:keepLines/>
              <w:spacing w:after="0" w:line="240" w:lineRule="auto"/>
            </w:pPr>
            <w:r>
              <w:rPr>
                <w:b w:val="0"/>
                <w:i w:val="0"/>
              </w:rPr>
              <w:t>ALB-08</w:t>
            </w:r>
          </w:p>
        </w:tc>
        <w:tc>
          <w:tcPr>
            <w:tcW w:type="dxa" w:w="5529"/>
          </w:tcPr>
          <w:p>
            <w:pPr>
              <w:keepNext w:val="0"/>
              <w:keepLines/>
              <w:spacing w:after="0" w:line="240" w:lineRule="auto"/>
            </w:pPr>
            <w:r>
              <w:rPr>
                <w:b w:val="0"/>
                <w:i w:val="0"/>
              </w:rPr>
              <w:t>Sin verificar</w:t>
            </w:r>
          </w:p>
        </w:tc>
      </w:tr>
      <w:tr>
        <w:trPr>
          <w:cantSplit/>
        </w:trPr>
        <w:tc>
          <w:tcPr>
            <w:tcW w:type="dxa" w:w="4337"/>
          </w:tcPr>
          <w:p>
            <w:pPr>
              <w:keepNext w:val="0"/>
              <w:keepLines/>
              <w:spacing w:after="0" w:line="240" w:lineRule="auto"/>
            </w:pPr>
            <w:r>
              <w:rPr>
                <w:b w:val="0"/>
                <w:i w:val="0"/>
              </w:rPr>
              <w:t>ALB-09</w:t>
            </w:r>
          </w:p>
        </w:tc>
        <w:tc>
          <w:tcPr>
            <w:tcW w:type="dxa" w:w="5529"/>
          </w:tcPr>
          <w:p>
            <w:pPr>
              <w:keepNext w:val="0"/>
              <w:keepLines/>
              <w:spacing w:after="0" w:line="240" w:lineRule="auto"/>
            </w:pPr>
            <w:r>
              <w:rPr>
                <w:b w:val="0"/>
                <w:i w:val="0"/>
              </w:rPr>
              <w:t>Sin verificar</w:t>
            </w:r>
          </w:p>
        </w:tc>
      </w:tr>
      <w:tr>
        <w:trPr>
          <w:cantSplit/>
        </w:trPr>
        <w:tc>
          <w:tcPr>
            <w:tcW w:type="dxa" w:w="4337"/>
          </w:tcPr>
          <w:p>
            <w:pPr>
              <w:keepNext/>
              <w:keepLines/>
              <w:spacing w:after="0" w:line="240" w:lineRule="auto"/>
            </w:pPr>
            <w:r>
              <w:rPr>
                <w:b w:val="0"/>
                <w:i w:val="0"/>
              </w:rPr>
              <w:t>ALB-10</w:t>
            </w:r>
          </w:p>
        </w:tc>
        <w:tc>
          <w:tcPr>
            <w:tcW w:type="dxa" w:w="5529"/>
          </w:tcPr>
          <w:p>
            <w:pPr>
              <w:keepNext/>
              <w:keepLines/>
              <w:spacing w:after="0" w:line="240" w:lineRule="auto"/>
            </w:pPr>
            <w:r>
              <w:rPr>
                <w:b w:val="0"/>
                <w:i w:val="0"/>
              </w:rPr>
              <w:t>Sin verificar</w:t>
            </w:r>
          </w:p>
        </w:tc>
      </w:tr>
      <w:tr>
        <w:trPr>
          <w:cantSplit/>
        </w:trPr>
        <w:tc>
          <w:tcPr>
            <w:tcW w:type="dxa" w:w="4337"/>
          </w:tcPr>
          <w:p>
            <w:pPr>
              <w:keepNext/>
              <w:keepLines/>
              <w:spacing w:after="0" w:line="240" w:lineRule="auto"/>
            </w:pPr>
            <w:r>
              <w:rPr>
                <w:b w:val="0"/>
                <w:i w:val="0"/>
              </w:rPr>
              <w:t>ALB-11</w:t>
            </w:r>
          </w:p>
        </w:tc>
        <w:tc>
          <w:tcPr>
            <w:tcW w:type="dxa" w:w="5529"/>
          </w:tcPr>
          <w:p>
            <w:pPr>
              <w:keepNext/>
              <w:keepLines/>
              <w:spacing w:after="0" w:line="240" w:lineRule="auto"/>
            </w:pPr>
            <w:r>
              <w:rPr>
                <w:b w:val="0"/>
                <w:i w:val="0"/>
              </w:rPr>
              <w:t>Sin verificar</w:t>
            </w:r>
          </w:p>
        </w:tc>
      </w:tr>
      <w:tr>
        <w:trPr>
          <w:cantSplit/>
        </w:trPr>
        <w:tc>
          <w:tcPr>
            <w:tcW w:type="dxa" w:w="4337"/>
          </w:tcPr>
          <w:p>
            <w:pPr>
              <w:keepNext w:val="0"/>
              <w:keepLines/>
              <w:spacing w:after="0" w:line="240" w:lineRule="auto"/>
            </w:pPr>
            <w:r>
              <w:rPr>
                <w:b w:val="0"/>
                <w:i w:val="0"/>
              </w:rPr>
              <w:t>ALB-12</w:t>
            </w:r>
          </w:p>
        </w:tc>
        <w:tc>
          <w:tcPr>
            <w:tcW w:type="dxa" w:w="5529"/>
          </w:tcPr>
          <w:p>
            <w:pPr>
              <w:keepNext w:val="0"/>
              <w:keepLines/>
              <w:spacing w:after="0" w:line="240" w:lineRule="auto"/>
            </w:pPr>
            <w:r>
              <w:rPr>
                <w:b w:val="0"/>
                <w:i w:val="0"/>
              </w:rPr>
              <w:t>Sin verificar</w:t>
            </w:r>
          </w:p>
        </w:tc>
      </w:tr>
    </w:tbl>
    <w:p/>
    <w:p>
      <w:pPr>
        <w:pStyle w:val="Heading3"/>
      </w:pPr>
      <w:r>
        <w:rPr>
          <w:b w:val="0"/>
          <w:i w:val="0"/>
        </w:rPr>
        <w:t>ALB-02 · No verificable</w:t>
      </w:r>
    </w:p>
    <w:p>
      <w:pPr>
        <w:keepNext/>
      </w:pPr>
      <w:r>
        <w:rPr>
          <w:b w:val="0"/>
          <w:i w:val="0"/>
        </w:rPr>
        <w:t>Evaluador: Plan documental; sin ejecución</w:t>
      </w:r>
    </w:p>
    <w:p>
      <w:r>
        <w:rPr>
          <w:b w:val="0"/>
          <w:i w:val="0"/>
        </w:rPr>
        <w:t>Plan documental sin ejecución. La fecha de prueba queda vacía. Estas dieciséis filas son estímulos de tabla y no criterios de aceptación adicionales.</w:t>
      </w:r>
    </w:p>
    <w:tbl>
      <w:tblPr>
        <w:tblStyle w:val="TableGrid"/>
        <w:tblW w:type="dxa" w:w="9866"/>
        <w:tblLayout w:type="fixed"/>
        <w:tblLook w:firstColumn="1" w:firstRow="1" w:lastColumn="0" w:lastRow="0" w:noHBand="0" w:noVBand="1" w:val="04A0"/>
      </w:tblPr>
      <w:tblGrid>
        <w:gridCol w:w="2252"/>
        <w:gridCol w:w="2252"/>
        <w:gridCol w:w="5361"/>
      </w:tblGrid>
      <w:tr>
        <w:trPr>
          <w:tblHeader/>
          <w:cantSplit/>
        </w:trPr>
        <w:tc>
          <w:tcPr>
            <w:tcW w:type="dxa" w:w="2252"/>
          </w:tcPr>
          <w:p>
            <w:pPr>
              <w:keepNext/>
              <w:keepLines/>
              <w:spacing w:after="0" w:line="240" w:lineRule="auto"/>
            </w:pPr>
            <w:r>
              <w:rPr>
                <w:b/>
                <w:i w:val="0"/>
              </w:rPr>
              <w:t>Registro</w:t>
            </w:r>
          </w:p>
        </w:tc>
        <w:tc>
          <w:tcPr>
            <w:tcW w:type="dxa" w:w="2252"/>
          </w:tcPr>
          <w:p>
            <w:pPr>
              <w:keepNext/>
              <w:keepLines/>
              <w:spacing w:after="0" w:line="240" w:lineRule="auto"/>
            </w:pPr>
            <w:r>
              <w:rPr>
                <w:b/>
                <w:i w:val="0"/>
              </w:rPr>
              <w:t>Estado</w:t>
            </w:r>
          </w:p>
        </w:tc>
        <w:tc>
          <w:tcPr>
            <w:tcW w:type="dxa" w:w="5361"/>
          </w:tcPr>
          <w:p>
            <w:pPr>
              <w:keepNext/>
              <w:keepLines/>
              <w:spacing w:after="0" w:line="240" w:lineRule="auto"/>
            </w:pPr>
            <w:r>
              <w:rPr>
                <w:b/>
                <w:i w:val="0"/>
              </w:rPr>
              <w:t>Explicación</w:t>
            </w:r>
          </w:p>
        </w:tc>
      </w:tr>
      <w:tr>
        <w:trPr>
          <w:cantSplit/>
        </w:trPr>
        <w:tc>
          <w:tcPr>
            <w:tcW w:type="dxa" w:w="2252"/>
          </w:tcPr>
          <w:p>
            <w:pPr>
              <w:keepNext w:val="0"/>
              <w:keepLines/>
              <w:spacing w:after="0" w:line="240" w:lineRule="auto"/>
            </w:pPr>
            <w:r>
              <w:rPr>
                <w:b w:val="0"/>
                <w:i w:val="0"/>
              </w:rPr>
              <w:t>ALB-R1-01</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r>
        <w:trPr>
          <w:cantSplit/>
        </w:trPr>
        <w:tc>
          <w:tcPr>
            <w:tcW w:type="dxa" w:w="2252"/>
          </w:tcPr>
          <w:p>
            <w:pPr>
              <w:keepNext w:val="0"/>
              <w:keepLines/>
              <w:spacing w:after="0" w:line="240" w:lineRule="auto"/>
            </w:pPr>
            <w:r>
              <w:rPr>
                <w:b w:val="0"/>
                <w:i w:val="0"/>
              </w:rPr>
              <w:t>ALB-R1-02</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r>
        <w:trPr>
          <w:cantSplit/>
        </w:trPr>
        <w:tc>
          <w:tcPr>
            <w:tcW w:type="dxa" w:w="2252"/>
          </w:tcPr>
          <w:p>
            <w:pPr>
              <w:keepNext w:val="0"/>
              <w:keepLines/>
              <w:spacing w:after="0" w:line="240" w:lineRule="auto"/>
            </w:pPr>
            <w:r>
              <w:rPr>
                <w:b w:val="0"/>
                <w:i w:val="0"/>
              </w:rPr>
              <w:t>ALB-R1-03</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r>
        <w:trPr>
          <w:cantSplit/>
        </w:trPr>
        <w:tc>
          <w:tcPr>
            <w:tcW w:type="dxa" w:w="2252"/>
          </w:tcPr>
          <w:p>
            <w:pPr>
              <w:keepNext w:val="0"/>
              <w:keepLines/>
              <w:spacing w:after="0" w:line="240" w:lineRule="auto"/>
            </w:pPr>
            <w:r>
              <w:rPr>
                <w:b w:val="0"/>
                <w:i w:val="0"/>
              </w:rPr>
              <w:t>ALB-R1-04</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r>
        <w:trPr>
          <w:cantSplit/>
        </w:trPr>
        <w:tc>
          <w:tcPr>
            <w:tcW w:type="dxa" w:w="2252"/>
          </w:tcPr>
          <w:p>
            <w:pPr>
              <w:keepNext w:val="0"/>
              <w:keepLines/>
              <w:spacing w:after="0" w:line="240" w:lineRule="auto"/>
            </w:pPr>
            <w:r>
              <w:rPr>
                <w:b w:val="0"/>
                <w:i w:val="0"/>
              </w:rPr>
              <w:t>ALB-R1-05</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r>
        <w:trPr>
          <w:cantSplit/>
        </w:trPr>
        <w:tc>
          <w:tcPr>
            <w:tcW w:type="dxa" w:w="2252"/>
          </w:tcPr>
          <w:p>
            <w:pPr>
              <w:keepNext w:val="0"/>
              <w:keepLines/>
              <w:spacing w:after="0" w:line="240" w:lineRule="auto"/>
            </w:pPr>
            <w:r>
              <w:rPr>
                <w:b w:val="0"/>
                <w:i w:val="0"/>
              </w:rPr>
              <w:t>ALB-R1-06</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r>
        <w:trPr>
          <w:cantSplit/>
        </w:trPr>
        <w:tc>
          <w:tcPr>
            <w:tcW w:type="dxa" w:w="2252"/>
          </w:tcPr>
          <w:p>
            <w:pPr>
              <w:keepNext w:val="0"/>
              <w:keepLines/>
              <w:spacing w:after="0" w:line="240" w:lineRule="auto"/>
            </w:pPr>
            <w:r>
              <w:rPr>
                <w:b w:val="0"/>
                <w:i w:val="0"/>
              </w:rPr>
              <w:t>ALB-R1-07</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r>
        <w:trPr>
          <w:cantSplit/>
        </w:trPr>
        <w:tc>
          <w:tcPr>
            <w:tcW w:type="dxa" w:w="2252"/>
          </w:tcPr>
          <w:p>
            <w:pPr>
              <w:keepNext w:val="0"/>
              <w:keepLines/>
              <w:spacing w:after="0" w:line="240" w:lineRule="auto"/>
            </w:pPr>
            <w:r>
              <w:rPr>
                <w:b w:val="0"/>
                <w:i w:val="0"/>
              </w:rPr>
              <w:t>ALB-R1-08</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r>
        <w:trPr>
          <w:cantSplit/>
        </w:trPr>
        <w:tc>
          <w:tcPr>
            <w:tcW w:type="dxa" w:w="2252"/>
          </w:tcPr>
          <w:p>
            <w:pPr>
              <w:keepNext w:val="0"/>
              <w:keepLines/>
              <w:spacing w:after="0" w:line="240" w:lineRule="auto"/>
            </w:pPr>
            <w:r>
              <w:rPr>
                <w:b w:val="0"/>
                <w:i w:val="0"/>
              </w:rPr>
              <w:t>ALB-R1-09</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r>
        <w:trPr>
          <w:cantSplit/>
        </w:trPr>
        <w:tc>
          <w:tcPr>
            <w:tcW w:type="dxa" w:w="2252"/>
          </w:tcPr>
          <w:p>
            <w:pPr>
              <w:keepNext w:val="0"/>
              <w:keepLines/>
              <w:spacing w:after="0" w:line="240" w:lineRule="auto"/>
            </w:pPr>
            <w:r>
              <w:rPr>
                <w:b w:val="0"/>
                <w:i w:val="0"/>
              </w:rPr>
              <w:t>ALB-R1-10</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r>
        <w:trPr>
          <w:cantSplit/>
        </w:trPr>
        <w:tc>
          <w:tcPr>
            <w:tcW w:type="dxa" w:w="2252"/>
          </w:tcPr>
          <w:p>
            <w:pPr>
              <w:keepNext w:val="0"/>
              <w:keepLines/>
              <w:spacing w:after="0" w:line="240" w:lineRule="auto"/>
            </w:pPr>
            <w:r>
              <w:rPr>
                <w:b w:val="0"/>
                <w:i w:val="0"/>
              </w:rPr>
              <w:t>ALB-R1-11</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r>
        <w:trPr>
          <w:cantSplit/>
        </w:trPr>
        <w:tc>
          <w:tcPr>
            <w:tcW w:type="dxa" w:w="2252"/>
          </w:tcPr>
          <w:p>
            <w:pPr>
              <w:keepNext w:val="0"/>
              <w:keepLines/>
              <w:spacing w:after="0" w:line="240" w:lineRule="auto"/>
            </w:pPr>
            <w:r>
              <w:rPr>
                <w:b w:val="0"/>
                <w:i w:val="0"/>
              </w:rPr>
              <w:t>ALB-R1-12</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r>
        <w:trPr>
          <w:cantSplit/>
        </w:trPr>
        <w:tc>
          <w:tcPr>
            <w:tcW w:type="dxa" w:w="2252"/>
          </w:tcPr>
          <w:p>
            <w:pPr>
              <w:keepNext w:val="0"/>
              <w:keepLines/>
              <w:spacing w:after="0" w:line="240" w:lineRule="auto"/>
            </w:pPr>
            <w:r>
              <w:rPr>
                <w:b w:val="0"/>
                <w:i w:val="0"/>
              </w:rPr>
              <w:t>ALB-R1-13</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r>
        <w:trPr>
          <w:cantSplit/>
        </w:trPr>
        <w:tc>
          <w:tcPr>
            <w:tcW w:type="dxa" w:w="2252"/>
          </w:tcPr>
          <w:p>
            <w:pPr>
              <w:keepNext/>
              <w:keepLines/>
              <w:spacing w:after="0" w:line="240" w:lineRule="auto"/>
            </w:pPr>
            <w:r>
              <w:rPr>
                <w:b w:val="0"/>
                <w:i w:val="0"/>
              </w:rPr>
              <w:t>ALB-R1-14</w:t>
            </w:r>
          </w:p>
        </w:tc>
        <w:tc>
          <w:tcPr>
            <w:tcW w:type="dxa" w:w="2252"/>
          </w:tcPr>
          <w:p>
            <w:pPr>
              <w:keepNext/>
              <w:keepLines/>
              <w:spacing w:after="0" w:line="240" w:lineRule="auto"/>
            </w:pPr>
            <w:r>
              <w:rPr>
                <w:b w:val="0"/>
                <w:i w:val="0"/>
              </w:rPr>
              <w:t>Pendiente</w:t>
            </w:r>
          </w:p>
        </w:tc>
        <w:tc>
          <w:tcPr>
            <w:tcW w:type="dxa" w:w="5361"/>
          </w:tcPr>
          <w:p>
            <w:pPr>
              <w:keepNext/>
              <w:keepLines/>
              <w:spacing w:after="0" w:line="240" w:lineRule="auto"/>
            </w:pPr>
            <w:r>
              <w:rPr>
                <w:b w:val="0"/>
                <w:i w:val="0"/>
              </w:rPr>
              <w:t>Fila editorial sin ejecución ni decisión de cierre.</w:t>
            </w:r>
          </w:p>
        </w:tc>
      </w:tr>
      <w:tr>
        <w:trPr>
          <w:cantSplit/>
        </w:trPr>
        <w:tc>
          <w:tcPr>
            <w:tcW w:type="dxa" w:w="2252"/>
          </w:tcPr>
          <w:p>
            <w:pPr>
              <w:keepNext/>
              <w:keepLines/>
              <w:spacing w:after="0" w:line="240" w:lineRule="auto"/>
            </w:pPr>
            <w:r>
              <w:rPr>
                <w:b w:val="0"/>
                <w:i w:val="0"/>
              </w:rPr>
              <w:t>ALB-R1-15</w:t>
            </w:r>
          </w:p>
        </w:tc>
        <w:tc>
          <w:tcPr>
            <w:tcW w:type="dxa" w:w="2252"/>
          </w:tcPr>
          <w:p>
            <w:pPr>
              <w:keepNext/>
              <w:keepLines/>
              <w:spacing w:after="0" w:line="240" w:lineRule="auto"/>
            </w:pPr>
            <w:r>
              <w:rPr>
                <w:b w:val="0"/>
                <w:i w:val="0"/>
              </w:rPr>
              <w:t>Pendiente</w:t>
            </w:r>
          </w:p>
        </w:tc>
        <w:tc>
          <w:tcPr>
            <w:tcW w:type="dxa" w:w="5361"/>
          </w:tcPr>
          <w:p>
            <w:pPr>
              <w:keepNext/>
              <w:keepLines/>
              <w:spacing w:after="0" w:line="240" w:lineRule="auto"/>
            </w:pPr>
            <w:r>
              <w:rPr>
                <w:b w:val="0"/>
                <w:i w:val="0"/>
              </w:rPr>
              <w:t>Fila editorial sin ejecución ni decisión de cierre.</w:t>
            </w:r>
          </w:p>
        </w:tc>
      </w:tr>
      <w:tr>
        <w:trPr>
          <w:cantSplit/>
        </w:trPr>
        <w:tc>
          <w:tcPr>
            <w:tcW w:type="dxa" w:w="2252"/>
          </w:tcPr>
          <w:p>
            <w:pPr>
              <w:keepNext w:val="0"/>
              <w:keepLines/>
              <w:spacing w:after="0" w:line="240" w:lineRule="auto"/>
            </w:pPr>
            <w:r>
              <w:rPr>
                <w:b w:val="0"/>
                <w:i w:val="0"/>
              </w:rPr>
              <w:t>ALB-R1-16</w:t>
            </w:r>
          </w:p>
        </w:tc>
        <w:tc>
          <w:tcPr>
            <w:tcW w:type="dxa" w:w="2252"/>
          </w:tcPr>
          <w:p>
            <w:pPr>
              <w:keepNext w:val="0"/>
              <w:keepLines/>
              <w:spacing w:after="0" w:line="240" w:lineRule="auto"/>
            </w:pPr>
            <w:r>
              <w:rPr>
                <w:b w:val="0"/>
                <w:i w:val="0"/>
              </w:rPr>
              <w:t>Pendiente</w:t>
            </w:r>
          </w:p>
        </w:tc>
        <w:tc>
          <w:tcPr>
            <w:tcW w:type="dxa" w:w="5361"/>
          </w:tcPr>
          <w:p>
            <w:pPr>
              <w:keepNext w:val="0"/>
              <w:keepLines/>
              <w:spacing w:after="0" w:line="240" w:lineRule="auto"/>
            </w:pPr>
            <w:r>
              <w:rPr>
                <w:b w:val="0"/>
                <w:i w:val="0"/>
              </w:rPr>
              <w:t>Fila editorial sin ejecución ni decisión de cierre.</w:t>
            </w:r>
          </w:p>
        </w:tc>
      </w:tr>
    </w:tbl>
    <w:p/>
    <w:p>
      <w:pPr>
        <w:pStyle w:val="Heading3"/>
      </w:pPr>
      <w:r>
        <w:rPr>
          <w:b w:val="0"/>
          <w:i w:val="0"/>
        </w:rPr>
        <w:t>ALB-03 · No verificable</w:t>
      </w:r>
    </w:p>
    <w:p>
      <w:pPr>
        <w:keepNext/>
      </w:pPr>
      <w:r>
        <w:rPr>
          <w:b w:val="0"/>
          <w:i w:val="0"/>
        </w:rPr>
        <w:t>Evaluador: Plan documental; sin ejecución</w:t>
      </w:r>
    </w:p>
    <w:p>
      <w:r>
        <w:rPr>
          <w:b w:val="0"/>
          <w:i w:val="0"/>
        </w:rPr>
        <w:t>Plan documental sin ejecución. La fecha de prueba queda vacía. Estas dieciséis filas son estímulos de tabla y no criterios de aceptación adicionales.</w:t>
      </w:r>
    </w:p>
    <w:p>
      <w:pPr>
        <w:numPr>
          <w:ilvl w:val="0"/>
          <w:numId w:val="25"/>
        </w:numPr>
        <w:tabs>
          <w:tab w:pos="430" w:val="left"/>
        </w:tabs>
        <w:ind w:left="430" w:hanging="289"/>
      </w:pPr>
      <w:r>
        <w:rPr>
          <w:b w:val="0"/>
          <w:i w:val="0"/>
        </w:rPr>
        <w:t>Conservar la tabla dentro de este elemento de lista.</w:t>
      </w:r>
    </w:p>
    <w:tbl>
      <w:tblPr>
        <w:tblStyle w:val="TableGrid"/>
        <w:tblW w:type="dxa" w:w="9435"/>
        <w:tblLayout w:type="fixed"/>
        <w:tblLook w:firstColumn="1" w:firstRow="1" w:lastColumn="0" w:lastRow="0" w:noHBand="0" w:noVBand="1" w:val="04A0"/>
        <w:tblInd w:type="dxa" w:w="430"/>
      </w:tblPr>
      <w:tblGrid>
        <w:gridCol w:w="2154"/>
        <w:gridCol w:w="2154"/>
        <w:gridCol w:w="5128"/>
      </w:tblGrid>
      <w:tr>
        <w:trPr>
          <w:tblHeader/>
          <w:cantSplit/>
        </w:trPr>
        <w:tc>
          <w:tcPr>
            <w:tcW w:type="dxa" w:w="2154"/>
          </w:tcPr>
          <w:p>
            <w:pPr>
              <w:keepNext/>
              <w:keepLines/>
              <w:spacing w:after="0" w:line="240" w:lineRule="auto"/>
            </w:pPr>
            <w:r>
              <w:rPr>
                <w:b/>
                <w:i w:val="0"/>
              </w:rPr>
              <w:t>Registro</w:t>
            </w:r>
          </w:p>
        </w:tc>
        <w:tc>
          <w:tcPr>
            <w:tcW w:type="dxa" w:w="2154"/>
          </w:tcPr>
          <w:p>
            <w:pPr>
              <w:keepNext/>
              <w:keepLines/>
              <w:spacing w:after="0" w:line="240" w:lineRule="auto"/>
            </w:pPr>
            <w:r>
              <w:rPr>
                <w:b/>
                <w:i w:val="0"/>
              </w:rPr>
              <w:t>Estado</w:t>
            </w:r>
          </w:p>
        </w:tc>
        <w:tc>
          <w:tcPr>
            <w:tcW w:type="dxa" w:w="5128"/>
          </w:tcPr>
          <w:p>
            <w:pPr>
              <w:keepNext/>
              <w:keepLines/>
              <w:spacing w:after="0" w:line="240" w:lineRule="auto"/>
            </w:pPr>
            <w:r>
              <w:rPr>
                <w:b/>
                <w:i w:val="0"/>
              </w:rPr>
              <w:t>Explicación</w:t>
            </w:r>
          </w:p>
        </w:tc>
      </w:tr>
      <w:tr>
        <w:trPr>
          <w:cantSplit/>
        </w:trPr>
        <w:tc>
          <w:tcPr>
            <w:tcW w:type="dxa" w:w="2154"/>
          </w:tcPr>
          <w:p>
            <w:pPr>
              <w:keepNext w:val="0"/>
              <w:keepLines/>
              <w:spacing w:after="0" w:line="240" w:lineRule="auto"/>
            </w:pPr>
            <w:r>
              <w:rPr>
                <w:b w:val="0"/>
                <w:i w:val="0"/>
              </w:rPr>
              <w:t>ALB-R2-01</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r>
        <w:trPr>
          <w:cantSplit/>
        </w:trPr>
        <w:tc>
          <w:tcPr>
            <w:tcW w:type="dxa" w:w="2154"/>
          </w:tcPr>
          <w:p>
            <w:pPr>
              <w:keepNext w:val="0"/>
              <w:keepLines/>
              <w:spacing w:after="0" w:line="240" w:lineRule="auto"/>
            </w:pPr>
            <w:r>
              <w:rPr>
                <w:b w:val="0"/>
                <w:i w:val="0"/>
              </w:rPr>
              <w:t>ALB-R2-02</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r>
        <w:trPr>
          <w:cantSplit/>
        </w:trPr>
        <w:tc>
          <w:tcPr>
            <w:tcW w:type="dxa" w:w="2154"/>
          </w:tcPr>
          <w:p>
            <w:pPr>
              <w:keepNext w:val="0"/>
              <w:keepLines/>
              <w:spacing w:after="0" w:line="240" w:lineRule="auto"/>
            </w:pPr>
            <w:r>
              <w:rPr>
                <w:b w:val="0"/>
                <w:i w:val="0"/>
              </w:rPr>
              <w:t>ALB-R2-03</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r>
        <w:trPr>
          <w:cantSplit/>
        </w:trPr>
        <w:tc>
          <w:tcPr>
            <w:tcW w:type="dxa" w:w="2154"/>
          </w:tcPr>
          <w:p>
            <w:pPr>
              <w:keepNext w:val="0"/>
              <w:keepLines/>
              <w:spacing w:after="0" w:line="240" w:lineRule="auto"/>
            </w:pPr>
            <w:r>
              <w:rPr>
                <w:b w:val="0"/>
                <w:i w:val="0"/>
              </w:rPr>
              <w:t>ALB-R2-04</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r>
        <w:trPr>
          <w:cantSplit/>
        </w:trPr>
        <w:tc>
          <w:tcPr>
            <w:tcW w:type="dxa" w:w="2154"/>
          </w:tcPr>
          <w:p>
            <w:pPr>
              <w:keepNext w:val="0"/>
              <w:keepLines/>
              <w:spacing w:after="0" w:line="240" w:lineRule="auto"/>
            </w:pPr>
            <w:r>
              <w:rPr>
                <w:b w:val="0"/>
                <w:i w:val="0"/>
              </w:rPr>
              <w:t>ALB-R2-05</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r>
        <w:trPr>
          <w:cantSplit/>
        </w:trPr>
        <w:tc>
          <w:tcPr>
            <w:tcW w:type="dxa" w:w="2154"/>
          </w:tcPr>
          <w:p>
            <w:pPr>
              <w:keepNext w:val="0"/>
              <w:keepLines/>
              <w:spacing w:after="0" w:line="240" w:lineRule="auto"/>
            </w:pPr>
            <w:r>
              <w:rPr>
                <w:b w:val="0"/>
                <w:i w:val="0"/>
              </w:rPr>
              <w:t>ALB-R2-06</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r>
        <w:trPr>
          <w:cantSplit/>
        </w:trPr>
        <w:tc>
          <w:tcPr>
            <w:tcW w:type="dxa" w:w="2154"/>
          </w:tcPr>
          <w:p>
            <w:pPr>
              <w:keepNext w:val="0"/>
              <w:keepLines/>
              <w:spacing w:after="0" w:line="240" w:lineRule="auto"/>
            </w:pPr>
            <w:r>
              <w:rPr>
                <w:b w:val="0"/>
                <w:i w:val="0"/>
              </w:rPr>
              <w:t>ALB-R2-07</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r>
        <w:trPr>
          <w:cantSplit/>
        </w:trPr>
        <w:tc>
          <w:tcPr>
            <w:tcW w:type="dxa" w:w="2154"/>
          </w:tcPr>
          <w:p>
            <w:pPr>
              <w:keepNext w:val="0"/>
              <w:keepLines/>
              <w:spacing w:after="0" w:line="240" w:lineRule="auto"/>
            </w:pPr>
            <w:r>
              <w:rPr>
                <w:b w:val="0"/>
                <w:i w:val="0"/>
              </w:rPr>
              <w:t>ALB-R2-08</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r>
        <w:trPr>
          <w:cantSplit/>
        </w:trPr>
        <w:tc>
          <w:tcPr>
            <w:tcW w:type="dxa" w:w="2154"/>
          </w:tcPr>
          <w:p>
            <w:pPr>
              <w:keepNext w:val="0"/>
              <w:keepLines/>
              <w:spacing w:after="0" w:line="240" w:lineRule="auto"/>
            </w:pPr>
            <w:r>
              <w:rPr>
                <w:b w:val="0"/>
                <w:i w:val="0"/>
              </w:rPr>
              <w:t>ALB-R2-09</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r>
        <w:trPr>
          <w:cantSplit/>
        </w:trPr>
        <w:tc>
          <w:tcPr>
            <w:tcW w:type="dxa" w:w="2154"/>
          </w:tcPr>
          <w:p>
            <w:pPr>
              <w:keepNext w:val="0"/>
              <w:keepLines/>
              <w:spacing w:after="0" w:line="240" w:lineRule="auto"/>
            </w:pPr>
            <w:r>
              <w:rPr>
                <w:b w:val="0"/>
                <w:i w:val="0"/>
              </w:rPr>
              <w:t>ALB-R2-10</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r>
        <w:trPr>
          <w:cantSplit/>
        </w:trPr>
        <w:tc>
          <w:tcPr>
            <w:tcW w:type="dxa" w:w="2154"/>
          </w:tcPr>
          <w:p>
            <w:pPr>
              <w:keepNext w:val="0"/>
              <w:keepLines/>
              <w:spacing w:after="0" w:line="240" w:lineRule="auto"/>
            </w:pPr>
            <w:r>
              <w:rPr>
                <w:b w:val="0"/>
                <w:i w:val="0"/>
              </w:rPr>
              <w:t>ALB-R2-11</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r>
        <w:trPr>
          <w:cantSplit/>
        </w:trPr>
        <w:tc>
          <w:tcPr>
            <w:tcW w:type="dxa" w:w="2154"/>
          </w:tcPr>
          <w:p>
            <w:pPr>
              <w:keepNext w:val="0"/>
              <w:keepLines/>
              <w:spacing w:after="0" w:line="240" w:lineRule="auto"/>
            </w:pPr>
            <w:r>
              <w:rPr>
                <w:b w:val="0"/>
                <w:i w:val="0"/>
              </w:rPr>
              <w:t>ALB-R2-12</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r>
        <w:trPr>
          <w:cantSplit/>
        </w:trPr>
        <w:tc>
          <w:tcPr>
            <w:tcW w:type="dxa" w:w="2154"/>
          </w:tcPr>
          <w:p>
            <w:pPr>
              <w:keepNext w:val="0"/>
              <w:keepLines/>
              <w:spacing w:after="0" w:line="240" w:lineRule="auto"/>
            </w:pPr>
            <w:r>
              <w:rPr>
                <w:b w:val="0"/>
                <w:i w:val="0"/>
              </w:rPr>
              <w:t>ALB-R2-13</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r>
        <w:trPr>
          <w:cantSplit/>
        </w:trPr>
        <w:tc>
          <w:tcPr>
            <w:tcW w:type="dxa" w:w="2154"/>
          </w:tcPr>
          <w:p>
            <w:pPr>
              <w:keepNext/>
              <w:keepLines/>
              <w:spacing w:after="0" w:line="240" w:lineRule="auto"/>
            </w:pPr>
            <w:r>
              <w:rPr>
                <w:b w:val="0"/>
                <w:i w:val="0"/>
              </w:rPr>
              <w:t>ALB-R2-14</w:t>
            </w:r>
          </w:p>
        </w:tc>
        <w:tc>
          <w:tcPr>
            <w:tcW w:type="dxa" w:w="2154"/>
          </w:tcPr>
          <w:p>
            <w:pPr>
              <w:keepNext/>
              <w:keepLines/>
              <w:spacing w:after="0" w:line="240" w:lineRule="auto"/>
            </w:pPr>
            <w:r>
              <w:rPr>
                <w:b w:val="0"/>
                <w:i w:val="0"/>
              </w:rPr>
              <w:t>Pendiente</w:t>
            </w:r>
          </w:p>
        </w:tc>
        <w:tc>
          <w:tcPr>
            <w:tcW w:type="dxa" w:w="5128"/>
          </w:tcPr>
          <w:p>
            <w:pPr>
              <w:keepNext/>
              <w:keepLines/>
              <w:spacing w:after="0" w:line="240" w:lineRule="auto"/>
            </w:pPr>
            <w:r>
              <w:rPr>
                <w:b w:val="0"/>
                <w:i w:val="0"/>
              </w:rPr>
              <w:t>Fila editorial sin ejecución ni decisión de cierre.</w:t>
            </w:r>
          </w:p>
        </w:tc>
      </w:tr>
      <w:tr>
        <w:trPr>
          <w:cantSplit/>
        </w:trPr>
        <w:tc>
          <w:tcPr>
            <w:tcW w:type="dxa" w:w="2154"/>
          </w:tcPr>
          <w:p>
            <w:pPr>
              <w:keepNext/>
              <w:keepLines/>
              <w:spacing w:after="0" w:line="240" w:lineRule="auto"/>
            </w:pPr>
            <w:r>
              <w:rPr>
                <w:b w:val="0"/>
                <w:i w:val="0"/>
              </w:rPr>
              <w:t>ALB-R2-15</w:t>
            </w:r>
          </w:p>
        </w:tc>
        <w:tc>
          <w:tcPr>
            <w:tcW w:type="dxa" w:w="2154"/>
          </w:tcPr>
          <w:p>
            <w:pPr>
              <w:keepNext/>
              <w:keepLines/>
              <w:spacing w:after="0" w:line="240" w:lineRule="auto"/>
            </w:pPr>
            <w:r>
              <w:rPr>
                <w:b w:val="0"/>
                <w:i w:val="0"/>
              </w:rPr>
              <w:t>Pendiente</w:t>
            </w:r>
          </w:p>
        </w:tc>
        <w:tc>
          <w:tcPr>
            <w:tcW w:type="dxa" w:w="5128"/>
          </w:tcPr>
          <w:p>
            <w:pPr>
              <w:keepNext/>
              <w:keepLines/>
              <w:spacing w:after="0" w:line="240" w:lineRule="auto"/>
            </w:pPr>
            <w:r>
              <w:rPr>
                <w:b w:val="0"/>
                <w:i w:val="0"/>
              </w:rPr>
              <w:t>Fila editorial sin ejecución ni decisión de cierre.</w:t>
            </w:r>
          </w:p>
        </w:tc>
      </w:tr>
      <w:tr>
        <w:trPr>
          <w:cantSplit/>
        </w:trPr>
        <w:tc>
          <w:tcPr>
            <w:tcW w:type="dxa" w:w="2154"/>
          </w:tcPr>
          <w:p>
            <w:pPr>
              <w:keepNext w:val="0"/>
              <w:keepLines/>
              <w:spacing w:after="0" w:line="240" w:lineRule="auto"/>
            </w:pPr>
            <w:r>
              <w:rPr>
                <w:b w:val="0"/>
                <w:i w:val="0"/>
              </w:rPr>
              <w:t>ALB-R2-16</w:t>
            </w:r>
          </w:p>
        </w:tc>
        <w:tc>
          <w:tcPr>
            <w:tcW w:type="dxa" w:w="2154"/>
          </w:tcPr>
          <w:p>
            <w:pPr>
              <w:keepNext w:val="0"/>
              <w:keepLines/>
              <w:spacing w:after="0" w:line="240" w:lineRule="auto"/>
            </w:pPr>
            <w:r>
              <w:rPr>
                <w:b w:val="0"/>
                <w:i w:val="0"/>
              </w:rPr>
              <w:t>Pendiente</w:t>
            </w:r>
          </w:p>
        </w:tc>
        <w:tc>
          <w:tcPr>
            <w:tcW w:type="dxa" w:w="5128"/>
          </w:tcPr>
          <w:p>
            <w:pPr>
              <w:keepNext w:val="0"/>
              <w:keepLines/>
              <w:spacing w:after="0" w:line="240" w:lineRule="auto"/>
            </w:pPr>
            <w:r>
              <w:rPr>
                <w:b w:val="0"/>
                <w:i w:val="0"/>
              </w:rPr>
              <w:t>Fila editorial sin ejecución ni decisión de cierre.</w:t>
            </w:r>
          </w:p>
        </w:tc>
      </w:tr>
    </w:tbl>
    <w:p/>
    <w:sectPr w:rsidR="00FC693F" w:rsidRPr="0006063C" w:rsidSect="00034616">
      <w:headerReference w:type="default" r:id="rId9"/>
      <w:footerReference w:type="default" r:id="rId10"/>
      <w:pgSz w:w="11906" w:h="16838"/>
      <w:pgMar w:top="907" w:right="1020" w:bottom="907" w:left="1020" w:header="53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Pr>
    <w:r>
      <w:rPr>
        <w:rFonts w:ascii="DejaVu Sans Mono" w:hAnsi="DejaVu Sans Mono"/>
        <w:color w:val="536273"/>
        <w:sz w:val="15"/>
      </w:rPr>
      <w:t>iphobiuss</w:t>
    </w:r>
    <w:r>
      <w:rPr>
        <w:rFonts w:ascii="DejaVu Sans Mono" w:hAnsi="DejaVu Sans Mono"/>
        <w:color w:val="536273"/>
        <w:sz w:val="15"/>
      </w:rPr>
      <w:tab/>
      <w:t xml:space="preserve">Página </w:t>
    </w:r>
    <w:r>
      <w:fldChar w:fldCharType="begin"/>
      <w:instrText xml:space="preserve">PAGE</w:instrText>
      <w:fldChar w:fldCharType="end"/>
    </w:r>
    <w:r>
      <w:rPr>
        <w:rFonts w:ascii="DejaVu Sans Mono" w:hAnsi="DejaVu Sans Mono"/>
        <w:color w:val="536273"/>
        <w:sz w:val="15"/>
      </w:rPr>
      <w:t xml:space="preserve"> de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space="2" w:color="ced6dd"/>
      </w:pBdr>
    </w:pPr>
    <w:r>
      <w:rPr>
        <w:rFonts w:ascii="DejaVu Sans Mono" w:hAnsi="DejaVu Sans Mono"/>
        <w:b/>
        <w:color w:val="4B5E72"/>
        <w:sz w:val="16"/>
      </w:rPr>
      <w:t>ALBOR LAB</w:t>
    </w:r>
    <w:r>
      <w:rPr>
        <w:rFonts w:ascii="DejaVu Sans Mono" w:hAnsi="DejaVu Sans Mono"/>
        <w:color w:val="536273"/>
        <w:sz w:val="15"/>
      </w:rPr>
      <w:tab/>
      <w:t>SIMULACIÓN  |  v1.0  |  2026-10-13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
  </w:abstractNum>
  <w:num w:numId="10">
    <w:abstractNumId w:val="9"/>
  </w:num>
  <w:abstractNum w:abstractNumId="10">
    <w:lvl w:ilvl="0">
      <w:start w:val="1"/>
      <w:numFmt w:val="bullet"/>
      <w:lvlText w:val="•"/>
    </w:lvl>
  </w:abstractNum>
  <w:num w:numId="11">
    <w:abstractNumId w:val="10"/>
  </w:num>
  <w:abstractNum w:abstractNumId="11">
    <w:lvl w:ilvl="0">
      <w:start w:val="1"/>
      <w:numFmt w:val="bullet"/>
      <w:lvlText w:val="•"/>
    </w:lvl>
  </w:abstractNum>
  <w:num w:numId="12">
    <w:abstractNumId w:val="11"/>
  </w:num>
  <w:abstractNum w:abstractNumId="12">
    <w:lvl w:ilvl="0">
      <w:start w:val="1"/>
      <w:numFmt w:val="bullet"/>
      <w:lvlText w:val="•"/>
    </w:lvl>
  </w:abstractNum>
  <w:num w:numId="13">
    <w:abstractNumId w:val="12"/>
  </w:num>
  <w:abstractNum w:abstractNumId="13">
    <w:lvl w:ilvl="0">
      <w:start w:val="1"/>
      <w:numFmt w:val="bullet"/>
      <w:lvlText w:val="•"/>
    </w:lvl>
  </w:abstractNum>
  <w:num w:numId="14">
    <w:abstractNumId w:val="13"/>
  </w:num>
  <w:abstractNum w:abstractNumId="14">
    <w:lvl w:ilvl="0">
      <w:start w:val="1"/>
      <w:numFmt w:val="bullet"/>
      <w:lvlText w:val="•"/>
    </w:lvl>
  </w:abstractNum>
  <w:num w:numId="15">
    <w:abstractNumId w:val="14"/>
  </w:num>
  <w:abstractNum w:abstractNumId="15">
    <w:lvl w:ilvl="0">
      <w:start w:val="1"/>
      <w:numFmt w:val="bullet"/>
      <w:lvlText w:val="•"/>
    </w:lvl>
  </w:abstractNum>
  <w:num w:numId="16">
    <w:abstractNumId w:val="15"/>
  </w:num>
  <w:abstractNum w:abstractNumId="16">
    <w:lvl w:ilvl="0">
      <w:start w:val="1"/>
      <w:numFmt w:val="bullet"/>
      <w:lvlText w:val="•"/>
    </w:lvl>
  </w:abstractNum>
  <w:num w:numId="17">
    <w:abstractNumId w:val="16"/>
  </w:num>
  <w:abstractNum w:abstractNumId="17">
    <w:lvl w:ilvl="0">
      <w:start w:val="1"/>
      <w:numFmt w:val="bullet"/>
      <w:lvlText w:val="•"/>
    </w:lvl>
  </w:abstractNum>
  <w:num w:numId="18">
    <w:abstractNumId w:val="17"/>
  </w:num>
  <w:abstractNum w:abstractNumId="18">
    <w:lvl w:ilvl="0">
      <w:start w:val="1"/>
      <w:numFmt w:val="bullet"/>
      <w:lvlText w:val="•"/>
    </w:lvl>
  </w:abstractNum>
  <w:num w:numId="19">
    <w:abstractNumId w:val="18"/>
  </w:num>
  <w:abstractNum w:abstractNumId="19">
    <w:lvl w:ilvl="0">
      <w:start w:val="1"/>
      <w:numFmt w:val="bullet"/>
      <w:lvlText w:val="•"/>
    </w:lvl>
  </w:abstractNum>
  <w:num w:numId="20">
    <w:abstractNumId w:val="19"/>
  </w:num>
  <w:abstractNum w:abstractNumId="20">
    <w:lvl w:ilvl="0">
      <w:start w:val="1"/>
      <w:numFmt w:val="bullet"/>
      <w:lvlText w:val="•"/>
    </w:lvl>
  </w:abstractNum>
  <w:num w:numId="21">
    <w:abstractNumId w:val="20"/>
  </w:num>
  <w:abstractNum w:abstractNumId="21">
    <w:lvl w:ilvl="0">
      <w:start w:val="1"/>
      <w:numFmt w:val="decimal"/>
      <w:lvlText w:val="%1."/>
    </w:lvl>
  </w:abstractNum>
  <w:num w:numId="22">
    <w:abstractNumId w:val="21"/>
  </w:num>
  <w:abstractNum w:abstractNumId="22">
    <w:lvl w:ilvl="0">
      <w:start w:val="1"/>
      <w:numFmt w:val="bullet"/>
      <w:lvlText w:val="•"/>
    </w:lvl>
  </w:abstractNum>
  <w:num w:numId="23">
    <w:abstractNumId w:val="22"/>
  </w:num>
  <w:abstractNum w:abstractNumId="23">
    <w:lvl w:ilvl="0">
      <w:start w:val="1"/>
      <w:numFmt w:val="bullet"/>
      <w:lvlText w:val="•"/>
    </w:lvl>
  </w:abstractNum>
  <w:num w:numId="24">
    <w:abstractNumId w:val="23"/>
  </w:num>
  <w:abstractNum w:abstractNumId="24">
    <w:lvl w:ilvl="0">
      <w:start w:val="1"/>
      <w:numFmt w:val="decimal"/>
      <w:lvlText w:val="%1."/>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149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149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149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1495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3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GenMeta">
    <w:name w:val="ReportGenMeta"/>
    <w:basedOn w:val="Normal"/>
  </w:style>
  <w:style w:type="paragraph" w:customStyle="1" w:styleId="ReportGenCode">
    <w:name w:val="ReportGenCode"/>
    <w:basedOn w:val="Normal"/>
  </w:style>
  <w:style w:type="paragraph" w:customStyle="1" w:styleId="TOC1">
    <w:name w:val="TOC 1"/>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treasury.albor.example/revisions/ALB%2D015/0123456789ABCDEFGHIJKLMNOPQRSTUVWXYZ0123456789ABCDEFGHIJKLMNOPQRSTUVWXYZ0123456789ABCDEFGHIJKLMNOPQRSTUVWXYZ0123456789ABCDEFGHIJKLMNOPQRSTUVWXYZ0123456789ABCDEFGHIJKLMNOPQRSTUVWXYZ?state=pending&amp;empty=&amp;repeated=one&amp;repeated=two&amp;literal=%252F&amp;value=A%26B#review(15)" TargetMode="External"/><Relationship Id="rId16" Type="http://schemas.openxmlformats.org/officeDocument/2006/relationships/hyperlink" Target="https://archive.albor.example/caf%C3%A9/%E6%9D%B1%E4%BA%AC?label=%CE%94&amp;revision=ALB%2D015#revisi%C3%B3n" TargetMode="External"/><Relationship Id="rId17" Type="http://schemas.openxmlformats.org/officeDocument/2006/relationships/hyperlink" Target="https://archive.albor.example/cafe%CC%81/source?normalization=preserve&amp;escaped=%E2%88%92#pe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Tesorería, conciliación y evidencia de decisiones</dc:title>
  <dc:subject/>
  <dc:creator>iphobiuss</dc:creator>
  <cp:keywords/>
  <dc:description/>
  <cp:lastModifiedBy/>
  <cp:revision>1</cp:revision>
  <cp:category/>
  <dc:language>es</dc:language>
</cp:coreProperties>
</file>