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1225"/>
      </w:tblGrid>
      <w:tr>
        <w:trPr>
          <w:trHeight w:val="2835" w:hRule="atLeast"/>
          <w:cantSplit/>
        </w:trPr>
        <w:tc>
          <w:tcPr>
            <w:tcW w:type="dxa" w:w="680"/>
            <w:tcMar>
              <w:top w:w="0" w:type="dxa"/>
              <w:bottom w:w="0" w:type="dxa"/>
              <w:start w:w="0" w:type="dxa"/>
              <w:end w:w="0" w:type="dxa"/>
            </w:tcMar>
            <w:shd w:fill="FF5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</w:tc>
        <w:tc>
          <w:tcPr>
            <w:tcW w:type="dxa" w:w="11225"/>
            <w:shd w:fill="FFFFFF"/>
            <w:vAlign w:val="top"/>
            <w:tcMar>
              <w:top w:w="1134" w:type="dxa"/>
              <w:bottom w:w="0" w:type="dxa"/>
              <w:start w:w="680" w:type="dxa"/>
              <w:end w:w="1361" w:type="dxa"/>
            </w:tcMar>
          </w:tcPr>
          <w:p>
            <w:pPr>
              <w:tabs>
                <w:tab w:pos="9184" w:val="right"/>
              </w:tabs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  <w:r>
              <w:rPr>
                <w:rFonts w:ascii="Calibri" w:hAnsi="Calibri"/>
                <w:b/>
                <w:color w:val="182B3B"/>
                <w:sz w:val="30"/>
              </w:rPr>
              <w:t>AURORA LAB</w:t>
            </w:r>
            <w:r>
              <w:tab/>
            </w:r>
            <w:r>
              <w:rPr>
                <w:rFonts w:ascii="Calibri" w:hAnsi="Calibri"/>
                <w:b w:val="0"/>
                <w:color w:val="182B3B"/>
                <w:sz w:val="16"/>
              </w:rPr>
              <w:t>CONFIDENTIAL</w:t>
            </w:r>
          </w:p>
          <w:p>
            <w:pPr>
              <w:tabs>
                <w:tab w:pos="9184" w:val="right"/>
              </w:tabs>
              <w:spacing w:before="320" w:after="0" w:line="276" w:lineRule="auto"/>
              <w:jc w:val="left"/>
            </w:pPr>
            <w:r>
              <w:rPr>
                <w:rFonts w:ascii="Calibri" w:hAnsi="Calibri"/>
                <w:b w:val="0"/>
                <w:color w:val="CE4400"/>
                <w:sz w:val="20"/>
              </w:rPr>
              <w:t>OffSec / OSCP / OSCP+</w:t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512000" cy="365622"/>
                  <wp:docPr id="1" name="Picture 1" descr="OffSe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sec-on-ligh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365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803" w:hRule="atLeast"/>
          <w:cantSplit/>
        </w:trPr>
        <w:tc>
          <w:tcPr>
            <w:tcW w:type="dxa" w:w="680"/>
            <w:tcMar>
              <w:top w:w="0" w:type="dxa"/>
              <w:bottom w:w="0" w:type="dxa"/>
              <w:start w:w="0" w:type="dxa"/>
              <w:end w:w="0" w:type="dxa"/>
            </w:tcMar>
            <w:shd w:fill="FF5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</w:tc>
        <w:tc>
          <w:tcPr>
            <w:tcW w:type="dxa" w:w="11225"/>
            <w:shd w:fill="FFFFFF"/>
            <w:tcMar>
              <w:top w:w="0" w:type="dxa"/>
              <w:bottom w:w="0" w:type="dxa"/>
              <w:start w:w="680" w:type="dxa"/>
              <w:end w:w="1361" w:type="dxa"/>
            </w:tcMar>
            <w:vAlign w:val="center"/>
          </w:tcPr>
          <w:p>
            <w:pPr>
              <w:pStyle w:val="Title"/>
              <w:keepNext w:val="0"/>
              <w:spacing w:before="0" w:after="0" w:line="274" w:lineRule="auto"/>
              <w:jc w:val="center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  <w:r>
              <w:rPr>
                <w:rFonts w:ascii="Calibri" w:hAnsi="Calibri"/>
                <w:b/>
                <w:color w:val="182B3B"/>
                <w:sz w:val="64"/>
              </w:rPr>
              <w:t>Security assessment</w:t>
            </w:r>
          </w:p>
          <w:p>
            <w:pPr>
              <w:spacing w:before="340" w:after="0" w:line="276" w:lineRule="auto"/>
              <w:jc w:val="center"/>
            </w:pPr>
            <w:r>
              <w:rPr>
                <w:rFonts w:ascii="Calibri" w:hAnsi="Calibri"/>
                <w:b w:val="0"/>
                <w:color w:val="182B3B"/>
                <w:sz w:val="24"/>
              </w:rPr>
              <w:t>OSCP / OSCP+ / Fictional sample</w:t>
            </w:r>
          </w:p>
        </w:tc>
      </w:tr>
      <w:tr>
        <w:trPr>
          <w:trHeight w:val="4989" w:hRule="atLeast"/>
          <w:cantSplit/>
        </w:trPr>
        <w:tc>
          <w:tcPr>
            <w:tcW w:type="dxa" w:w="680"/>
            <w:tcMar>
              <w:top w:w="0" w:type="dxa"/>
              <w:bottom w:w="0" w:type="dxa"/>
              <w:start w:w="0" w:type="dxa"/>
              <w:end w:w="0" w:type="dxa"/>
            </w:tcMar>
            <w:shd w:fill="FF5500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</w:tc>
        <w:tc>
          <w:tcPr>
            <w:tcW w:type="dxa" w:w="11225"/>
            <w:shd w:fill="FFFFFF"/>
            <w:vAlign w:val="bottom"/>
            <w:tcMar>
              <w:top w:w="0" w:type="dxa"/>
              <w:bottom w:w="1020" w:type="dxa"/>
              <w:start w:w="680" w:type="dxa"/>
              <w:end w:w="1361" w:type="dxa"/>
            </w:tcMar>
          </w:tcPr>
          <w:p>
            <w:pPr>
              <w:spacing w:before="0" w:after="0" w:line="20" w:lineRule="exact"/>
              <w:jc w:val="left"/>
            </w:pPr>
            <w:r>
              <w:rPr>
                <w:rFonts w:ascii="Calibri" w:hAnsi="Calibri"/>
                <w:b w:val="0"/>
                <w:color w:val="182B3B"/>
                <w:sz w:val="2"/>
              </w:rPr>
            </w:r>
            <w:r>
              <w:rPr>
                <w:rFonts w:ascii="Calibri" w:hAnsi="Calibri"/>
                <w:b w:val="0"/>
                <w:color w:val="182B3B"/>
                <w:sz w:val="2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  <w:tcBorders>
                    <w:top w:val="single" w:color="BAC8D2" w:sz="4"/>
                  </w:tcBorders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Client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Aurora Lab</w:t>
                  </w:r>
                </w:p>
              </w:tc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  <w:tcBorders>
                    <w:top w:val="single" w:color="BAC8D2" w:sz="4"/>
                  </w:tcBorders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OSID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LAB-042</w:t>
                  </w:r>
                </w:p>
              </w:tc>
            </w:tr>
            <w:tr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Email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analista@example.test</w:t>
                  </w:r>
                </w:p>
              </w:tc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Assessor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Example Analyst</w:t>
                  </w:r>
                </w:p>
              </w:tc>
            </w:tr>
            <w:tr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Date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2026-10-03</w:t>
                  </w:r>
                </w:p>
              </w:tc>
              <w:tc>
                <w:tcPr>
                  <w:tcW w:type="dxa" w:w="4592"/>
                  <w:tcMar>
                    <w:top w:w="170" w:type="dxa"/>
                    <w:bottom w:w="227" w:type="dxa"/>
                    <w:start w:w="0" w:type="dxa"/>
                    <w:end w:w="283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18"/>
                    </w:rPr>
                    <w:t>Version</w:t>
                  </w:r>
                </w:p>
                <w:p>
                  <w:pPr>
                    <w:spacing w:before="60" w:after="0" w:line="276" w:lineRule="auto"/>
                    <w:jc w:val="left"/>
                  </w:pPr>
                  <w:r>
                    <w:rPr>
                      <w:rFonts w:ascii="Calibri" w:hAnsi="Calibri"/>
                      <w:b w:val="0"/>
                      <w:color w:val="182B3B"/>
                      <w:sz w:val="21"/>
                    </w:rPr>
                    <w:t>1.0</w:t>
                  </w:r>
                </w:p>
              </w:tc>
            </w:tr>
          </w:tbl>
          <w:p>
            <w:pPr>
              <w:spacing w:before="280" w:after="0"/>
              <w:jc w:val="center"/>
            </w:pPr>
            <w:r>
              <w:rPr>
                <w:rFonts w:ascii="Calibri" w:hAnsi="Calibri"/>
                <w:b w:val="0"/>
                <w:color w:val="182B3B"/>
                <w:sz w:val="15"/>
              </w:rPr>
              <w:t>CONFIDENTIAL</w:t>
            </w:r>
          </w:p>
        </w:tc>
      </w:tr>
    </w:tbl>
    <w:p>
      <w:pPr>
        <w:spacing w:before="0" w:after="0" w:line="20" w:lineRule="exact"/>
        <w:sectPr>
          <w:pgSz w:w="11906" w:h="16838"/>
          <w:pgMar w:top="0" w:right="0" w:bottom="0" w:left="0" w:header="720" w:footer="720" w:gutter="0"/>
          <w:cols w:space="720"/>
          <w:docGrid w:linePitch="360"/>
        </w:sectPr>
      </w:pPr>
      <w:r>
        <w:rPr>
          <w:sz w:val="2"/>
        </w:rPr>
      </w:r>
    </w:p>
    <w:p>
      <w:pPr>
        <w:pStyle w:val="Heading1"/>
        <w:keepNext/>
        <w:keepLines/>
      </w:pPr>
      <w:r>
        <w:rPr>
          <w:b/>
          <w:color w:val="CE4400"/>
        </w:rPr>
        <w:t xml:space="preserve">1  </w:t>
      </w:r>
      <w:r>
        <w:rPr>
          <w:b/>
          <w:color w:val="182B3B"/>
          <w:sz w:val="34"/>
        </w:rPr>
        <w:t>Work summary</w:t>
      </w:r>
    </w:p>
    <w:p>
      <w:r>
        <w:rPr>
          <w:b w:val="0"/>
          <w:i w:val="0"/>
        </w:rPr>
        <w:t>This fictional sample demonstrates the report layout. No customer was assessed. The scope is an isolated training environment. Replace this text with the demonstrated results of your own work.</w:t>
      </w:r>
    </w:p>
    <w:p>
      <w:r>
        <w:rPr>
          <w:b w:val="0"/>
          <w:i w:val="0"/>
        </w:rPr>
        <w:t>The example documents one permitted validation, the evidence collected and the remaining verification. Technical conclusions require reproducible evidence and explicit limitations.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  <w:color w:val="CE4400"/>
        </w:rPr>
        <w:t xml:space="preserve">2  </w:t>
      </w:r>
      <w:r>
        <w:rPr>
          <w:b/>
          <w:color w:val="182B3B"/>
          <w:sz w:val="34"/>
        </w:rPr>
        <w:t>Scope and rules</w:t>
      </w:r>
    </w:p>
    <w:p>
      <w:r>
        <w:rPr>
          <w:b w:val="0"/>
          <w:i w:val="0"/>
        </w:rPr>
        <w:t>Record the test conditions, version and timestamp before comparing results. In this example, the command inventories a local evidence directory without contacting a target.</w:t>
      </w:r>
    </w:p>
    <w:p>
      <w:pPr>
        <w:shd w:val="clear" w:fill="182b3b"/>
        <w:pBdr>
          <w:left w:val="single" w:sz="18" w:space="4" w:color="CE4400"/>
        </w:pBdr>
        <w:spacing w:before="60" w:after="60"/>
        <w:ind w:left="113"/>
      </w:pPr>
      <w:r>
        <w:rPr>
          <w:rFonts w:ascii="DejaVu Sans Mono" w:hAnsi="DejaVu Sans Mono"/>
          <w:color w:val="E9E9F2"/>
          <w:sz w:val="18"/>
        </w:rPr>
        <w:t>find ./evidence -type f -print</w:t>
      </w:r>
      <w:r>
        <w:br/>
      </w:r>
      <w:r>
        <w:rPr>
          <w:rFonts w:ascii="DejaVu Sans Mono" w:hAnsi="DejaVu Sans Mono"/>
          <w:color w:val="E9E9F2"/>
          <w:sz w:val="18"/>
        </w:rPr>
        <w:t>sha256sum ./evidence/session.txt</w:t>
      </w:r>
    </w:p>
    <w:p>
      <w:r>
        <w:rPr>
          <w:b w:val="0"/>
          <w:i w:val="0"/>
        </w:rPr>
        <w:t>The example output is illustrative. Preserve the original files and connect every conclusion to its evidence identifier.</w:t>
      </w:r>
    </w:p>
    <w:tbl>
      <w:tblPr>
        <w:tblStyle w:val="TableGrid"/>
        <w:tblW w:type="dxa" w:w="9866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  <w:cantSplit/>
        </w:trPr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/>
                <w:i w:val="0"/>
              </w:rPr>
              <w:t>Evidence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/>
                <w:i w:val="0"/>
              </w:rPr>
              <w:t>Source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/>
                <w:i w:val="0"/>
              </w:rPr>
              <w:t>Status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EV-001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Local session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Illustrative</w:t>
            </w:r>
          </w:p>
        </w:tc>
      </w:tr>
      <w:tr>
        <w:trPr>
          <w:cantSplit/>
        </w:trPr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EV-002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Configuration snapshot</w:t>
            </w:r>
          </w:p>
        </w:tc>
        <w:tc>
          <w:tcPr>
            <w:tcW w:type="dxa" w:w="3289"/>
          </w:tcPr>
          <w:p>
            <w:pPr>
              <w:keepNext w:val="0"/>
              <w:keepLines/>
            </w:pPr>
            <w:r>
              <w:rPr>
                <w:b w:val="0"/>
                <w:i w:val="0"/>
              </w:rPr>
              <w:t>Illustrative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</w:pPr>
    <w:r>
      <w:rPr>
        <w:rFonts w:ascii="DejaVu Sans Mono" w:hAnsi="DejaVu Sans Mono"/>
        <w:color w:val="536273"/>
        <w:sz w:val="15"/>
      </w:rPr>
      <w:t>Example Analyst</w:t>
    </w:r>
    <w:r>
      <w:rPr>
        <w:rFonts w:ascii="DejaVu Sans Mono" w:hAnsi="DejaVu Sans Mono"/>
        <w:color w:val="536273"/>
        <w:sz w:val="15"/>
      </w:rPr>
      <w:tab/>
      <w:t xml:space="preserve">Page </w:t>
    </w:r>
    <w:r>
      <w:fldChar w:fldCharType="begin"/>
      <w:instrText xml:space="preserve">PAGE</w:instrText>
      <w:fldChar w:fldCharType="end"/>
    </w:r>
    <w:r>
      <w:rPr>
        <w:rFonts w:ascii="DejaVu Sans Mono" w:hAnsi="DejaVu Sans Mono"/>
        <w:color w:val="536273"/>
        <w:sz w:val="15"/>
      </w:rPr>
      <w:t xml:space="preserve"> of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</w:tabs>
      <w:pBdr>
        <w:bottom w:val="single" w:sz="4" w:space="2" w:color="ced6dd"/>
      </w:pBdr>
    </w:pPr>
    <w:r>
      <w:rPr>
        <w:rFonts w:ascii="DejaVu Sans Mono" w:hAnsi="DejaVu Sans Mono"/>
        <w:b/>
        <w:color w:val="CE4400"/>
        <w:sz w:val="16"/>
      </w:rPr>
      <w:t>AURORA LAB</w:t>
    </w:r>
    <w:r>
      <w:rPr>
        <w:rFonts w:ascii="DejaVu Sans Mono" w:hAnsi="DejaVu Sans Mono"/>
        <w:color w:val="536273"/>
        <w:sz w:val="15"/>
      </w:rPr>
      <w:tab/>
      <w:t>CONFIDENTIAL  |  v1.0  |  2026-10-03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9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49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1495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1495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362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