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596" w:rsidRPr="00EC6142" w:rsidRDefault="00BE40CD">
      <w:pPr>
        <w:pStyle w:val="aff"/>
        <w:jc w:val="center"/>
        <w:rPr>
          <w:lang w:val="ru-RU"/>
        </w:rPr>
      </w:pPr>
      <w:bookmarkStart w:id="0" w:name="_GoBack"/>
      <w:bookmarkEnd w:id="0"/>
      <w:r w:rsidRPr="00EC6142">
        <w:rPr>
          <w:lang w:val="ru-RU"/>
        </w:rPr>
        <w:t>СОДЕРЖАНИЕ</w:t>
      </w:r>
    </w:p>
    <w:p w:rsidR="00CC1596" w:rsidRPr="00EC6142" w:rsidRDefault="00BE40CD">
      <w:pPr>
        <w:keepNext/>
        <w:spacing w:line="240" w:lineRule="auto"/>
        <w:ind w:firstLine="0"/>
        <w:rPr>
          <w:noProof/>
          <w:lang w:val="ru-RU"/>
        </w:rPr>
      </w:pPr>
      <w:r>
        <w:fldChar w:fldCharType="begin"/>
      </w:r>
      <w:r w:rsidRPr="00EC6142">
        <w:rPr>
          <w:lang w:val="ru-RU"/>
        </w:rPr>
        <w:instrText xml:space="preserve"> </w:instrText>
      </w:r>
      <w:r>
        <w:instrText>TOC</w:instrText>
      </w:r>
      <w:r w:rsidRPr="00EC6142">
        <w:rPr>
          <w:lang w:val="ru-RU"/>
        </w:rPr>
        <w:instrText xml:space="preserve"> \</w:instrText>
      </w:r>
      <w:r>
        <w:instrText>o</w:instrText>
      </w:r>
      <w:r w:rsidRPr="00EC6142">
        <w:rPr>
          <w:lang w:val="ru-RU"/>
        </w:rPr>
        <w:instrText xml:space="preserve"> "1-2" \</w:instrText>
      </w:r>
      <w:r>
        <w:instrText>h</w:instrText>
      </w:r>
      <w:r w:rsidRPr="00EC6142">
        <w:rPr>
          <w:lang w:val="ru-RU"/>
        </w:rPr>
        <w:instrText xml:space="preserve"> \</w:instrText>
      </w:r>
      <w:r>
        <w:instrText>z</w:instrText>
      </w:r>
      <w:r w:rsidRPr="00EC6142">
        <w:rPr>
          <w:lang w:val="ru-RU"/>
        </w:rPr>
        <w:instrText xml:space="preserve"> \</w:instrText>
      </w:r>
      <w:r>
        <w:instrText>u</w:instrText>
      </w:r>
      <w:r w:rsidRPr="00EC6142">
        <w:rPr>
          <w:lang w:val="ru-RU"/>
        </w:rPr>
        <w:instrText xml:space="preserve"> </w:instrText>
      </w:r>
      <w:r>
        <w:fldChar w:fldCharType="separate"/>
      </w:r>
    </w:p>
    <w:p w:rsidR="00CC1596" w:rsidRPr="00EC6142" w:rsidRDefault="00BE40CD">
      <w:pPr>
        <w:pStyle w:val="110"/>
        <w:rPr>
          <w:noProof/>
          <w:lang w:val="ru-RU"/>
        </w:rPr>
      </w:pPr>
      <w:r w:rsidRPr="00EC6142">
        <w:rPr>
          <w:noProof/>
          <w:lang w:val="ru-RU"/>
        </w:rPr>
        <w:t>ВВЕДЕНИЕ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_01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3</w:t>
      </w:r>
      <w:r>
        <w:rPr>
          <w:noProof/>
        </w:rPr>
        <w:fldChar w:fldCharType="end"/>
      </w:r>
    </w:p>
    <w:p w:rsidR="00CC1596" w:rsidRPr="00EC6142" w:rsidRDefault="00BE40CD">
      <w:pPr>
        <w:pStyle w:val="110"/>
        <w:rPr>
          <w:noProof/>
          <w:lang w:val="ru-RU"/>
        </w:rPr>
      </w:pPr>
      <w:r w:rsidRPr="00EC6142">
        <w:rPr>
          <w:noProof/>
          <w:lang w:val="ru-RU"/>
        </w:rPr>
        <w:t>1 ИССЛЕДОВАТЕЛЬСКИЙ ЭТАП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_02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CC1596" w:rsidRPr="00EC6142" w:rsidRDefault="00BE40CD">
      <w:pPr>
        <w:pStyle w:val="210"/>
        <w:rPr>
          <w:noProof/>
          <w:lang w:val="ru-RU"/>
        </w:rPr>
      </w:pPr>
      <w:r w:rsidRPr="00EC6142">
        <w:rPr>
          <w:noProof/>
          <w:lang w:val="ru-RU"/>
        </w:rPr>
        <w:t>1.1 Характеристика предметной области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_03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5</w:t>
      </w:r>
      <w:r>
        <w:rPr>
          <w:noProof/>
        </w:rPr>
        <w:fldChar w:fldCharType="end"/>
      </w:r>
    </w:p>
    <w:p w:rsidR="00CC1596" w:rsidRPr="00EC6142" w:rsidRDefault="00BE40CD">
      <w:pPr>
        <w:pStyle w:val="210"/>
        <w:rPr>
          <w:noProof/>
          <w:lang w:val="ru-RU"/>
        </w:rPr>
      </w:pPr>
      <w:r w:rsidRPr="00EC6142">
        <w:rPr>
          <w:noProof/>
          <w:lang w:val="ru-RU"/>
        </w:rPr>
        <w:t xml:space="preserve">1.2 История развития процесса в России в </w:t>
      </w:r>
      <w:r>
        <w:rPr>
          <w:noProof/>
        </w:rPr>
        <w:t>XXI</w:t>
      </w:r>
      <w:r w:rsidRPr="00EC6142">
        <w:rPr>
          <w:noProof/>
          <w:lang w:val="ru-RU"/>
        </w:rPr>
        <w:t xml:space="preserve"> веке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_04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CC1596" w:rsidRPr="00EC6142" w:rsidRDefault="00BE40CD">
      <w:pPr>
        <w:pStyle w:val="210"/>
        <w:rPr>
          <w:noProof/>
          <w:lang w:val="ru-RU"/>
        </w:rPr>
      </w:pPr>
      <w:r w:rsidRPr="00EC6142">
        <w:rPr>
          <w:noProof/>
          <w:lang w:val="ru-RU"/>
        </w:rPr>
        <w:t>1.3 Современное состояние и нормативные условия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_05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7</w:t>
      </w:r>
      <w:r>
        <w:rPr>
          <w:noProof/>
        </w:rPr>
        <w:fldChar w:fldCharType="end"/>
      </w:r>
    </w:p>
    <w:p w:rsidR="00CC1596" w:rsidRPr="00EC6142" w:rsidRDefault="00BE40CD">
      <w:pPr>
        <w:pStyle w:val="210"/>
        <w:rPr>
          <w:noProof/>
          <w:lang w:val="ru-RU"/>
        </w:rPr>
      </w:pPr>
      <w:r w:rsidRPr="00EC6142">
        <w:rPr>
          <w:noProof/>
          <w:lang w:val="ru-RU"/>
        </w:rPr>
        <w:t>1.4 Обзор исследований и обоснование автоматизации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_06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9</w:t>
      </w:r>
      <w:r>
        <w:rPr>
          <w:noProof/>
        </w:rPr>
        <w:fldChar w:fldCharType="end"/>
      </w:r>
    </w:p>
    <w:p w:rsidR="00CC1596" w:rsidRPr="00EC6142" w:rsidRDefault="00BE40CD">
      <w:pPr>
        <w:pStyle w:val="210"/>
        <w:rPr>
          <w:noProof/>
          <w:lang w:val="ru-RU"/>
        </w:rPr>
      </w:pPr>
      <w:r w:rsidRPr="00EC6142">
        <w:rPr>
          <w:noProof/>
          <w:lang w:val="ru-RU"/>
        </w:rPr>
        <w:t>1.5 Описание основного бизнес-процесса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_07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11</w:t>
      </w:r>
      <w:r>
        <w:rPr>
          <w:noProof/>
        </w:rPr>
        <w:fldChar w:fldCharType="end"/>
      </w:r>
    </w:p>
    <w:p w:rsidR="00CC1596" w:rsidRPr="00EC6142" w:rsidRDefault="00BE40CD">
      <w:pPr>
        <w:pStyle w:val="210"/>
        <w:rPr>
          <w:noProof/>
          <w:lang w:val="ru-RU"/>
        </w:rPr>
      </w:pPr>
      <w:r w:rsidRPr="00EC6142">
        <w:rPr>
          <w:noProof/>
          <w:lang w:val="ru-RU"/>
        </w:rPr>
        <w:t>1.6 Среда разработки и система контроля версий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_08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15</w:t>
      </w:r>
      <w:r>
        <w:rPr>
          <w:noProof/>
        </w:rPr>
        <w:fldChar w:fldCharType="end"/>
      </w:r>
    </w:p>
    <w:p w:rsidR="00CC1596" w:rsidRPr="00EC6142" w:rsidRDefault="00BE40CD">
      <w:pPr>
        <w:pStyle w:val="210"/>
        <w:rPr>
          <w:noProof/>
          <w:lang w:val="ru-RU"/>
        </w:rPr>
      </w:pPr>
      <w:r w:rsidRPr="00EC6142">
        <w:rPr>
          <w:noProof/>
          <w:lang w:val="ru-RU"/>
        </w:rPr>
        <w:t>1.7 Выводы по исследовательскому этапу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_09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17</w:t>
      </w:r>
      <w:r>
        <w:rPr>
          <w:noProof/>
        </w:rPr>
        <w:fldChar w:fldCharType="end"/>
      </w:r>
    </w:p>
    <w:p w:rsidR="00CC1596" w:rsidRPr="00EC6142" w:rsidRDefault="00BE40CD">
      <w:pPr>
        <w:pStyle w:val="110"/>
        <w:rPr>
          <w:noProof/>
          <w:lang w:val="ru-RU"/>
        </w:rPr>
      </w:pPr>
      <w:r w:rsidRPr="00EC6142">
        <w:rPr>
          <w:noProof/>
          <w:lang w:val="ru-RU"/>
        </w:rPr>
        <w:t>СПИСОК ИСПОЛЬЗОВАННЫХ ИСТОЧНИКОВ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_10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19</w:t>
      </w:r>
      <w:r>
        <w:rPr>
          <w:noProof/>
        </w:rPr>
        <w:fldChar w:fldCharType="end"/>
      </w:r>
    </w:p>
    <w:p w:rsidR="00CC1596" w:rsidRPr="00EC6142" w:rsidRDefault="00BE40CD">
      <w:pPr>
        <w:pStyle w:val="110"/>
        <w:rPr>
          <w:noProof/>
          <w:lang w:val="ru-RU"/>
        </w:rPr>
      </w:pPr>
      <w:r w:rsidRPr="00EC6142">
        <w:rPr>
          <w:noProof/>
          <w:lang w:val="ru-RU"/>
        </w:rPr>
        <w:t>ПРИЛОЖЕНИЕ А</w:t>
      </w:r>
      <w:r w:rsidRPr="00EC6142">
        <w:rPr>
          <w:noProof/>
          <w:lang w:val="ru-RU"/>
        </w:rPr>
        <w:tab/>
      </w:r>
      <w:r>
        <w:rPr>
          <w:noProof/>
        </w:rPr>
        <w:fldChar w:fldCharType="begin"/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EC6142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EC6142">
        <w:rPr>
          <w:noProof/>
          <w:lang w:val="ru-RU"/>
        </w:rPr>
        <w:instrText>_11 \</w:instrText>
      </w:r>
      <w:r>
        <w:rPr>
          <w:noProof/>
        </w:rPr>
        <w:instrText>h</w:instrText>
      </w:r>
      <w:r w:rsidRPr="00EC6142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EC6142">
        <w:rPr>
          <w:noProof/>
          <w:lang w:val="ru-RU"/>
        </w:rPr>
        <w:t>22</w:t>
      </w:r>
      <w:r>
        <w:rPr>
          <w:noProof/>
        </w:rPr>
        <w:fldChar w:fldCharType="end"/>
      </w:r>
    </w:p>
    <w:p w:rsidR="00CC1596" w:rsidRPr="00EC6142" w:rsidRDefault="00BE40CD">
      <w:pPr>
        <w:spacing w:line="240" w:lineRule="auto"/>
        <w:rPr>
          <w:lang w:val="ru-RU"/>
        </w:rPr>
      </w:pPr>
      <w:r>
        <w:fldChar w:fldCharType="end"/>
      </w:r>
    </w:p>
    <w:p w:rsidR="00CC1596" w:rsidRPr="00EC6142" w:rsidRDefault="00BE40CD">
      <w:pPr>
        <w:pStyle w:val="1"/>
        <w:rPr>
          <w:lang w:val="ru-RU"/>
        </w:rPr>
      </w:pPr>
      <w:bookmarkStart w:id="1" w:name="_TOC_01"/>
      <w:r w:rsidRPr="00EC6142">
        <w:rPr>
          <w:lang w:val="ru-RU"/>
        </w:rPr>
        <w:lastRenderedPageBreak/>
        <w:t>ВВЕДЕНИЕ</w:t>
      </w:r>
      <w:bookmarkEnd w:id="1"/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Потребительское кредитование в микрофинансовой организации связано с предоставлением физическим лицам небольших займов на личные цели. Для организации важно своевременно обработать обращение клиента, проверить сведения о нём</w:t>
      </w:r>
      <w:r w:rsidRPr="00EC6142">
        <w:rPr>
          <w:lang w:val="ru-RU"/>
        </w:rPr>
        <w:t xml:space="preserve"> и принять обоснованное решение. По данным Банка России, во </w:t>
      </w:r>
      <w:r>
        <w:t>II</w:t>
      </w:r>
      <w:r w:rsidRPr="00EC6142">
        <w:rPr>
          <w:lang w:val="ru-RU"/>
        </w:rPr>
        <w:t xml:space="preserve"> квартале 2026 года объём выдач займов населению составил 426 млрд рублей, а уровень одобрения заявок в потребительском сегменте — 39 %. Эти показатели характеризуют масштаб операций и значимост</w:t>
      </w:r>
      <w:r w:rsidRPr="00EC6142">
        <w:rPr>
          <w:lang w:val="ru-RU"/>
        </w:rPr>
        <w:t>ь проверки заявок [1].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Актуальность темы для программной инженерии определяется необходимостью согласованного хранения данных о заявке, результатах проверок и принятом решении. При раздельном ведении этих сведений в анкетах, таблицах и документах сотрудник</w:t>
      </w:r>
      <w:r w:rsidRPr="00EC6142">
        <w:rPr>
          <w:lang w:val="ru-RU"/>
        </w:rPr>
        <w:t xml:space="preserve"> повторно вводит данные и вручную контролирует последовательность действий. Информационная система должна сделать состояние заявки понятным, обеспечить проверку обязательных данных и сохранить основания решения.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Объект исследования — процесс рассмотрения з</w:t>
      </w:r>
      <w:r w:rsidRPr="00EC6142">
        <w:rPr>
          <w:lang w:val="ru-RU"/>
        </w:rPr>
        <w:t>аявок физических лиц на потребительские микрозаймы в микрофинансовой организации.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Предмет исследования — информационные потоки, последовательность операций и средства автоматизации рассмотрения заявки до принятия и доведения решения до заявителя.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Цель учеб</w:t>
      </w:r>
      <w:r w:rsidRPr="00EC6142">
        <w:rPr>
          <w:lang w:val="ru-RU"/>
        </w:rPr>
        <w:t>ной практики — разработать модель и учебный программный прототип информационной системы, обеспечивающей учёт и обработку заявок физических лиц на потребительские микрозаймы.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Для достижения цели практики необходимо решить следующие задачи: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— на исследовател</w:t>
      </w:r>
      <w:r w:rsidRPr="00EC6142">
        <w:rPr>
          <w:lang w:val="ru-RU"/>
        </w:rPr>
        <w:t>ьском этапе изучить предметную область и историю развития процесса, определить его границы, подобрать источники, выполнить перевод и выбрать инструменты разработки;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lastRenderedPageBreak/>
        <w:t>— на аналитическом этапе построить модель процесса и логическую модель данных, выделить авт</w:t>
      </w:r>
      <w:r w:rsidRPr="00EC6142">
        <w:rPr>
          <w:lang w:val="ru-RU"/>
        </w:rPr>
        <w:t xml:space="preserve">оматизируемые операции, разработать алгоритмы и их процедурную реализацию на </w:t>
      </w:r>
      <w:r>
        <w:t>Python</w:t>
      </w:r>
      <w:r w:rsidRPr="00EC6142">
        <w:rPr>
          <w:lang w:val="ru-RU"/>
        </w:rPr>
        <w:t>;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— на организационном этапе определить роли и компетенции исполнителей, спроектировать классы и реализовать объектно-ориентированное решение на </w:t>
      </w:r>
      <w:r>
        <w:t>Java</w:t>
      </w:r>
      <w:r w:rsidRPr="00EC6142">
        <w:rPr>
          <w:lang w:val="ru-RU"/>
        </w:rPr>
        <w:t>;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— на проектном этапе </w:t>
      </w:r>
      <w:r w:rsidRPr="00EC6142">
        <w:rPr>
          <w:lang w:val="ru-RU"/>
        </w:rPr>
        <w:t>разработать физическую модель данных в СУБД, выполнить тестирование и оценить качество программного решения;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— на заключительном этапе обобщить результаты, дополнить отчёт и подготовить материалы для защиты.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В настоящем отчёте представлен только исследоват</w:t>
      </w:r>
      <w:r w:rsidRPr="00EC6142">
        <w:rPr>
          <w:lang w:val="ru-RU"/>
        </w:rPr>
        <w:t>ельский этап. Исследование выполнено по открытым научным публикациям, аналитическим материалам и стандартам Банка России. Использованы анализ документов, сопоставление результатов исследований и текстовая декомпозиция процесса. Рассматривается обобщённая м</w:t>
      </w:r>
      <w:r w:rsidRPr="00EC6142">
        <w:rPr>
          <w:lang w:val="ru-RU"/>
        </w:rPr>
        <w:t xml:space="preserve">одель небольшой </w:t>
      </w:r>
      <w:proofErr w:type="spellStart"/>
      <w:r w:rsidRPr="00EC6142">
        <w:rPr>
          <w:lang w:val="ru-RU"/>
        </w:rPr>
        <w:t>микрокредитной</w:t>
      </w:r>
      <w:proofErr w:type="spellEnd"/>
      <w:r w:rsidRPr="00EC6142">
        <w:rPr>
          <w:lang w:val="ru-RU"/>
        </w:rPr>
        <w:t xml:space="preserve"> компании, а не фактически обследованная организация. Сведения об интервью, внутренних регламентах конкретной компании и измеренных результатах внедрения не приводятся. Актуальность нормативных условий проверена по состоянию н</w:t>
      </w:r>
      <w:r w:rsidRPr="00EC6142">
        <w:rPr>
          <w:lang w:val="ru-RU"/>
        </w:rPr>
        <w:t>а 6 октября 2026 года.</w:t>
      </w:r>
    </w:p>
    <w:p w:rsidR="00CC1596" w:rsidRPr="00EC6142" w:rsidRDefault="00BE40CD">
      <w:pPr>
        <w:pStyle w:val="1"/>
        <w:rPr>
          <w:lang w:val="ru-RU"/>
        </w:rPr>
      </w:pPr>
      <w:bookmarkStart w:id="2" w:name="_TOC_02"/>
      <w:r w:rsidRPr="00EC6142">
        <w:rPr>
          <w:lang w:val="ru-RU"/>
        </w:rPr>
        <w:lastRenderedPageBreak/>
        <w:t>1 ИССЛЕДОВАТЕЛЬСКИЙ ЭТАП</w:t>
      </w:r>
      <w:bookmarkEnd w:id="2"/>
    </w:p>
    <w:p w:rsidR="00CC1596" w:rsidRPr="00EC6142" w:rsidRDefault="00BE40CD">
      <w:pPr>
        <w:pStyle w:val="21"/>
        <w:rPr>
          <w:lang w:val="ru-RU"/>
        </w:rPr>
      </w:pPr>
      <w:bookmarkStart w:id="3" w:name="_TOC_03"/>
      <w:r w:rsidRPr="00EC6142">
        <w:rPr>
          <w:lang w:val="ru-RU"/>
        </w:rPr>
        <w:t>1.1 Характеристика предметной области</w:t>
      </w:r>
      <w:bookmarkEnd w:id="3"/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Микрофинансовая организация (МФО) предоставляет денежные займы и относится к небанковским участникам финансового рынка. Российский сектор включает микрофинансовые компани</w:t>
      </w:r>
      <w:r w:rsidRPr="00EC6142">
        <w:rPr>
          <w:lang w:val="ru-RU"/>
        </w:rPr>
        <w:t xml:space="preserve">и (МФК) и </w:t>
      </w:r>
      <w:proofErr w:type="spellStart"/>
      <w:r w:rsidRPr="00EC6142">
        <w:rPr>
          <w:lang w:val="ru-RU"/>
        </w:rPr>
        <w:t>микрокредитные</w:t>
      </w:r>
      <w:proofErr w:type="spellEnd"/>
      <w:r w:rsidRPr="00EC6142">
        <w:rPr>
          <w:lang w:val="ru-RU"/>
        </w:rPr>
        <w:t xml:space="preserve"> компании (МКК). Эти виды организаций отличаются установленными возможностями и ограничениями деятельности. В работе рассматривается МКК, оказывающая услуги физическим лицам. С. Н. </w:t>
      </w:r>
      <w:proofErr w:type="spellStart"/>
      <w:r w:rsidRPr="00EC6142">
        <w:rPr>
          <w:lang w:val="ru-RU"/>
        </w:rPr>
        <w:t>Сайфиева</w:t>
      </w:r>
      <w:proofErr w:type="spellEnd"/>
      <w:r w:rsidRPr="00EC6142">
        <w:rPr>
          <w:lang w:val="ru-RU"/>
        </w:rPr>
        <w:t xml:space="preserve"> и соавторы связывают развитие рынка с сове</w:t>
      </w:r>
      <w:r w:rsidRPr="00EC6142">
        <w:rPr>
          <w:lang w:val="ru-RU"/>
        </w:rPr>
        <w:t>ршенствованием регулирования, применением цифровых технологий и расширением доступности финансовых услуг [2].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Название темы «Потребительское кредитование в микрофинансовой организации» сохраняется в соответствии с заданием. При описании операций использует</w:t>
      </w:r>
      <w:r w:rsidRPr="00EC6142">
        <w:rPr>
          <w:lang w:val="ru-RU"/>
        </w:rPr>
        <w:t>ся термин «потребительский микрозаём»: МФО предоставляет заём на цели, не связанные с предпринимательской деятельностью клиента. Рассматриваемый продукт — необеспеченный заём с заранее определёнными суммой и сроком. Займы предпринимателям, ипотечные продук</w:t>
      </w:r>
      <w:r w:rsidRPr="00EC6142">
        <w:rPr>
          <w:lang w:val="ru-RU"/>
        </w:rPr>
        <w:t>ты и кредитные линии в границы исследования не включены.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Основными сведениями при рассмотрении заявки являются данные заявителя, запрашиваемая сумма и срок займа, информация о доходах и действующих обязательствах, согласия на обработку и получение сведений</w:t>
      </w:r>
      <w:r w:rsidRPr="00EC6142">
        <w:rPr>
          <w:lang w:val="ru-RU"/>
        </w:rPr>
        <w:t>, результаты проверок и решение уполномоченного сотрудника. Заявка представляет собой обращение за финансированием. Её одобрение ещё не означает заключения договора или передачи денег клиенту.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Особенность предметной области состоит в сочетании оперативного</w:t>
      </w:r>
      <w:r w:rsidRPr="00EC6142">
        <w:rPr>
          <w:lang w:val="ru-RU"/>
        </w:rPr>
        <w:t xml:space="preserve"> обслуживания и контроля кредитного риска. Н. В. </w:t>
      </w:r>
      <w:proofErr w:type="spellStart"/>
      <w:r w:rsidRPr="00EC6142">
        <w:rPr>
          <w:lang w:val="ru-RU"/>
        </w:rPr>
        <w:t>Рейхерт</w:t>
      </w:r>
      <w:proofErr w:type="spellEnd"/>
      <w:r w:rsidRPr="00EC6142">
        <w:rPr>
          <w:lang w:val="ru-RU"/>
        </w:rPr>
        <w:t xml:space="preserve"> рассматривает проблемы регулирования и устойчивости российского рынка микрофинансирования. Для проектируемой системы из этого следует </w:t>
      </w:r>
      <w:r w:rsidRPr="00EC6142">
        <w:rPr>
          <w:lang w:val="ru-RU"/>
        </w:rPr>
        <w:lastRenderedPageBreak/>
        <w:t>необходимость учитывать ограничения продукта и возможность отказа</w:t>
      </w:r>
      <w:r w:rsidRPr="00EC6142">
        <w:rPr>
          <w:lang w:val="ru-RU"/>
        </w:rPr>
        <w:t>, а не сводить автоматизацию к ускорению выдачи денег [3].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В международной литературе микрофинансирование рассматривается шире российского потребительского сегмента: оно включает поддержку малого бизнеса, сбережения, цифровой кредит и гибкие условия погаше</w:t>
      </w:r>
      <w:r w:rsidRPr="00EC6142">
        <w:rPr>
          <w:lang w:val="ru-RU"/>
        </w:rPr>
        <w:t xml:space="preserve">ния. </w:t>
      </w:r>
      <w:r>
        <w:t>M</w:t>
      </w:r>
      <w:r w:rsidRPr="00EC6142">
        <w:rPr>
          <w:lang w:val="ru-RU"/>
        </w:rPr>
        <w:t xml:space="preserve">. </w:t>
      </w:r>
      <w:proofErr w:type="spellStart"/>
      <w:r>
        <w:t>Meki</w:t>
      </w:r>
      <w:proofErr w:type="spellEnd"/>
      <w:r w:rsidRPr="00EC6142">
        <w:rPr>
          <w:lang w:val="ru-RU"/>
        </w:rPr>
        <w:t xml:space="preserve"> и </w:t>
      </w:r>
      <w:r>
        <w:t>S</w:t>
      </w:r>
      <w:r w:rsidRPr="00EC6142">
        <w:rPr>
          <w:lang w:val="ru-RU"/>
        </w:rPr>
        <w:t xml:space="preserve">. </w:t>
      </w:r>
      <w:r>
        <w:t>Quinn</w:t>
      </w:r>
      <w:r w:rsidRPr="00EC6142">
        <w:rPr>
          <w:lang w:val="ru-RU"/>
        </w:rPr>
        <w:t xml:space="preserve"> показывают разнообразие поставщиков и моделей микрофинансирования. Поэтому зарубежные исследования используются для анализа управления риском и информацией, но не заменяют российские правила предоставления потребительских займов [4]</w:t>
      </w:r>
      <w:r w:rsidRPr="00EC6142">
        <w:rPr>
          <w:lang w:val="ru-RU"/>
        </w:rPr>
        <w:t>.</w:t>
      </w:r>
    </w:p>
    <w:p w:rsidR="00CC1596" w:rsidRPr="00EC6142" w:rsidRDefault="00BE40CD">
      <w:pPr>
        <w:pStyle w:val="21"/>
        <w:rPr>
          <w:lang w:val="ru-RU"/>
        </w:rPr>
      </w:pPr>
      <w:bookmarkStart w:id="4" w:name="_TOC_04"/>
      <w:r w:rsidRPr="00EC6142">
        <w:rPr>
          <w:lang w:val="ru-RU"/>
        </w:rPr>
        <w:t xml:space="preserve">1.2 История развития процесса в России в </w:t>
      </w:r>
      <w:r>
        <w:t>XXI</w:t>
      </w:r>
      <w:r w:rsidRPr="00EC6142">
        <w:rPr>
          <w:lang w:val="ru-RU"/>
        </w:rPr>
        <w:t xml:space="preserve"> веке</w:t>
      </w:r>
      <w:bookmarkEnd w:id="4"/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В начале </w:t>
      </w:r>
      <w:r>
        <w:t>XXI</w:t>
      </w:r>
      <w:r w:rsidRPr="00EC6142">
        <w:rPr>
          <w:lang w:val="ru-RU"/>
        </w:rPr>
        <w:t xml:space="preserve"> века небольшие займы предоставлялись преимущественно через непосредственное обращение клиента в офис. Сотрудник принимал документы, проверял сведения и оформлял результат рассмотрения. Для </w:t>
      </w:r>
      <w:r w:rsidRPr="00EC6142">
        <w:rPr>
          <w:lang w:val="ru-RU"/>
        </w:rPr>
        <w:t>такого способа работы были характерны зависимость от рабочего времени офиса и значительная доля ручных операций. Это укрупнённое описание развития процесса, а не статистическая оценка распространённости конкретной технологии.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Правовой основой выделения мик</w:t>
      </w:r>
      <w:r w:rsidRPr="00EC6142">
        <w:rPr>
          <w:lang w:val="ru-RU"/>
        </w:rPr>
        <w:t>рофинансирования в самостоятельный сегмент стало принятие Федерального закона от 2 июля 2010 года № 151-ФЗ. Последующее развитие регулирования включало надзор Банка России и разделение организаций на МФК и МКК. Исторические изменения нормативной базы и сос</w:t>
      </w:r>
      <w:r w:rsidRPr="00EC6142">
        <w:rPr>
          <w:lang w:val="ru-RU"/>
        </w:rPr>
        <w:t xml:space="preserve">тояния рынка рассмотрены в исследовании С. Н. </w:t>
      </w:r>
      <w:proofErr w:type="spellStart"/>
      <w:r w:rsidRPr="00EC6142">
        <w:rPr>
          <w:lang w:val="ru-RU"/>
        </w:rPr>
        <w:t>Сайфиевой</w:t>
      </w:r>
      <w:proofErr w:type="spellEnd"/>
      <w:r w:rsidRPr="00EC6142">
        <w:rPr>
          <w:lang w:val="ru-RU"/>
        </w:rPr>
        <w:t xml:space="preserve"> и соавторов [2].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По мере распространения интернет-сервисов часть операций стала выполняться дистанционно. Клиент получил возможность направлять заявку через электронную форму, а организация — использо</w:t>
      </w:r>
      <w:r w:rsidRPr="00EC6142">
        <w:rPr>
          <w:lang w:val="ru-RU"/>
        </w:rPr>
        <w:t xml:space="preserve">вать централизованные сведения о заявках и результаты внешних проверок. По материалам Банка </w:t>
      </w:r>
      <w:r w:rsidRPr="00EC6142">
        <w:rPr>
          <w:lang w:val="ru-RU"/>
        </w:rPr>
        <w:lastRenderedPageBreak/>
        <w:t xml:space="preserve">России за 2024 год, МФО выдали потребительских займов на 1,4 трлн рублей, что на 55 % превышало значение 2023 года. Эти данные показывают рост нагрузки на операции </w:t>
      </w:r>
      <w:r w:rsidRPr="00EC6142">
        <w:rPr>
          <w:lang w:val="ru-RU"/>
        </w:rPr>
        <w:t>приёма и обработки обращений [5].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В 2025 году развитие рынка сопровождалось мерами против закредитованности граждан и изменением подходов к оценке дохода. С 1 января 2026 года для МФО исключена возможность применять </w:t>
      </w:r>
      <w:proofErr w:type="spellStart"/>
      <w:r w:rsidRPr="00EC6142">
        <w:rPr>
          <w:lang w:val="ru-RU"/>
        </w:rPr>
        <w:t>невалидируемые</w:t>
      </w:r>
      <w:proofErr w:type="spellEnd"/>
      <w:r w:rsidRPr="00EC6142">
        <w:rPr>
          <w:lang w:val="ru-RU"/>
        </w:rPr>
        <w:t xml:space="preserve"> Банком России внутренние </w:t>
      </w:r>
      <w:r w:rsidRPr="00EC6142">
        <w:rPr>
          <w:lang w:val="ru-RU"/>
        </w:rPr>
        <w:t>методики оценки дохода по отдельным категориям займов. При отсутствии официального подтверждения дохода предусмотрен регламентированный расчётный подход. Эти изменения отражены в обзоре Банка России за 2025 год [6].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Таким образом, процесс развивался от обр</w:t>
      </w:r>
      <w:r w:rsidRPr="00EC6142">
        <w:rPr>
          <w:lang w:val="ru-RU"/>
        </w:rPr>
        <w:t xml:space="preserve">аботки обращения в офисе к регистрации и проверке заявки с использованием цифровых данных. Изменился и предмет контроля: кроме корректности анкеты необходимо учитывать долговую нагрузку, ограничения на предоставление займа и действующую версию правил. Для </w:t>
      </w:r>
      <w:r w:rsidRPr="00EC6142">
        <w:rPr>
          <w:lang w:val="ru-RU"/>
        </w:rPr>
        <w:t>информационной системы это означает необходимость хранить не только итоговое решение, но и использованные сведения и результаты проверок.</w:t>
      </w:r>
    </w:p>
    <w:p w:rsidR="00CC1596" w:rsidRPr="00EC6142" w:rsidRDefault="00BE40CD">
      <w:pPr>
        <w:pStyle w:val="21"/>
        <w:rPr>
          <w:lang w:val="ru-RU"/>
        </w:rPr>
      </w:pPr>
      <w:bookmarkStart w:id="5" w:name="_TOC_05"/>
      <w:r w:rsidRPr="00EC6142">
        <w:rPr>
          <w:lang w:val="ru-RU"/>
        </w:rPr>
        <w:t>1.3 Современное состояние и нормативные условия</w:t>
      </w:r>
      <w:bookmarkEnd w:id="5"/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Действующий Базовый стандарт совершения микрофинансовой организацией о</w:t>
      </w:r>
      <w:r w:rsidRPr="00EC6142">
        <w:rPr>
          <w:lang w:val="ru-RU"/>
        </w:rPr>
        <w:t>пераций на финансовом рынке утверждён Банком России 24 апреля 2025 года. Он предусматривает предоставление информации об условиях займа, приём и рассмотрение заявления, проверку оснований для отказа, принятие решения и информирование клиента. Стандарт такж</w:t>
      </w:r>
      <w:r w:rsidRPr="00EC6142">
        <w:rPr>
          <w:lang w:val="ru-RU"/>
        </w:rPr>
        <w:t>е требует оценки платёжеспособности по документам и другим источникам, включая сведения бюро кредитных историй [7].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Отдельное значение имеют понятность условий услуги и защита получателя финансовых услуг. Для анализа использована действующая редакция </w:t>
      </w:r>
      <w:r w:rsidRPr="00EC6142">
        <w:rPr>
          <w:lang w:val="ru-RU"/>
        </w:rPr>
        <w:lastRenderedPageBreak/>
        <w:t>Базов</w:t>
      </w:r>
      <w:r w:rsidRPr="00EC6142">
        <w:rPr>
          <w:lang w:val="ru-RU"/>
        </w:rPr>
        <w:t>ого стандарта защиты прав и интересов получателей финансовых услуг, утверждённая 7 мая 2026 года и применяемая с 1 июля 2026 года. Для учебной системы это служит основанием предусмотреть доступное уведомление о результате рассмотрения и сохранение факта ег</w:t>
      </w:r>
      <w:r w:rsidRPr="00EC6142">
        <w:rPr>
          <w:lang w:val="ru-RU"/>
        </w:rPr>
        <w:t>о направления [8].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Показатель долговой нагрузки (ПДН) характеризует соотношение среднемесячных платежей по обязательствам и среднемесячного дохода заёмщика. Его расчёт должен опираться на допустимые источники информации и актуальные нормативные правила. Ра</w:t>
      </w:r>
      <w:r w:rsidRPr="00EC6142">
        <w:rPr>
          <w:lang w:val="ru-RU"/>
        </w:rPr>
        <w:t>зъяснения Банка России к Указанию № 6579-У в редакции Указания № 7286-У рассматривают способы определения дохода и платежей. Оценка риска не может основываться только на сумме, указанной клиентом в анкете [9].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С 1 марта 2025 года гражданин может установить</w:t>
      </w:r>
      <w:r w:rsidRPr="00EC6142">
        <w:rPr>
          <w:lang w:val="ru-RU"/>
        </w:rPr>
        <w:t xml:space="preserve"> </w:t>
      </w:r>
      <w:proofErr w:type="spellStart"/>
      <w:r w:rsidRPr="00EC6142">
        <w:rPr>
          <w:lang w:val="ru-RU"/>
        </w:rPr>
        <w:t>самозапрет</w:t>
      </w:r>
      <w:proofErr w:type="spellEnd"/>
      <w:r w:rsidRPr="00EC6142">
        <w:rPr>
          <w:lang w:val="ru-RU"/>
        </w:rPr>
        <w:t xml:space="preserve"> на заключение договоров потребительского кредита или займа. Перед предоставлением займа МФО обязана проверить наличие применимого запрета. Если он установлен, кредитор должен отказать в выдаче. Проверку </w:t>
      </w:r>
      <w:proofErr w:type="spellStart"/>
      <w:r w:rsidRPr="00EC6142">
        <w:rPr>
          <w:lang w:val="ru-RU"/>
        </w:rPr>
        <w:t>самозапрета</w:t>
      </w:r>
      <w:proofErr w:type="spellEnd"/>
      <w:r w:rsidRPr="00EC6142">
        <w:rPr>
          <w:lang w:val="ru-RU"/>
        </w:rPr>
        <w:t xml:space="preserve"> необходимо отличать от получе</w:t>
      </w:r>
      <w:r w:rsidRPr="00EC6142">
        <w:rPr>
          <w:lang w:val="ru-RU"/>
        </w:rPr>
        <w:t>ния основной части кредитной истории для оценки платёжеспособности: это разные проверки с различными основаниями [10].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С 1 апреля 2026 года предельная переплата по потребительским займам сроком до одного года снижена со 130 % до 100 % первоначальной суммы </w:t>
      </w:r>
      <w:r w:rsidRPr="00EC6142">
        <w:rPr>
          <w:lang w:val="ru-RU"/>
        </w:rPr>
        <w:t>займа. С 1 июля 2026 года применяется дополнительное дисконтирование дохода, определённого на основании регионального показателя без официальных подтверждающих документов. С 1 октября 2026 года нельзя предоставить заём с полной стоимостью кредита (ПСК) бол</w:t>
      </w:r>
      <w:r w:rsidRPr="00EC6142">
        <w:rPr>
          <w:lang w:val="ru-RU"/>
        </w:rPr>
        <w:t>ее 200 % годовых при наличии у гражданина двух непогашенных дорогих займов. Последнее ограничение уже действует на дату исследования. Правило «один заём в руки» для займов с ПСК более 100 % и трёхдневный интервал между такими займами относятся к следующему</w:t>
      </w:r>
      <w:r w:rsidRPr="00EC6142">
        <w:rPr>
          <w:lang w:val="ru-RU"/>
        </w:rPr>
        <w:t xml:space="preserve"> изменению с 1 апреля 2027 года [1].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С 1 сентября 2025 года также действует период охлаждения для ряда потребительских кредитов и займов: для сумм от 50 тыс. до 200 тыс. рублей — </w:t>
      </w:r>
      <w:r w:rsidRPr="00EC6142">
        <w:rPr>
          <w:lang w:val="ru-RU"/>
        </w:rPr>
        <w:lastRenderedPageBreak/>
        <w:t>четыре часа, для сумм свыше 200 тыс. рублей — 48 часов. Предусмотрены исключе</w:t>
      </w:r>
      <w:r w:rsidRPr="00EC6142">
        <w:rPr>
          <w:lang w:val="ru-RU"/>
        </w:rPr>
        <w:t>ния. Поскольку выбранный процесс заканчивается решением по заявке, отсрочка перечисления денег относится к последующему оформлению и выдаче займа. Эти операции не следует смешивать с временем рассмотрения заявки [11].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Нормативные требования в дальнейшем до</w:t>
      </w:r>
      <w:r w:rsidRPr="00EC6142">
        <w:rPr>
          <w:lang w:val="ru-RU"/>
        </w:rPr>
        <w:t>лжны быть оформлены как отдельные проверяемые правила, привязанные к дате применения. В учебном прототипе внешние ответы будут моделироваться на синтетических данных. Это позволит проверить обработку статусов и отказов без обращения к реальным кредитным ис</w:t>
      </w:r>
      <w:r w:rsidRPr="00EC6142">
        <w:rPr>
          <w:lang w:val="ru-RU"/>
        </w:rPr>
        <w:t>ториям. Разработка юридически полной производственной системы и подключение к государственным сервисам не являются задачами исследовательского этапа.</w:t>
      </w:r>
    </w:p>
    <w:p w:rsidR="00CC1596" w:rsidRPr="00EC6142" w:rsidRDefault="00BE40CD">
      <w:pPr>
        <w:pStyle w:val="21"/>
        <w:rPr>
          <w:lang w:val="ru-RU"/>
        </w:rPr>
      </w:pPr>
      <w:bookmarkStart w:id="6" w:name="_TOC_06"/>
      <w:r w:rsidRPr="00EC6142">
        <w:rPr>
          <w:lang w:val="ru-RU"/>
        </w:rPr>
        <w:t>1.4 Обзор исследований и обоснование автоматизации</w:t>
      </w:r>
      <w:bookmarkEnd w:id="6"/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Исследование </w:t>
      </w:r>
      <w:r>
        <w:t>P</w:t>
      </w:r>
      <w:r w:rsidRPr="00EC6142">
        <w:rPr>
          <w:lang w:val="ru-RU"/>
        </w:rPr>
        <w:t xml:space="preserve">. </w:t>
      </w:r>
      <w:r>
        <w:t>Durango</w:t>
      </w:r>
      <w:r w:rsidRPr="00EC6142">
        <w:rPr>
          <w:lang w:val="ru-RU"/>
        </w:rPr>
        <w:t>-</w:t>
      </w:r>
      <w:proofErr w:type="spellStart"/>
      <w:r>
        <w:t>Guti</w:t>
      </w:r>
      <w:proofErr w:type="spellEnd"/>
      <w:r w:rsidRPr="00EC6142">
        <w:rPr>
          <w:lang w:val="ru-RU"/>
        </w:rPr>
        <w:t>é</w:t>
      </w:r>
      <w:proofErr w:type="spellStart"/>
      <w:r>
        <w:t>rrez</w:t>
      </w:r>
      <w:proofErr w:type="spellEnd"/>
      <w:r w:rsidRPr="00EC6142">
        <w:rPr>
          <w:lang w:val="ru-RU"/>
        </w:rPr>
        <w:t xml:space="preserve"> и соавторов посвящено</w:t>
      </w:r>
      <w:r w:rsidRPr="00EC6142">
        <w:rPr>
          <w:lang w:val="ru-RU"/>
        </w:rPr>
        <w:t xml:space="preserve"> оценке риска и установлению процентной ставки в микрофинансовой организации. Авторы сопоставляют логистическую регрессию и нейронную сеть, затем используют оценку вероятности дефолта в модели ценообразования. Работа показывает связь решения о займе с каче</w:t>
      </w:r>
      <w:r w:rsidRPr="00EC6142">
        <w:rPr>
          <w:lang w:val="ru-RU"/>
        </w:rPr>
        <w:t>ством исходных данных и результатами оценки риска. Перевод аннотации, ограничений исследования и заключения приведён в приложении А [12].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Исследование выполнено на данных МФО в Гватемале, поэтому его результаты не рассматриваются как готовая </w:t>
      </w:r>
      <w:proofErr w:type="spellStart"/>
      <w:r w:rsidRPr="00EC6142">
        <w:rPr>
          <w:lang w:val="ru-RU"/>
        </w:rPr>
        <w:t>скоринговая</w:t>
      </w:r>
      <w:proofErr w:type="spellEnd"/>
      <w:r w:rsidRPr="00EC6142">
        <w:rPr>
          <w:lang w:val="ru-RU"/>
        </w:rPr>
        <w:t xml:space="preserve"> мо</w:t>
      </w:r>
      <w:r w:rsidRPr="00EC6142">
        <w:rPr>
          <w:lang w:val="ru-RU"/>
        </w:rPr>
        <w:t xml:space="preserve">дель для российской МКК. Применение подхода </w:t>
      </w:r>
      <w:r>
        <w:t>Basel</w:t>
      </w:r>
      <w:r w:rsidRPr="00EC6142">
        <w:rPr>
          <w:lang w:val="ru-RU"/>
        </w:rPr>
        <w:t xml:space="preserve"> </w:t>
      </w:r>
      <w:r>
        <w:t>III</w:t>
      </w:r>
      <w:r w:rsidRPr="00EC6142">
        <w:rPr>
          <w:lang w:val="ru-RU"/>
        </w:rPr>
        <w:t xml:space="preserve"> в статье используется для разработки исследовательской модели, а не как доказательство обязательности банковских требований для всех российских МФО. На данном этапе целесообразно подготовить учёт сведен</w:t>
      </w:r>
      <w:r w:rsidRPr="00EC6142">
        <w:rPr>
          <w:lang w:val="ru-RU"/>
        </w:rPr>
        <w:t>ий и проверок, необходимых для обоснования решения, а не переносить коэффициенты иностранной модели.</w:t>
      </w:r>
    </w:p>
    <w:p w:rsidR="00CC1596" w:rsidRPr="00EC6142" w:rsidRDefault="00BE40CD">
      <w:pPr>
        <w:rPr>
          <w:lang w:val="ru-RU"/>
        </w:rPr>
      </w:pPr>
      <w:r>
        <w:lastRenderedPageBreak/>
        <w:t>R</w:t>
      </w:r>
      <w:r w:rsidRPr="00EC6142">
        <w:rPr>
          <w:lang w:val="ru-RU"/>
        </w:rPr>
        <w:t xml:space="preserve">. </w:t>
      </w:r>
      <w:proofErr w:type="spellStart"/>
      <w:r>
        <w:t>Hlongwane</w:t>
      </w:r>
      <w:proofErr w:type="spellEnd"/>
      <w:r w:rsidRPr="00EC6142">
        <w:rPr>
          <w:lang w:val="ru-RU"/>
        </w:rPr>
        <w:t xml:space="preserve">, </w:t>
      </w:r>
      <w:r>
        <w:t>K</w:t>
      </w:r>
      <w:r w:rsidRPr="00EC6142">
        <w:rPr>
          <w:lang w:val="ru-RU"/>
        </w:rPr>
        <w:t xml:space="preserve">. </w:t>
      </w:r>
      <w:proofErr w:type="spellStart"/>
      <w:r>
        <w:t>Ramaboa</w:t>
      </w:r>
      <w:proofErr w:type="spellEnd"/>
      <w:r w:rsidRPr="00EC6142">
        <w:rPr>
          <w:lang w:val="ru-RU"/>
        </w:rPr>
        <w:t xml:space="preserve"> и </w:t>
      </w:r>
      <w:r>
        <w:t>W</w:t>
      </w:r>
      <w:r w:rsidRPr="00EC6142">
        <w:rPr>
          <w:lang w:val="ru-RU"/>
        </w:rPr>
        <w:t xml:space="preserve">. </w:t>
      </w:r>
      <w:proofErr w:type="spellStart"/>
      <w:r>
        <w:t>Mongwe</w:t>
      </w:r>
      <w:proofErr w:type="spellEnd"/>
      <w:r w:rsidRPr="00EC6142">
        <w:rPr>
          <w:lang w:val="ru-RU"/>
        </w:rPr>
        <w:t xml:space="preserve"> исследуют построение интерпретируемых кредитных </w:t>
      </w:r>
      <w:proofErr w:type="spellStart"/>
      <w:r w:rsidRPr="00EC6142">
        <w:rPr>
          <w:lang w:val="ru-RU"/>
        </w:rPr>
        <w:t>скоринговых</w:t>
      </w:r>
      <w:proofErr w:type="spellEnd"/>
      <w:r w:rsidRPr="00EC6142">
        <w:rPr>
          <w:lang w:val="ru-RU"/>
        </w:rPr>
        <w:t xml:space="preserve"> карт на основе значений Шепли. Авторы обращают внимание на</w:t>
      </w:r>
      <w:r w:rsidRPr="00EC6142">
        <w:rPr>
          <w:lang w:val="ru-RU"/>
        </w:rPr>
        <w:t xml:space="preserve"> необходимость объяснять результаты сложных моделей. Для учебной системы полезен общий вывод: итоговый статус заявки должен сопровождаться сохранёнными основаниями, а используемые проверки — быть доступными для просмотра уполномоченным сотрудником [13].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Отечественные исследования и зарубежные статьи рассматривают разные уровни задачи. Российские публикации описывают рынок и регулирование, а зарубежные — способы оценки риска и объяснения результатов. Совместное использование этих источников позволяет опред</w:t>
      </w:r>
      <w:r w:rsidRPr="00EC6142">
        <w:rPr>
          <w:lang w:val="ru-RU"/>
        </w:rPr>
        <w:t>елить направления автоматизации без необоснованного утверждения, что одна математическая модель решает весь процесс кредитования [2, 3, 4].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Для выбранного процесса первоочередными направлениями автоматизации являются единая регистрация заявки, контроль пол</w:t>
      </w:r>
      <w:r w:rsidRPr="00EC6142">
        <w:rPr>
          <w:lang w:val="ru-RU"/>
        </w:rPr>
        <w:t>ноты сведений, последовательное выполнение проверок, ведение истории статусов и сохранение решения. Автоматизация позволит исключить повторное создание одной заявки, уменьшить риск пропуска обязательной проверки и упростить поиск оснований решения. Эти рез</w:t>
      </w:r>
      <w:r w:rsidRPr="00EC6142">
        <w:rPr>
          <w:lang w:val="ru-RU"/>
        </w:rPr>
        <w:t>ультаты являются ожидаемыми; количественное сокращение времени работы пока не измерялось.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Возможный эффект следует оценивать по времени от регистрации до решения, доле заявок, возвращённых из-за неполных данных, количеству повторных записей и доле решений </w:t>
      </w:r>
      <w:r w:rsidRPr="00EC6142">
        <w:rPr>
          <w:lang w:val="ru-RU"/>
        </w:rPr>
        <w:t>с заполненным обоснованием. Сами показатели и метод измерения будут уточняться на аналитическом этапе. Увеличение числа одобрений не рассматривается как самостоятельный критерий качества системы: корректный отказ также является результатом процесса.</w:t>
      </w:r>
    </w:p>
    <w:p w:rsidR="00CC1596" w:rsidRPr="00EC6142" w:rsidRDefault="00BE40CD">
      <w:pPr>
        <w:pStyle w:val="21"/>
        <w:rPr>
          <w:lang w:val="ru-RU"/>
        </w:rPr>
      </w:pPr>
      <w:bookmarkStart w:id="7" w:name="_TOC_07"/>
      <w:r w:rsidRPr="00EC6142">
        <w:rPr>
          <w:lang w:val="ru-RU"/>
        </w:rPr>
        <w:lastRenderedPageBreak/>
        <w:t>1.5 Оп</w:t>
      </w:r>
      <w:r w:rsidRPr="00EC6142">
        <w:rPr>
          <w:lang w:val="ru-RU"/>
        </w:rPr>
        <w:t>исание основного бизнес-процесса</w:t>
      </w:r>
      <w:bookmarkEnd w:id="7"/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Основной бизнес-процесс — «Рассмотрение заявки физического лица на потребительский микрозаём до принятия и доведения решения до заявителя». Экземпляр процесса относится к одной заявке. Событие начала — поступление заполненн</w:t>
      </w:r>
      <w:r w:rsidRPr="00EC6142">
        <w:rPr>
          <w:lang w:val="ru-RU"/>
        </w:rPr>
        <w:t>ого обращения клиента. Событие завершения — доведение итогового решения до заявителя с сохранением подтверждения уведомления либо закрытие заявки при её отзыве.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Процесс включает регистрацию, проверку сведений, оценку возможности предоставления займа и офор</w:t>
      </w:r>
      <w:r w:rsidRPr="00EC6142">
        <w:rPr>
          <w:lang w:val="ru-RU"/>
        </w:rPr>
        <w:t>мление результата рассмотрения. Подписание договора, перечисление денег, расчёт задолженности, погашение и взыскание относятся к следующим процессам. Одобренная заявка передаётся в процесс заключения договора, но не считается выданным займом.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Владельцем пр</w:t>
      </w:r>
      <w:r w:rsidRPr="00EC6142">
        <w:rPr>
          <w:lang w:val="ru-RU"/>
        </w:rPr>
        <w:t>оцесса в рассматриваемой модели является руководитель кредитного подразделения МКК. Ответственным за ведение конкретной заявки назначается кредитный специалист. Основанием для выделения операций служит последовательность приёма, рассмотрения и информирован</w:t>
      </w:r>
      <w:r w:rsidRPr="00EC6142">
        <w:rPr>
          <w:lang w:val="ru-RU"/>
        </w:rPr>
        <w:t>ия, установленная базовым стандартом [7]. Распределение ролей ниже является проектным допущением для учебной работы.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Заявитель — физическое лицо, которое указывает параметры займа, предоставляет сведения и документы, отвечает на запросы уточнения и получае</w:t>
      </w:r>
      <w:r w:rsidRPr="00EC6142">
        <w:rPr>
          <w:lang w:val="ru-RU"/>
        </w:rPr>
        <w:t>т уведомление о результате.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Кредитный специалист регистрирует обращение, проверяет полноту анкеты, собирает результаты проверок и готовит предложение по заявке. В небольшой МКК он может также сообщать клиенту итог рассмотрения.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Уполномоченный сотрудник при</w:t>
      </w:r>
      <w:r w:rsidRPr="00EC6142">
        <w:rPr>
          <w:lang w:val="ru-RU"/>
        </w:rPr>
        <w:t xml:space="preserve">нимает итоговое решение в пределах своих полномочий. Он проверяет подготовленные сведения и фиксирует причину отказа либо согласованные параметры одобрения. Совмещение этой роли с ролью кредитного специалиста допустимо только в соответствии с </w:t>
      </w:r>
      <w:r w:rsidRPr="00EC6142">
        <w:rPr>
          <w:lang w:val="ru-RU"/>
        </w:rPr>
        <w:lastRenderedPageBreak/>
        <w:t>внутренним ра</w:t>
      </w:r>
      <w:r w:rsidRPr="00EC6142">
        <w:rPr>
          <w:lang w:val="ru-RU"/>
        </w:rPr>
        <w:t>спределением полномочий; в учебной модели роли различаются логически.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Бюро кредитных историй (БКИ) — внешний источник сведений об обязательствах и кредитной истории, а также данных, необходимых для проверки </w:t>
      </w:r>
      <w:proofErr w:type="spellStart"/>
      <w:r w:rsidRPr="00EC6142">
        <w:rPr>
          <w:lang w:val="ru-RU"/>
        </w:rPr>
        <w:t>самозапрета</w:t>
      </w:r>
      <w:proofErr w:type="spellEnd"/>
      <w:r w:rsidRPr="00EC6142">
        <w:rPr>
          <w:lang w:val="ru-RU"/>
        </w:rPr>
        <w:t>. Сервис отправки уведомлений обеспечи</w:t>
      </w:r>
      <w:r w:rsidRPr="00EC6142">
        <w:rPr>
          <w:lang w:val="ru-RU"/>
        </w:rPr>
        <w:t>вает передачу сообщения заявителю. Эти участники не заменяют сотрудника, ответственного за итоговое решение. ИТ-администратор поддерживает систему, но не является исполнителем кредитного решения.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На вход процесса от заявителя поступают анкета, запрашиваема</w:t>
      </w:r>
      <w:r w:rsidRPr="00EC6142">
        <w:rPr>
          <w:lang w:val="ru-RU"/>
        </w:rPr>
        <w:t>я сумма и срок займа, идентификационные сведения, контакт для связи, сведения и документы о доходах. Отдельно фиксируются необходимые согласия и их основания. От внешних источников поступают результаты проверок, а от организации — действующие условия проду</w:t>
      </w:r>
      <w:r w:rsidRPr="00EC6142">
        <w:rPr>
          <w:lang w:val="ru-RU"/>
        </w:rPr>
        <w:t>кта и правила рассмотрения. Доступ к сведениям ограничивается назначением пользователя и его ролью.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В рамках обобщённой модели процесс выполняется в следующей последовательности.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1. Регистрация обращения.</w:t>
      </w:r>
      <w:r w:rsidRPr="00EC6142">
        <w:rPr>
          <w:lang w:val="ru-RU"/>
        </w:rPr>
        <w:t xml:space="preserve"> Сотрудник принимает анкету, присваивает заявке уник</w:t>
      </w:r>
      <w:r w:rsidRPr="00EC6142">
        <w:rPr>
          <w:lang w:val="ru-RU"/>
        </w:rPr>
        <w:t>альный номер, фиксирует время поступления, канал обращения и ответственного. Для повторного обращения сохраняется отдельная заявка, связанная с тем же клиентом; случайная повторная отправка одной формы не должна создавать новый экземпляр.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2. Проверка компл</w:t>
      </w:r>
      <w:r w:rsidRPr="00EC6142">
        <w:rPr>
          <w:b/>
          <w:lang w:val="ru-RU"/>
        </w:rPr>
        <w:t>ектности.</w:t>
      </w:r>
      <w:r w:rsidRPr="00EC6142">
        <w:rPr>
          <w:lang w:val="ru-RU"/>
        </w:rPr>
        <w:t xml:space="preserve"> Проверяются обязательные поля и наличие необходимых документов. При недостаточности данных заявка получает статус «Требует уточнения», а клиенту направляется перечень недостающих сведений. После их получения рассмотрение продолжается. Если клиент</w:t>
      </w:r>
      <w:r w:rsidRPr="00EC6142">
        <w:rPr>
          <w:lang w:val="ru-RU"/>
        </w:rPr>
        <w:t xml:space="preserve"> отзывает обращение или не предоставляет данные в установленный внутренним регламентом срок, заявка закрывается с соответствующим основанием.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3. Проверка личности и согласий.</w:t>
      </w:r>
      <w:r w:rsidRPr="00EC6142">
        <w:rPr>
          <w:lang w:val="ru-RU"/>
        </w:rPr>
        <w:t xml:space="preserve"> Устанавливается соответствие данных заявителя представленным документам и выполня</w:t>
      </w:r>
      <w:r w:rsidRPr="00EC6142">
        <w:rPr>
          <w:lang w:val="ru-RU"/>
        </w:rPr>
        <w:t xml:space="preserve">ются применимые проверки идентификации. Согласие на раскрытие кредитной истории фиксируется </w:t>
      </w:r>
      <w:r w:rsidRPr="00EC6142">
        <w:rPr>
          <w:lang w:val="ru-RU"/>
        </w:rPr>
        <w:lastRenderedPageBreak/>
        <w:t>отдельно. Отсутствие согласия не подменяется ответом БКИ и не трактуется как отсутствие обязательств: дальнейшая оценка проводится по применимым правилам.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4. Провер</w:t>
      </w:r>
      <w:r w:rsidRPr="00EC6142">
        <w:rPr>
          <w:b/>
          <w:lang w:val="ru-RU"/>
        </w:rPr>
        <w:t>ка ограничений.</w:t>
      </w:r>
      <w:r w:rsidRPr="00EC6142">
        <w:rPr>
          <w:lang w:val="ru-RU"/>
        </w:rPr>
        <w:t xml:space="preserve"> Проверяется наличие действующего </w:t>
      </w:r>
      <w:proofErr w:type="spellStart"/>
      <w:r w:rsidRPr="00EC6142">
        <w:rPr>
          <w:lang w:val="ru-RU"/>
        </w:rPr>
        <w:t>самозапрета</w:t>
      </w:r>
      <w:proofErr w:type="spellEnd"/>
      <w:r w:rsidRPr="00EC6142">
        <w:rPr>
          <w:lang w:val="ru-RU"/>
        </w:rPr>
        <w:t>, применимого к МФО и каналу обращения, а также обязательных ограничений для выбранного продукта. Если нормативное ограничение исключает предоставление займа, результат проверки сохраняется и подг</w:t>
      </w:r>
      <w:r w:rsidRPr="00EC6142">
        <w:rPr>
          <w:lang w:val="ru-RU"/>
        </w:rPr>
        <w:t>отавливается отказ. Для дорогих займов учитывается действующее с 1 октября 2026 года ограничение по числу непогашенных займов.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5. Получение внешних сведений.</w:t>
      </w:r>
      <w:r w:rsidRPr="00EC6142">
        <w:rPr>
          <w:lang w:val="ru-RU"/>
        </w:rPr>
        <w:t xml:space="preserve"> При наличии необходимого основания запрашивается кредитная информация и фиксируются дата ответа, и</w:t>
      </w:r>
      <w:r w:rsidRPr="00EC6142">
        <w:rPr>
          <w:lang w:val="ru-RU"/>
        </w:rPr>
        <w:t>сточник и результат. Техническая недоступность сервиса приводит к статусу «Ожидает проверку» и повторной обработке либо ручному разбору; отсутствие ответа не считается успешной проверкой.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6. Оценка платёжеспособности.</w:t>
      </w:r>
      <w:r w:rsidRPr="00EC6142">
        <w:rPr>
          <w:lang w:val="ru-RU"/>
        </w:rPr>
        <w:t xml:space="preserve"> Определяются доход и среднемесячные пл</w:t>
      </w:r>
      <w:r w:rsidRPr="00EC6142">
        <w:rPr>
          <w:lang w:val="ru-RU"/>
        </w:rPr>
        <w:t>атежи по обязательствам с учётом действующих правил расчёта ПДН. Сотрудник проверяет согласованность исходных данных. ПДН и оценка кредитного риска являются разными характеристиками. Решение не сводится к сравнению ПДН с произвольно выбранным порогом.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7. П</w:t>
      </w:r>
      <w:r w:rsidRPr="00EC6142">
        <w:rPr>
          <w:b/>
          <w:lang w:val="ru-RU"/>
        </w:rPr>
        <w:t>одготовка предложения.</w:t>
      </w:r>
      <w:r w:rsidRPr="00EC6142">
        <w:rPr>
          <w:lang w:val="ru-RU"/>
        </w:rPr>
        <w:t xml:space="preserve"> Кредитный специалист обобщает результаты проверок и предлагает одобрение на допустимых условиях либо отказ с основанием. Если предполагается изменить сумму или срок, эти параметры согласуются с заявителем и проверяются повторно в нео</w:t>
      </w:r>
      <w:r w:rsidRPr="00EC6142">
        <w:rPr>
          <w:lang w:val="ru-RU"/>
        </w:rPr>
        <w:t>бходимом объёме.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8. Принятие решения.</w:t>
      </w:r>
      <w:r w:rsidRPr="00EC6142">
        <w:rPr>
          <w:lang w:val="ru-RU"/>
        </w:rPr>
        <w:t xml:space="preserve"> Уполномоченный сотрудник сохраняет итог «Одобрена» или «Отказана», дату, исполнителя и основания. При одобрении фиксируются согласованные сумма и срок. Для завершённой заявки запрещается незаметное изменение решения: к</w:t>
      </w:r>
      <w:r w:rsidRPr="00EC6142">
        <w:rPr>
          <w:lang w:val="ru-RU"/>
        </w:rPr>
        <w:t>орректировка должна сопровождаться отдельной записью истории.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lastRenderedPageBreak/>
        <w:t>9. Информирование и завершение.</w:t>
      </w:r>
      <w:r w:rsidRPr="00EC6142">
        <w:rPr>
          <w:lang w:val="ru-RU"/>
        </w:rPr>
        <w:t xml:space="preserve"> Клиент получает сообщение о результате. Если уведомление не передано, фиксируются неудачная попытка и повторное действие; процесс остаётся незавершённым по призна</w:t>
      </w:r>
      <w:r w:rsidRPr="00EC6142">
        <w:rPr>
          <w:lang w:val="ru-RU"/>
        </w:rPr>
        <w:t>ку уведомления. После передачи результата одобренная заявка направляется ответственному за оформление договора, а отказанная — закрывается. Отозванное обращение закрывается отдельно, без выдачи займа.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Результат процесса — зарегистрированная заявка с итогов</w:t>
      </w:r>
      <w:r w:rsidRPr="00EC6142">
        <w:rPr>
          <w:lang w:val="ru-RU"/>
        </w:rPr>
        <w:t>ым статусом, результатами проверок, основанием решения и сведениями об уведомлении. Его получатели — заявитель и сотрудники МКК в пределах полномочий. Для одобрения дополнительно формируется набор согласованных параметров, передаваемый в процесс оформления</w:t>
      </w:r>
      <w:r w:rsidRPr="00EC6142">
        <w:rPr>
          <w:lang w:val="ru-RU"/>
        </w:rPr>
        <w:t xml:space="preserve"> договора.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Внутренние промежуточные статусы «Зарегистрирована», «Требует уточнения», «Ожидает проверку» и «На рассмотрении» помогают отличить незавершённую работу от конечных результатов «Одобрена», «Отказана» и «Отозвана». Конкретный набор переходов будет</w:t>
      </w:r>
      <w:r w:rsidRPr="00EC6142">
        <w:rPr>
          <w:lang w:val="ru-RU"/>
        </w:rPr>
        <w:t xml:space="preserve"> формализован на следующем этапе. Уже сейчас необходимо разделять отказ по результатам рассмотрения, отказ от обращения самим клиентом и техническую задержку проверки.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Для анализа узких мест принимается исходное допущение: часть учёта ведётся в раздельных </w:t>
      </w:r>
      <w:r w:rsidRPr="00EC6142">
        <w:rPr>
          <w:lang w:val="ru-RU"/>
        </w:rPr>
        <w:t>анкетах, электронных таблицах и шаблонах документов. При таком способе обработки возможны следующие потери: повторный ввод сведений; несогласованность статуса в разных файлах; поиск документов по переписке; пропуск повторной проверки после изменения параме</w:t>
      </w:r>
      <w:r w:rsidRPr="00EC6142">
        <w:rPr>
          <w:lang w:val="ru-RU"/>
        </w:rPr>
        <w:t>тров; потеря основания решения; отсутствие подтверждения отправки уведомления. Это возможные проблемы выбранной организации учёта, а не результаты наблюдения за конкретной МФО.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Планируемая автоматизация должна обеспечить общую карточку заявки, проверку обя</w:t>
      </w:r>
      <w:r w:rsidRPr="00EC6142">
        <w:rPr>
          <w:lang w:val="ru-RU"/>
        </w:rPr>
        <w:t xml:space="preserve">зательных полей, контроль завершённости проверок, журнал изменений и поиск по номеру, клиенту и статусу. Сообщение об ошибке внешнего сервиса должно отличаться от отрицательного результата проверки. </w:t>
      </w:r>
      <w:r w:rsidRPr="00EC6142">
        <w:rPr>
          <w:lang w:val="ru-RU"/>
        </w:rPr>
        <w:lastRenderedPageBreak/>
        <w:t>Разделение прав позволит сотруднику видеть только действи</w:t>
      </w:r>
      <w:r w:rsidRPr="00EC6142">
        <w:rPr>
          <w:lang w:val="ru-RU"/>
        </w:rPr>
        <w:t>я, которые относятся к его роли.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При последующем моделировании будет сохранена выбранная граница процесса: от поступления обращения до решения и уведомления. Это обеспечит связь между текстовым описанием, моделями и программными операциями. Создание отдель</w:t>
      </w:r>
      <w:r w:rsidRPr="00EC6142">
        <w:rPr>
          <w:lang w:val="ru-RU"/>
        </w:rPr>
        <w:t>ной системы бухгалтерского учёта, обслуживания всего кредитного портфеля или взыскания задолженности для автоматизации этого процесса не требуется.</w:t>
      </w:r>
    </w:p>
    <w:p w:rsidR="00CC1596" w:rsidRPr="00EC6142" w:rsidRDefault="00BE40CD">
      <w:pPr>
        <w:pStyle w:val="21"/>
        <w:rPr>
          <w:lang w:val="ru-RU"/>
        </w:rPr>
      </w:pPr>
      <w:bookmarkStart w:id="8" w:name="_TOC_08"/>
      <w:r w:rsidRPr="00EC6142">
        <w:rPr>
          <w:lang w:val="ru-RU"/>
        </w:rPr>
        <w:t>1.6 Среда разработки и система контроля версий</w:t>
      </w:r>
      <w:bookmarkEnd w:id="8"/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Выбор инструментов учитывает учебный план практики: сначала </w:t>
      </w:r>
      <w:r w:rsidRPr="00EC6142">
        <w:rPr>
          <w:lang w:val="ru-RU"/>
        </w:rPr>
        <w:t xml:space="preserve">предусматривается процедурная реализация алгоритмов на </w:t>
      </w:r>
      <w:r>
        <w:t>Python</w:t>
      </w:r>
      <w:r w:rsidRPr="00EC6142">
        <w:rPr>
          <w:lang w:val="ru-RU"/>
        </w:rPr>
        <w:t xml:space="preserve">, затем объектно-ориентированная реализация на </w:t>
      </w:r>
      <w:r>
        <w:t>Java</w:t>
      </w:r>
      <w:r w:rsidRPr="00EC6142">
        <w:rPr>
          <w:lang w:val="ru-RU"/>
        </w:rPr>
        <w:t xml:space="preserve"> и физическая модель данных в СУБД. На КТ1 подготовлены структура проекта, текстовые материалы исследования, рекомендации расширений редактора и</w:t>
      </w:r>
      <w:r w:rsidRPr="00EC6142">
        <w:rPr>
          <w:lang w:val="ru-RU"/>
        </w:rPr>
        <w:t xml:space="preserve"> служебные сценарии. Реализация кредитного процесса и схема базы данных относятся к следующим этапам.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В качестве общей среды разработки выбрана </w:t>
      </w:r>
      <w:r>
        <w:t>Visual</w:t>
      </w:r>
      <w:r w:rsidRPr="00EC6142">
        <w:rPr>
          <w:lang w:val="ru-RU"/>
        </w:rPr>
        <w:t xml:space="preserve"> </w:t>
      </w:r>
      <w:r>
        <w:t>Studio</w:t>
      </w:r>
      <w:r w:rsidRPr="00EC6142">
        <w:rPr>
          <w:lang w:val="ru-RU"/>
        </w:rPr>
        <w:t xml:space="preserve"> </w:t>
      </w:r>
      <w:r>
        <w:t>Code</w:t>
      </w:r>
      <w:r w:rsidRPr="00EC6142">
        <w:rPr>
          <w:lang w:val="ru-RU"/>
        </w:rPr>
        <w:t xml:space="preserve"> версии 1.95 или новее. Редактор поддерживает работу с файлами исследования и </w:t>
      </w:r>
      <w:r>
        <w:t>Git</w:t>
      </w:r>
      <w:r w:rsidRPr="00EC6142">
        <w:rPr>
          <w:lang w:val="ru-RU"/>
        </w:rPr>
        <w:t xml:space="preserve">, а </w:t>
      </w:r>
      <w:r w:rsidRPr="00EC6142">
        <w:rPr>
          <w:lang w:val="ru-RU"/>
        </w:rPr>
        <w:t xml:space="preserve">расширения позволяют использовать </w:t>
      </w:r>
      <w:r>
        <w:t>Python</w:t>
      </w:r>
      <w:r w:rsidRPr="00EC6142">
        <w:rPr>
          <w:lang w:val="ru-RU"/>
        </w:rPr>
        <w:t xml:space="preserve"> и </w:t>
      </w:r>
      <w:r>
        <w:t>Java</w:t>
      </w:r>
      <w:r w:rsidRPr="00EC6142">
        <w:rPr>
          <w:lang w:val="ru-RU"/>
        </w:rPr>
        <w:t xml:space="preserve"> в одном рабочем пространстве. В отличие от выбора отдельной </w:t>
      </w:r>
      <w:r>
        <w:t>IDE</w:t>
      </w:r>
      <w:r w:rsidRPr="00EC6142">
        <w:rPr>
          <w:lang w:val="ru-RU"/>
        </w:rPr>
        <w:t xml:space="preserve"> для каждого языка такой вариант упрощает освоение единого набора операций. В комплект включён список рекомендуемых расширений: </w:t>
      </w:r>
      <w:r>
        <w:t>Python</w:t>
      </w:r>
      <w:r w:rsidRPr="00EC6142">
        <w:rPr>
          <w:lang w:val="ru-RU"/>
        </w:rPr>
        <w:t xml:space="preserve">, </w:t>
      </w:r>
      <w:proofErr w:type="spellStart"/>
      <w:r>
        <w:t>Pylance</w:t>
      </w:r>
      <w:proofErr w:type="spellEnd"/>
      <w:r w:rsidRPr="00EC6142">
        <w:rPr>
          <w:lang w:val="ru-RU"/>
        </w:rPr>
        <w:t xml:space="preserve"> и</w:t>
      </w:r>
      <w:r w:rsidRPr="00EC6142">
        <w:rPr>
          <w:lang w:val="ru-RU"/>
        </w:rPr>
        <w:t xml:space="preserve"> </w:t>
      </w:r>
      <w:r>
        <w:t>Extension</w:t>
      </w:r>
      <w:r w:rsidRPr="00EC6142">
        <w:rPr>
          <w:lang w:val="ru-RU"/>
        </w:rPr>
        <w:t xml:space="preserve"> </w:t>
      </w:r>
      <w:r>
        <w:t>Pack</w:t>
      </w:r>
      <w:r w:rsidRPr="00EC6142">
        <w:rPr>
          <w:lang w:val="ru-RU"/>
        </w:rPr>
        <w:t xml:space="preserve"> </w:t>
      </w:r>
      <w:r>
        <w:t>for</w:t>
      </w:r>
      <w:r w:rsidRPr="00EC6142">
        <w:rPr>
          <w:lang w:val="ru-RU"/>
        </w:rPr>
        <w:t xml:space="preserve"> </w:t>
      </w:r>
      <w:r>
        <w:t>Java</w:t>
      </w:r>
      <w:r w:rsidRPr="00EC6142">
        <w:rPr>
          <w:lang w:val="ru-RU"/>
        </w:rPr>
        <w:t xml:space="preserve">. Возможности базовой версии среды описаны в официальных материалах </w:t>
      </w:r>
      <w:r>
        <w:t>Microsoft</w:t>
      </w:r>
      <w:r w:rsidRPr="00EC6142">
        <w:rPr>
          <w:lang w:val="ru-RU"/>
        </w:rPr>
        <w:t xml:space="preserve"> [14].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Для процедурной реализации выбрана ветка </w:t>
      </w:r>
      <w:r>
        <w:t>Python</w:t>
      </w:r>
      <w:r w:rsidRPr="00EC6142">
        <w:rPr>
          <w:lang w:val="ru-RU"/>
        </w:rPr>
        <w:t xml:space="preserve"> 3.13. Язык позволяет компактно записать последовательность проверок и преобразование данных, а станд</w:t>
      </w:r>
      <w:r w:rsidRPr="00EC6142">
        <w:rPr>
          <w:lang w:val="ru-RU"/>
        </w:rPr>
        <w:t xml:space="preserve">артная библиотека — подготовить служебные сценарии без большого </w:t>
      </w:r>
      <w:r w:rsidRPr="00EC6142">
        <w:rPr>
          <w:lang w:val="ru-RU"/>
        </w:rPr>
        <w:lastRenderedPageBreak/>
        <w:t xml:space="preserve">набора зависимостей. В отличие от немедленного использования </w:t>
      </w:r>
      <w:r>
        <w:t>Java</w:t>
      </w:r>
      <w:r w:rsidRPr="00EC6142">
        <w:rPr>
          <w:lang w:val="ru-RU"/>
        </w:rPr>
        <w:t xml:space="preserve"> на всех этапах этот выбор соответствует требованию процедурной реализации. При работе с денежными величинами предусматривается</w:t>
      </w:r>
      <w:r w:rsidRPr="00EC6142">
        <w:rPr>
          <w:lang w:val="ru-RU"/>
        </w:rPr>
        <w:t xml:space="preserve"> десятичное представление и явно заданное округление. Документация выбранной ветки опубликована </w:t>
      </w:r>
      <w:r>
        <w:t>Python</w:t>
      </w:r>
      <w:r w:rsidRPr="00EC6142">
        <w:rPr>
          <w:lang w:val="ru-RU"/>
        </w:rPr>
        <w:t xml:space="preserve"> </w:t>
      </w:r>
      <w:r>
        <w:t>Software</w:t>
      </w:r>
      <w:r w:rsidRPr="00EC6142">
        <w:rPr>
          <w:lang w:val="ru-RU"/>
        </w:rPr>
        <w:t xml:space="preserve"> </w:t>
      </w:r>
      <w:r>
        <w:t>Foundation</w:t>
      </w:r>
      <w:r w:rsidRPr="00EC6142">
        <w:rPr>
          <w:lang w:val="ru-RU"/>
        </w:rPr>
        <w:t xml:space="preserve"> [15].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Для объектно-ориентированной реализации выбран </w:t>
      </w:r>
      <w:r>
        <w:t>Java</w:t>
      </w:r>
      <w:r w:rsidRPr="00EC6142">
        <w:rPr>
          <w:lang w:val="ru-RU"/>
        </w:rPr>
        <w:t xml:space="preserve"> 21 с комплектом разработки </w:t>
      </w:r>
      <w:r>
        <w:t>JDK</w:t>
      </w:r>
      <w:r w:rsidRPr="00EC6142">
        <w:rPr>
          <w:lang w:val="ru-RU"/>
        </w:rPr>
        <w:t>. Статическая типизация и классы позволяют оп</w:t>
      </w:r>
      <w:r w:rsidRPr="00EC6142">
        <w:rPr>
          <w:lang w:val="ru-RU"/>
        </w:rPr>
        <w:t xml:space="preserve">исать заявку, результат проверки и решение как самостоятельные объекты. Тип </w:t>
      </w:r>
      <w:proofErr w:type="spellStart"/>
      <w:r>
        <w:t>BigDecimal</w:t>
      </w:r>
      <w:proofErr w:type="spellEnd"/>
      <w:r w:rsidRPr="00EC6142">
        <w:rPr>
          <w:lang w:val="ru-RU"/>
        </w:rPr>
        <w:t xml:space="preserve"> и средства управления округлением подходят для денежных расчётов. </w:t>
      </w:r>
      <w:r>
        <w:t>Java</w:t>
      </w:r>
      <w:r w:rsidRPr="00EC6142">
        <w:rPr>
          <w:lang w:val="ru-RU"/>
        </w:rPr>
        <w:t xml:space="preserve"> используется на следующем этапе после подготовки алгоритмов на </w:t>
      </w:r>
      <w:r>
        <w:t>Python</w:t>
      </w:r>
      <w:r w:rsidRPr="00EC6142">
        <w:rPr>
          <w:lang w:val="ru-RU"/>
        </w:rPr>
        <w:t>, что позволит сопоставить дв</w:t>
      </w:r>
      <w:r w:rsidRPr="00EC6142">
        <w:rPr>
          <w:lang w:val="ru-RU"/>
        </w:rPr>
        <w:t>е реализации на одинаковых сценариях [16].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Для хранения данных выбрана </w:t>
      </w:r>
      <w:r>
        <w:t>PostgreSQL</w:t>
      </w:r>
      <w:r w:rsidRPr="00EC6142">
        <w:rPr>
          <w:lang w:val="ru-RU"/>
        </w:rPr>
        <w:t xml:space="preserve"> 17. Реляционная СУБД поддерживает ограничения целостности и транзакции, необходимые при изменении статуса заявки и сохранении решения. Тип </w:t>
      </w:r>
      <w:r>
        <w:t>numeric</w:t>
      </w:r>
      <w:r w:rsidRPr="00EC6142">
        <w:rPr>
          <w:lang w:val="ru-RU"/>
        </w:rPr>
        <w:t xml:space="preserve"> позволяет хранить десятичны</w:t>
      </w:r>
      <w:r w:rsidRPr="00EC6142">
        <w:rPr>
          <w:lang w:val="ru-RU"/>
        </w:rPr>
        <w:t xml:space="preserve">е значения. По сравнению с файловой </w:t>
      </w:r>
      <w:r>
        <w:t>SQLite</w:t>
      </w:r>
      <w:r w:rsidRPr="00EC6142">
        <w:rPr>
          <w:lang w:val="ru-RU"/>
        </w:rPr>
        <w:t xml:space="preserve"> выбранная СУБД лучше соответствует будущей работе нескольких сотрудников с общей базой. Окончательная структура таблиц будет разработана после логической модели данных [17].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Система контроля версий — </w:t>
      </w:r>
      <w:r>
        <w:t>Git</w:t>
      </w:r>
      <w:r w:rsidRPr="00EC6142">
        <w:rPr>
          <w:lang w:val="ru-RU"/>
        </w:rPr>
        <w:t xml:space="preserve"> версии 2.</w:t>
      </w:r>
      <w:r w:rsidRPr="00EC6142">
        <w:rPr>
          <w:lang w:val="ru-RU"/>
        </w:rPr>
        <w:t xml:space="preserve">47 или новее; для удалённого размещения предполагается </w:t>
      </w:r>
      <w:r>
        <w:t>GitHub</w:t>
      </w:r>
      <w:r w:rsidRPr="00EC6142">
        <w:rPr>
          <w:lang w:val="ru-RU"/>
        </w:rPr>
        <w:t xml:space="preserve">. </w:t>
      </w:r>
      <w:r>
        <w:t>Git</w:t>
      </w:r>
      <w:r w:rsidRPr="00EC6142">
        <w:rPr>
          <w:lang w:val="ru-RU"/>
        </w:rPr>
        <w:t xml:space="preserve"> сохраняет последовательность изменений, позволяет сравнивать текстовые версии исследования и продолжать работу локально. В отличие от папок с копиями файлов история связывает каждое изменен</w:t>
      </w:r>
      <w:r w:rsidRPr="00EC6142">
        <w:rPr>
          <w:lang w:val="ru-RU"/>
        </w:rPr>
        <w:t xml:space="preserve">ие с конкретным сообщением и автором. </w:t>
      </w:r>
      <w:r>
        <w:t>GitHub</w:t>
      </w:r>
      <w:r w:rsidRPr="00EC6142">
        <w:rPr>
          <w:lang w:val="ru-RU"/>
        </w:rPr>
        <w:t xml:space="preserve"> выбран для размещения репозитория и получения устойчивой ссылки на проект [18].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Базовые ветки </w:t>
      </w:r>
      <w:r>
        <w:t>Python</w:t>
      </w:r>
      <w:r w:rsidRPr="00EC6142">
        <w:rPr>
          <w:lang w:val="ru-RU"/>
        </w:rPr>
        <w:t xml:space="preserve">, </w:t>
      </w:r>
      <w:r>
        <w:t>Java</w:t>
      </w:r>
      <w:r w:rsidRPr="00EC6142">
        <w:rPr>
          <w:lang w:val="ru-RU"/>
        </w:rPr>
        <w:t xml:space="preserve"> и </w:t>
      </w:r>
      <w:r>
        <w:t>PostgreSQL</w:t>
      </w:r>
      <w:r w:rsidRPr="00EC6142">
        <w:rPr>
          <w:lang w:val="ru-RU"/>
        </w:rPr>
        <w:t xml:space="preserve"> фиксируются для воспроизводимости учебной работы. При установке следует использовать актуал</w:t>
      </w:r>
      <w:r w:rsidRPr="00EC6142">
        <w:rPr>
          <w:lang w:val="ru-RU"/>
        </w:rPr>
        <w:t xml:space="preserve">ьные исправляющие выпуски внутри выбранных веток, а не обязательно первоначальные версии.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среды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команды python --version, java --version, javac --version, psql --version, code --version и git --version. </w:t>
      </w:r>
      <w:r w:rsidRPr="00EC6142">
        <w:rPr>
          <w:lang w:val="ru-RU"/>
        </w:rPr>
        <w:t xml:space="preserve">Служебный сценарий </w:t>
      </w:r>
      <w:r>
        <w:t>tools</w:t>
      </w:r>
      <w:r w:rsidRPr="00EC6142">
        <w:rPr>
          <w:lang w:val="ru-RU"/>
        </w:rPr>
        <w:t>/</w:t>
      </w:r>
      <w:r>
        <w:t>ch</w:t>
      </w:r>
      <w:r>
        <w:t>eck</w:t>
      </w:r>
      <w:r w:rsidRPr="00EC6142">
        <w:rPr>
          <w:lang w:val="ru-RU"/>
        </w:rPr>
        <w:t>_</w:t>
      </w:r>
      <w:r>
        <w:t>environment</w:t>
      </w:r>
      <w:r w:rsidRPr="00EC6142">
        <w:rPr>
          <w:lang w:val="ru-RU"/>
        </w:rPr>
        <w:t>.</w:t>
      </w:r>
      <w:proofErr w:type="spellStart"/>
      <w:r>
        <w:t>py</w:t>
      </w:r>
      <w:proofErr w:type="spellEnd"/>
      <w:r w:rsidRPr="00EC6142">
        <w:rPr>
          <w:lang w:val="ru-RU"/>
        </w:rPr>
        <w:t xml:space="preserve"> сохраняет фактические версии </w:t>
      </w:r>
      <w:r w:rsidRPr="00EC6142">
        <w:rPr>
          <w:lang w:val="ru-RU"/>
        </w:rPr>
        <w:lastRenderedPageBreak/>
        <w:t xml:space="preserve">и сообщает о недоступных инструментах. Наличие клиента </w:t>
      </w:r>
      <w:proofErr w:type="spellStart"/>
      <w:r>
        <w:t>psql</w:t>
      </w:r>
      <w:proofErr w:type="spellEnd"/>
      <w:r w:rsidRPr="00EC6142">
        <w:rPr>
          <w:lang w:val="ru-RU"/>
        </w:rPr>
        <w:t xml:space="preserve"> подтверждает его установку, но само по себе не подтверждает запуск сервера базы данных.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В репозитории подготовлены </w:t>
      </w:r>
      <w:r>
        <w:t>README</w:t>
      </w:r>
      <w:r w:rsidRPr="00EC6142">
        <w:rPr>
          <w:lang w:val="ru-RU"/>
        </w:rPr>
        <w:t>.</w:t>
      </w:r>
      <w:r>
        <w:t>md</w:t>
      </w:r>
      <w:r w:rsidRPr="00EC6142">
        <w:rPr>
          <w:lang w:val="ru-RU"/>
        </w:rPr>
        <w:t xml:space="preserve"> с темой и полем ФИО, .</w:t>
      </w:r>
      <w:proofErr w:type="spellStart"/>
      <w:r>
        <w:t>g</w:t>
      </w:r>
      <w:r>
        <w:t>itignore</w:t>
      </w:r>
      <w:proofErr w:type="spellEnd"/>
      <w:r w:rsidRPr="00EC6142">
        <w:rPr>
          <w:lang w:val="ru-RU"/>
        </w:rPr>
        <w:t xml:space="preserve">, текстовые разделы исследования, список источников в формате </w:t>
      </w:r>
      <w:proofErr w:type="spellStart"/>
      <w:r>
        <w:t>BibTeX</w:t>
      </w:r>
      <w:proofErr w:type="spellEnd"/>
      <w:r w:rsidRPr="00EC6142">
        <w:rPr>
          <w:lang w:val="ru-RU"/>
        </w:rPr>
        <w:t xml:space="preserve">, материалы перевода и отчёт. Текстовые версии в </w:t>
      </w:r>
      <w:r>
        <w:t>Markdown</w:t>
      </w:r>
      <w:r w:rsidRPr="00EC6142">
        <w:rPr>
          <w:lang w:val="ru-RU"/>
        </w:rPr>
        <w:t xml:space="preserve"> позволяют видеть содержательные изменения в </w:t>
      </w:r>
      <w:r>
        <w:t>Git</w:t>
      </w:r>
      <w:r w:rsidRPr="00EC6142">
        <w:rPr>
          <w:lang w:val="ru-RU"/>
        </w:rPr>
        <w:t xml:space="preserve">, тогда как файл </w:t>
      </w:r>
      <w:r>
        <w:t>DOCX</w:t>
      </w:r>
      <w:r w:rsidRPr="00EC6142">
        <w:rPr>
          <w:lang w:val="ru-RU"/>
        </w:rPr>
        <w:t xml:space="preserve"> удобен для сдачи. В .</w:t>
      </w:r>
      <w:proofErr w:type="spellStart"/>
      <w:r>
        <w:t>gitignore</w:t>
      </w:r>
      <w:proofErr w:type="spellEnd"/>
      <w:r w:rsidRPr="00EC6142">
        <w:rPr>
          <w:lang w:val="ru-RU"/>
        </w:rPr>
        <w:t xml:space="preserve"> исключены временные фа</w:t>
      </w:r>
      <w:r w:rsidRPr="00EC6142">
        <w:rPr>
          <w:lang w:val="ru-RU"/>
        </w:rPr>
        <w:t>йлы редактора, виртуальная среда, результаты сборки и локальные параметры с секретами.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Работу следует фиксировать отдельными осмысленными </w:t>
      </w:r>
      <w:proofErr w:type="spellStart"/>
      <w:r w:rsidRPr="00EC6142">
        <w:rPr>
          <w:lang w:val="ru-RU"/>
        </w:rPr>
        <w:t>коммитами</w:t>
      </w:r>
      <w:proofErr w:type="spellEnd"/>
      <w:r w:rsidRPr="00EC6142">
        <w:rPr>
          <w:lang w:val="ru-RU"/>
        </w:rPr>
        <w:t>: создание описания проекта; добавление анализа предметной области и источников; описание бизнес-процесса; до</w:t>
      </w:r>
      <w:r w:rsidRPr="00EC6142">
        <w:rPr>
          <w:lang w:val="ru-RU"/>
        </w:rPr>
        <w:t xml:space="preserve">бавление оригинала и перевода; оформление отчёта и средств проверки. Время </w:t>
      </w:r>
      <w:proofErr w:type="spellStart"/>
      <w:r w:rsidRPr="00EC6142">
        <w:rPr>
          <w:lang w:val="ru-RU"/>
        </w:rPr>
        <w:t>коммитов</w:t>
      </w:r>
      <w:proofErr w:type="spellEnd"/>
      <w:r w:rsidRPr="00EC6142">
        <w:rPr>
          <w:lang w:val="ru-RU"/>
        </w:rPr>
        <w:t xml:space="preserve"> и сведения об авторе должны соответствовать фактической истории. Подтверждение работы с </w:t>
      </w:r>
      <w:r>
        <w:t>Git</w:t>
      </w:r>
      <w:r w:rsidRPr="00EC6142">
        <w:rPr>
          <w:lang w:val="ru-RU"/>
        </w:rPr>
        <w:t xml:space="preserve"> составляют существующий удалённый репозиторий и выгрузка его истории, а не заран</w:t>
      </w:r>
      <w:r w:rsidRPr="00EC6142">
        <w:rPr>
          <w:lang w:val="ru-RU"/>
        </w:rPr>
        <w:t>ее написанный перечень предполагаемых изменений.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После создания личного репозитория его адрес записывается одной строкой в </w:t>
      </w:r>
      <w:proofErr w:type="spellStart"/>
      <w:r>
        <w:t>vcs</w:t>
      </w:r>
      <w:proofErr w:type="spellEnd"/>
      <w:r w:rsidRPr="00EC6142">
        <w:rPr>
          <w:lang w:val="ru-RU"/>
        </w:rPr>
        <w:t>/</w:t>
      </w:r>
      <w:r>
        <w:t>repo</w:t>
      </w:r>
      <w:r w:rsidRPr="00EC6142">
        <w:rPr>
          <w:lang w:val="ru-RU"/>
        </w:rPr>
        <w:t>_</w:t>
      </w:r>
      <w:proofErr w:type="spellStart"/>
      <w:r>
        <w:t>url</w:t>
      </w:r>
      <w:proofErr w:type="spellEnd"/>
      <w:r w:rsidRPr="00EC6142">
        <w:rPr>
          <w:lang w:val="ru-RU"/>
        </w:rPr>
        <w:t>.</w:t>
      </w:r>
      <w:r>
        <w:t>txt</w:t>
      </w:r>
      <w:r w:rsidRPr="00EC6142">
        <w:rPr>
          <w:lang w:val="ru-RU"/>
        </w:rPr>
        <w:t xml:space="preserve">. История выгружается командой </w:t>
      </w:r>
      <w:r>
        <w:t>git</w:t>
      </w:r>
      <w:r w:rsidRPr="00EC6142">
        <w:rPr>
          <w:lang w:val="ru-RU"/>
        </w:rPr>
        <w:t xml:space="preserve"> </w:t>
      </w:r>
      <w:r>
        <w:t>log</w:t>
      </w:r>
      <w:r w:rsidRPr="00EC6142">
        <w:rPr>
          <w:lang w:val="ru-RU"/>
        </w:rPr>
        <w:t xml:space="preserve"> --</w:t>
      </w:r>
      <w:r>
        <w:t>all</w:t>
      </w:r>
      <w:r w:rsidRPr="00EC6142">
        <w:rPr>
          <w:lang w:val="ru-RU"/>
        </w:rPr>
        <w:t xml:space="preserve"> --</w:t>
      </w:r>
      <w:r>
        <w:t>date</w:t>
      </w:r>
      <w:r w:rsidRPr="00EC6142">
        <w:rPr>
          <w:lang w:val="ru-RU"/>
        </w:rPr>
        <w:t>=</w:t>
      </w:r>
      <w:r>
        <w:t>iso</w:t>
      </w:r>
      <w:r w:rsidRPr="00EC6142">
        <w:rPr>
          <w:lang w:val="ru-RU"/>
        </w:rPr>
        <w:t xml:space="preserve"> --</w:t>
      </w:r>
      <w:r>
        <w:t>pretty</w:t>
      </w:r>
      <w:r w:rsidRPr="00EC6142">
        <w:rPr>
          <w:lang w:val="ru-RU"/>
        </w:rPr>
        <w:t>=</w:t>
      </w:r>
      <w:r>
        <w:t>format</w:t>
      </w:r>
      <w:r w:rsidRPr="00EC6142">
        <w:rPr>
          <w:lang w:val="ru-RU"/>
        </w:rPr>
        <w:t>:"%</w:t>
      </w:r>
      <w:r>
        <w:t>h</w:t>
      </w:r>
      <w:r w:rsidRPr="00EC6142">
        <w:rPr>
          <w:lang w:val="ru-RU"/>
        </w:rPr>
        <w:t xml:space="preserve"> %</w:t>
      </w:r>
      <w:r>
        <w:t>ad</w:t>
      </w:r>
      <w:r w:rsidRPr="00EC6142">
        <w:rPr>
          <w:lang w:val="ru-RU"/>
        </w:rPr>
        <w:t xml:space="preserve"> %</w:t>
      </w:r>
      <w:r>
        <w:t>an</w:t>
      </w:r>
      <w:r w:rsidRPr="00EC6142">
        <w:rPr>
          <w:lang w:val="ru-RU"/>
        </w:rPr>
        <w:t xml:space="preserve"> %</w:t>
      </w:r>
      <w:r>
        <w:t>s</w:t>
      </w:r>
      <w:r w:rsidRPr="00EC6142">
        <w:rPr>
          <w:lang w:val="ru-RU"/>
        </w:rPr>
        <w:t xml:space="preserve">" и сохраняется в </w:t>
      </w:r>
      <w:proofErr w:type="spellStart"/>
      <w:r>
        <w:t>vcs</w:t>
      </w:r>
      <w:proofErr w:type="spellEnd"/>
      <w:r w:rsidRPr="00EC6142">
        <w:rPr>
          <w:lang w:val="ru-RU"/>
        </w:rPr>
        <w:t>/</w:t>
      </w:r>
      <w:r>
        <w:t>git</w:t>
      </w:r>
      <w:r w:rsidRPr="00EC6142">
        <w:rPr>
          <w:lang w:val="ru-RU"/>
        </w:rPr>
        <w:t>_</w:t>
      </w:r>
      <w:r>
        <w:t>log</w:t>
      </w:r>
      <w:r w:rsidRPr="00EC6142">
        <w:rPr>
          <w:lang w:val="ru-RU"/>
        </w:rPr>
        <w:t>.</w:t>
      </w:r>
      <w:r>
        <w:t>t</w:t>
      </w:r>
      <w:r>
        <w:t>xt</w:t>
      </w:r>
      <w:r w:rsidRPr="00EC6142">
        <w:rPr>
          <w:lang w:val="ru-RU"/>
        </w:rPr>
        <w:t xml:space="preserve">. Эти файлы формируются из фактического репозитория при сборке архива. Требование КТ1 о трёх </w:t>
      </w:r>
      <w:proofErr w:type="spellStart"/>
      <w:r w:rsidRPr="00EC6142">
        <w:rPr>
          <w:lang w:val="ru-RU"/>
        </w:rPr>
        <w:t>коммитах</w:t>
      </w:r>
      <w:proofErr w:type="spellEnd"/>
      <w:r w:rsidRPr="00EC6142">
        <w:rPr>
          <w:lang w:val="ru-RU"/>
        </w:rPr>
        <w:t xml:space="preserve"> в разные дни проверяется отдельно; подготовленные материалы и изменение метаданных </w:t>
      </w:r>
      <w:r>
        <w:t>Git</w:t>
      </w:r>
      <w:r w:rsidRPr="00EC6142">
        <w:rPr>
          <w:lang w:val="ru-RU"/>
        </w:rPr>
        <w:t xml:space="preserve"> не подтверждают его выполнения.</w:t>
      </w:r>
    </w:p>
    <w:p w:rsidR="00CC1596" w:rsidRPr="00EC6142" w:rsidRDefault="00BE40CD">
      <w:pPr>
        <w:pStyle w:val="21"/>
        <w:rPr>
          <w:lang w:val="ru-RU"/>
        </w:rPr>
      </w:pPr>
      <w:bookmarkStart w:id="9" w:name="_TOC_09"/>
      <w:r w:rsidRPr="00EC6142">
        <w:rPr>
          <w:lang w:val="ru-RU"/>
        </w:rPr>
        <w:t xml:space="preserve">1.7 Выводы по исследовательскому </w:t>
      </w:r>
      <w:r w:rsidRPr="00EC6142">
        <w:rPr>
          <w:lang w:val="ru-RU"/>
        </w:rPr>
        <w:t>этапу</w:t>
      </w:r>
      <w:bookmarkEnd w:id="9"/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В ходе исследовательского этапа рассмотрены особенности потребительского микрокредитования, история развития процесса в России и актуальные нормативные условия. Установлено, что для выбранной темы необходимо автоматизировать конкретный процесс рассмо</w:t>
      </w:r>
      <w:r w:rsidRPr="00EC6142">
        <w:rPr>
          <w:lang w:val="ru-RU"/>
        </w:rPr>
        <w:t>трения одной заявки, а не всю деятельность МФО.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lastRenderedPageBreak/>
        <w:t>Определены участники, входные сведения, последовательность действий и конечный результат. Выделены ожидаемые проблемы раздельного учёта и направления их устранения: единая регистрация, контроль обязательных п</w:t>
      </w:r>
      <w:r w:rsidRPr="00EC6142">
        <w:rPr>
          <w:lang w:val="ru-RU"/>
        </w:rPr>
        <w:t>роверок, история статусов и сохранение основания решения. Описанный процесс будет использован для моделирования и разработки на следующих этапах.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Подобраны 18 источников 2023–2026 годов: 10 отечественных и 8 иностранных, в том числе пять научных статей из </w:t>
      </w:r>
      <w:r w:rsidRPr="00EC6142">
        <w:rPr>
          <w:lang w:val="ru-RU"/>
        </w:rPr>
        <w:t>рецензируемых журналов. Выполнен перевод фрагментов иностранной статьи по микрофинансированию. Выбраны инструменты разработки и подготовлены материалы для начала ведения репозитория. Переход к аналитическому этапу предполагает формализацию процесса, опреде</w:t>
      </w:r>
      <w:r w:rsidRPr="00EC6142">
        <w:rPr>
          <w:lang w:val="ru-RU"/>
        </w:rPr>
        <w:t>ление данных и разработку алгоритмов.</w:t>
      </w:r>
    </w:p>
    <w:p w:rsidR="00CC1596" w:rsidRPr="00EC6142" w:rsidRDefault="00BE40CD">
      <w:pPr>
        <w:pStyle w:val="1"/>
        <w:ind w:left="0"/>
        <w:jc w:val="center"/>
        <w:rPr>
          <w:lang w:val="ru-RU"/>
        </w:rPr>
      </w:pPr>
      <w:bookmarkStart w:id="10" w:name="_TOC_10"/>
      <w:r w:rsidRPr="00EC6142">
        <w:rPr>
          <w:lang w:val="ru-RU"/>
        </w:rPr>
        <w:lastRenderedPageBreak/>
        <w:t>СПИСОК ИСПОЛЬЗОВАННЫХ ИСТОЧНИКОВ</w:t>
      </w:r>
      <w:bookmarkEnd w:id="10"/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t xml:space="preserve">1. Тенденции на рынке МФО за </w:t>
      </w:r>
      <w:r>
        <w:t>II</w:t>
      </w:r>
      <w:r w:rsidRPr="00EC6142">
        <w:rPr>
          <w:lang w:val="ru-RU"/>
        </w:rPr>
        <w:t xml:space="preserve"> квартал 2026 года / Банк России. — 2026. —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proofErr w:type="spellStart"/>
      <w:r>
        <w:t>cbr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r>
        <w:t>analytics</w:t>
      </w:r>
      <w:r w:rsidRPr="00EC6142">
        <w:rPr>
          <w:lang w:val="ru-RU"/>
        </w:rPr>
        <w:t>/</w:t>
      </w:r>
      <w:r>
        <w:t>microfinance</w:t>
      </w:r>
      <w:r w:rsidRPr="00EC6142">
        <w:rPr>
          <w:lang w:val="ru-RU"/>
        </w:rPr>
        <w:t>/</w:t>
      </w:r>
      <w:proofErr w:type="spellStart"/>
      <w:r>
        <w:t>mfo</w:t>
      </w:r>
      <w:proofErr w:type="spellEnd"/>
      <w:r w:rsidRPr="00EC6142">
        <w:rPr>
          <w:lang w:val="ru-RU"/>
        </w:rPr>
        <w:t>/</w:t>
      </w:r>
      <w:proofErr w:type="spellStart"/>
      <w:r>
        <w:t>mfommt</w:t>
      </w:r>
      <w:proofErr w:type="spellEnd"/>
      <w:r w:rsidRPr="00EC6142">
        <w:rPr>
          <w:lang w:val="ru-RU"/>
        </w:rPr>
        <w:t>_2026_2/ (дата обращения: 06.10.2026). — Текст : электрон</w:t>
      </w:r>
      <w:r w:rsidRPr="00EC6142">
        <w:rPr>
          <w:lang w:val="ru-RU"/>
        </w:rPr>
        <w:t>ный.</w:t>
      </w:r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t xml:space="preserve">2. Состояние и тенденции развития рынка микрофинансирования в России / С. Н. </w:t>
      </w:r>
      <w:proofErr w:type="spellStart"/>
      <w:r w:rsidRPr="00EC6142">
        <w:rPr>
          <w:lang w:val="ru-RU"/>
        </w:rPr>
        <w:t>Сайфиева</w:t>
      </w:r>
      <w:proofErr w:type="spellEnd"/>
      <w:r w:rsidRPr="00EC6142">
        <w:rPr>
          <w:lang w:val="ru-RU"/>
        </w:rPr>
        <w:t xml:space="preserve">, И. В. </w:t>
      </w:r>
      <w:proofErr w:type="spellStart"/>
      <w:r w:rsidRPr="00EC6142">
        <w:rPr>
          <w:lang w:val="ru-RU"/>
        </w:rPr>
        <w:t>Соклакова</w:t>
      </w:r>
      <w:proofErr w:type="spellEnd"/>
      <w:r w:rsidRPr="00EC6142">
        <w:rPr>
          <w:lang w:val="ru-RU"/>
        </w:rPr>
        <w:t xml:space="preserve">, А. В. Борщева, М. Д. Иванов. — </w:t>
      </w:r>
      <w:r>
        <w:t>DOI</w:t>
      </w:r>
      <w:r w:rsidRPr="00EC6142">
        <w:rPr>
          <w:lang w:val="ru-RU"/>
        </w:rPr>
        <w:t xml:space="preserve"> 10.26425/1816-4277-2024-9-111-121. — Текст : электронный // Вестник университета. — 2024. — № 9. — С. 111–121. —</w:t>
      </w:r>
      <w:r w:rsidRPr="00EC6142">
        <w:rPr>
          <w:lang w:val="ru-RU"/>
        </w:rPr>
        <w:t xml:space="preserve">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proofErr w:type="spellStart"/>
      <w:r>
        <w:t>vestnik</w:t>
      </w:r>
      <w:proofErr w:type="spellEnd"/>
      <w:r w:rsidRPr="00EC6142">
        <w:rPr>
          <w:lang w:val="ru-RU"/>
        </w:rPr>
        <w:t>.</w:t>
      </w:r>
      <w:proofErr w:type="spellStart"/>
      <w:r>
        <w:t>guu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r>
        <w:t>jour</w:t>
      </w:r>
      <w:r w:rsidRPr="00EC6142">
        <w:rPr>
          <w:lang w:val="ru-RU"/>
        </w:rPr>
        <w:t>/</w:t>
      </w:r>
      <w:r>
        <w:t>article</w:t>
      </w:r>
      <w:r w:rsidRPr="00EC6142">
        <w:rPr>
          <w:lang w:val="ru-RU"/>
        </w:rPr>
        <w:t>/</w:t>
      </w:r>
      <w:r>
        <w:t>view</w:t>
      </w:r>
      <w:r w:rsidRPr="00EC6142">
        <w:rPr>
          <w:lang w:val="ru-RU"/>
        </w:rPr>
        <w:t>/5554 (дата обращения: 06.10.2026).</w:t>
      </w:r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t xml:space="preserve">3. </w:t>
      </w:r>
      <w:proofErr w:type="spellStart"/>
      <w:r w:rsidRPr="00EC6142">
        <w:rPr>
          <w:lang w:val="ru-RU"/>
        </w:rPr>
        <w:t>Рейхерт</w:t>
      </w:r>
      <w:proofErr w:type="spellEnd"/>
      <w:r w:rsidRPr="00EC6142">
        <w:rPr>
          <w:lang w:val="ru-RU"/>
        </w:rPr>
        <w:t xml:space="preserve">, Н. В. Рынок микрофинансирования в России: проблемы и перспективы развития / Н. В. </w:t>
      </w:r>
      <w:proofErr w:type="spellStart"/>
      <w:r w:rsidRPr="00EC6142">
        <w:rPr>
          <w:lang w:val="ru-RU"/>
        </w:rPr>
        <w:t>Рейхерт</w:t>
      </w:r>
      <w:proofErr w:type="spellEnd"/>
      <w:r w:rsidRPr="00EC6142">
        <w:rPr>
          <w:lang w:val="ru-RU"/>
        </w:rPr>
        <w:t xml:space="preserve">. — </w:t>
      </w:r>
      <w:r>
        <w:t>DOI</w:t>
      </w:r>
      <w:r w:rsidRPr="00EC6142">
        <w:rPr>
          <w:lang w:val="ru-RU"/>
        </w:rPr>
        <w:t xml:space="preserve"> 10.17513/</w:t>
      </w:r>
      <w:proofErr w:type="spellStart"/>
      <w:r>
        <w:t>vaael</w:t>
      </w:r>
      <w:proofErr w:type="spellEnd"/>
      <w:r w:rsidRPr="00EC6142">
        <w:rPr>
          <w:lang w:val="ru-RU"/>
        </w:rPr>
        <w:t>.3922. — Текст : электронный // Вестник Алтайской а</w:t>
      </w:r>
      <w:r w:rsidRPr="00EC6142">
        <w:rPr>
          <w:lang w:val="ru-RU"/>
        </w:rPr>
        <w:t xml:space="preserve">кадемии экономики и права. — 2024. — № 12, ч. 2. — С. 309–315. —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proofErr w:type="spellStart"/>
      <w:r>
        <w:t>vaael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r>
        <w:t>article</w:t>
      </w:r>
      <w:r w:rsidRPr="00EC6142">
        <w:rPr>
          <w:lang w:val="ru-RU"/>
        </w:rPr>
        <w:t>/</w:t>
      </w:r>
      <w:r>
        <w:t>view</w:t>
      </w:r>
      <w:r w:rsidRPr="00EC6142">
        <w:rPr>
          <w:lang w:val="ru-RU"/>
        </w:rPr>
        <w:t>?</w:t>
      </w:r>
      <w:r>
        <w:t>id</w:t>
      </w:r>
      <w:r w:rsidRPr="00EC6142">
        <w:rPr>
          <w:lang w:val="ru-RU"/>
        </w:rPr>
        <w:t>=3922 (дата обращения: 06.10.2026).</w:t>
      </w:r>
    </w:p>
    <w:p w:rsidR="00CC1596" w:rsidRDefault="00BE40CD">
      <w:pPr>
        <w:ind w:left="454" w:hanging="454"/>
      </w:pPr>
      <w:r>
        <w:t>4. Meki, M. Microfinance: an overview / M. Meki, S. Quinn. — DOI 10.1093/oxrep/grae004. — Text : electronic // Oxfo</w:t>
      </w:r>
      <w:r>
        <w:t>rd Review of Economic Policy. — 2024. — Vol. 40, no. 1. — P. 1–7. — URL: https://academic.oup.com/oxrep/article/40/1/1/7630840 (accessed: 06.10.2026).</w:t>
      </w:r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t xml:space="preserve">5. Тенденции на рынке МФО за 2024 год / Банк России. — 2025. —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proofErr w:type="spellStart"/>
      <w:r>
        <w:t>cbr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r>
        <w:t>analytics</w:t>
      </w:r>
      <w:r w:rsidRPr="00EC6142">
        <w:rPr>
          <w:lang w:val="ru-RU"/>
        </w:rPr>
        <w:t>/</w:t>
      </w:r>
      <w:r>
        <w:t>microfinance</w:t>
      </w:r>
      <w:r w:rsidRPr="00EC6142">
        <w:rPr>
          <w:lang w:val="ru-RU"/>
        </w:rPr>
        <w:t>/</w:t>
      </w:r>
      <w:proofErr w:type="spellStart"/>
      <w:r>
        <w:t>mfo</w:t>
      </w:r>
      <w:proofErr w:type="spellEnd"/>
      <w:r w:rsidRPr="00EC6142">
        <w:rPr>
          <w:lang w:val="ru-RU"/>
        </w:rPr>
        <w:t>/</w:t>
      </w:r>
      <w:proofErr w:type="spellStart"/>
      <w:r>
        <w:t>mmt</w:t>
      </w:r>
      <w:proofErr w:type="spellEnd"/>
      <w:r w:rsidRPr="00EC6142">
        <w:rPr>
          <w:lang w:val="ru-RU"/>
        </w:rPr>
        <w:t>_2024_4/ (дата обращения: 06.10.2026). — Текст : электронный.</w:t>
      </w:r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t xml:space="preserve">6. Тенденции на рынке МФО за 2025 год / Банк России. — 2026. —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proofErr w:type="spellStart"/>
      <w:r>
        <w:t>cbr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r>
        <w:t>analytics</w:t>
      </w:r>
      <w:r w:rsidRPr="00EC6142">
        <w:rPr>
          <w:lang w:val="ru-RU"/>
        </w:rPr>
        <w:t>/</w:t>
      </w:r>
      <w:r>
        <w:t>microfinance</w:t>
      </w:r>
      <w:r w:rsidRPr="00EC6142">
        <w:rPr>
          <w:lang w:val="ru-RU"/>
        </w:rPr>
        <w:t>/</w:t>
      </w:r>
      <w:proofErr w:type="spellStart"/>
      <w:r>
        <w:t>mfo</w:t>
      </w:r>
      <w:proofErr w:type="spellEnd"/>
      <w:r w:rsidRPr="00EC6142">
        <w:rPr>
          <w:lang w:val="ru-RU"/>
        </w:rPr>
        <w:t>/2025_4/ (дата обращения: 06.10.2026). — Текст : электронный.</w:t>
      </w:r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t>7. Базовый стан</w:t>
      </w:r>
      <w:r w:rsidRPr="00EC6142">
        <w:rPr>
          <w:lang w:val="ru-RU"/>
        </w:rPr>
        <w:t xml:space="preserve">дарт совершения микрофинансовой организацией операций на финансовом рынке : утвержден Банком России, протокол № КФНП-13 от 24 апреля 2025 года. — 2025. — 14 с. —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proofErr w:type="spellStart"/>
      <w:r>
        <w:t>cbr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r>
        <w:t>Queries</w:t>
      </w:r>
      <w:r w:rsidRPr="00EC6142">
        <w:rPr>
          <w:lang w:val="ru-RU"/>
        </w:rPr>
        <w:t>/</w:t>
      </w:r>
      <w:proofErr w:type="spellStart"/>
      <w:r>
        <w:t>XsltBlock</w:t>
      </w:r>
      <w:proofErr w:type="spellEnd"/>
      <w:r w:rsidRPr="00EC6142">
        <w:rPr>
          <w:lang w:val="ru-RU"/>
        </w:rPr>
        <w:t>/</w:t>
      </w:r>
      <w:r>
        <w:t>File</w:t>
      </w:r>
      <w:r w:rsidRPr="00EC6142">
        <w:rPr>
          <w:lang w:val="ru-RU"/>
        </w:rPr>
        <w:t>/90010/62 (дата обращения: 06.10.2026). — Текст : эл</w:t>
      </w:r>
      <w:r w:rsidRPr="00EC6142">
        <w:rPr>
          <w:lang w:val="ru-RU"/>
        </w:rPr>
        <w:t>ектронный.</w:t>
      </w:r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lastRenderedPageBreak/>
        <w:t>8. Базовый стандарт защиты прав и интересов физических и юридических лиц — получателей финансовых услуг, оказываемых членами саморегулируемых организаций в сфере финансового рынка, объединяющих микрофинансовые организации : утвержден Банком Росс</w:t>
      </w:r>
      <w:r w:rsidRPr="00EC6142">
        <w:rPr>
          <w:lang w:val="ru-RU"/>
        </w:rPr>
        <w:t xml:space="preserve">ии, протокол № КФНП–14 от 7 мая 2026 года. — 2026. — 22 с. —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proofErr w:type="spellStart"/>
      <w:r>
        <w:t>cbr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r>
        <w:t>Queries</w:t>
      </w:r>
      <w:r w:rsidRPr="00EC6142">
        <w:rPr>
          <w:lang w:val="ru-RU"/>
        </w:rPr>
        <w:t>/</w:t>
      </w:r>
      <w:proofErr w:type="spellStart"/>
      <w:r>
        <w:t>XsltBlock</w:t>
      </w:r>
      <w:proofErr w:type="spellEnd"/>
      <w:r w:rsidRPr="00EC6142">
        <w:rPr>
          <w:lang w:val="ru-RU"/>
        </w:rPr>
        <w:t>/</w:t>
      </w:r>
      <w:r>
        <w:t>File</w:t>
      </w:r>
      <w:r w:rsidRPr="00EC6142">
        <w:rPr>
          <w:lang w:val="ru-RU"/>
        </w:rPr>
        <w:t>/90010/68 (дата обращения: 06.10.2026). — Текст : электронный.</w:t>
      </w:r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t>9. Расчет показателя долговой нагрузки заемщика : разъяснения к Указанию Банка России от 1</w:t>
      </w:r>
      <w:r w:rsidRPr="00EC6142">
        <w:rPr>
          <w:lang w:val="ru-RU"/>
        </w:rPr>
        <w:t xml:space="preserve">6 октября 2023 года № 6579-У в редакции Указания Банка России от 19 января 2026 года № 7286-У / Банк России. — 2026. —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proofErr w:type="spellStart"/>
      <w:r>
        <w:t>cbr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proofErr w:type="spellStart"/>
      <w:r>
        <w:t>explan</w:t>
      </w:r>
      <w:proofErr w:type="spellEnd"/>
      <w:r w:rsidRPr="00EC6142">
        <w:rPr>
          <w:lang w:val="ru-RU"/>
        </w:rPr>
        <w:t>/</w:t>
      </w:r>
      <w:proofErr w:type="spellStart"/>
      <w:r>
        <w:t>dfs</w:t>
      </w:r>
      <w:proofErr w:type="spellEnd"/>
      <w:r w:rsidRPr="00EC6142">
        <w:rPr>
          <w:lang w:val="ru-RU"/>
        </w:rPr>
        <w:t>_</w:t>
      </w:r>
      <w:proofErr w:type="spellStart"/>
      <w:r>
        <w:t>pdnz</w:t>
      </w:r>
      <w:proofErr w:type="spellEnd"/>
      <w:r w:rsidRPr="00EC6142">
        <w:rPr>
          <w:lang w:val="ru-RU"/>
        </w:rPr>
        <w:t>/</w:t>
      </w:r>
      <w:proofErr w:type="spellStart"/>
      <w:r>
        <w:t>dfs</w:t>
      </w:r>
      <w:proofErr w:type="spellEnd"/>
      <w:r w:rsidRPr="00EC6142">
        <w:rPr>
          <w:lang w:val="ru-RU"/>
        </w:rPr>
        <w:t>_</w:t>
      </w:r>
      <w:proofErr w:type="spellStart"/>
      <w:r>
        <w:t>pdnz</w:t>
      </w:r>
      <w:proofErr w:type="spellEnd"/>
      <w:r w:rsidRPr="00EC6142">
        <w:rPr>
          <w:lang w:val="ru-RU"/>
        </w:rPr>
        <w:t>_6579-</w:t>
      </w:r>
      <w:r>
        <w:t>u</w:t>
      </w:r>
      <w:r w:rsidRPr="00EC6142">
        <w:rPr>
          <w:lang w:val="ru-RU"/>
        </w:rPr>
        <w:t>_7286-</w:t>
      </w:r>
      <w:r>
        <w:t>u</w:t>
      </w:r>
      <w:r w:rsidRPr="00EC6142">
        <w:rPr>
          <w:lang w:val="ru-RU"/>
        </w:rPr>
        <w:t>/ (дата обращения: 06.10.2026). — Текст : электронный.</w:t>
      </w:r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t>10. Граждане могут устан</w:t>
      </w:r>
      <w:r w:rsidRPr="00EC6142">
        <w:rPr>
          <w:lang w:val="ru-RU"/>
        </w:rPr>
        <w:t xml:space="preserve">овить </w:t>
      </w:r>
      <w:proofErr w:type="spellStart"/>
      <w:r w:rsidRPr="00EC6142">
        <w:rPr>
          <w:lang w:val="ru-RU"/>
        </w:rPr>
        <w:t>самозапрет</w:t>
      </w:r>
      <w:proofErr w:type="spellEnd"/>
      <w:r w:rsidRPr="00EC6142">
        <w:rPr>
          <w:lang w:val="ru-RU"/>
        </w:rPr>
        <w:t xml:space="preserve"> на кредиты / Банк России. — 1 марта 2025. —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r>
        <w:t>www</w:t>
      </w:r>
      <w:r w:rsidRPr="00EC6142">
        <w:rPr>
          <w:lang w:val="ru-RU"/>
        </w:rPr>
        <w:t>.</w:t>
      </w:r>
      <w:proofErr w:type="spellStart"/>
      <w:r>
        <w:t>cbr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r>
        <w:t>press</w:t>
      </w:r>
      <w:r w:rsidRPr="00EC6142">
        <w:rPr>
          <w:lang w:val="ru-RU"/>
        </w:rPr>
        <w:t>/</w:t>
      </w:r>
      <w:r>
        <w:t>event</w:t>
      </w:r>
      <w:r w:rsidRPr="00EC6142">
        <w:rPr>
          <w:lang w:val="ru-RU"/>
        </w:rPr>
        <w:t>/?</w:t>
      </w:r>
      <w:r>
        <w:t>id</w:t>
      </w:r>
      <w:r w:rsidRPr="00EC6142">
        <w:rPr>
          <w:lang w:val="ru-RU"/>
        </w:rPr>
        <w:t>=23423 (дата обращения: 06.10.2026). — Текст : электронный.</w:t>
      </w:r>
    </w:p>
    <w:p w:rsidR="00CC1596" w:rsidRPr="00EC6142" w:rsidRDefault="00BE40CD">
      <w:pPr>
        <w:ind w:left="454" w:hanging="454"/>
        <w:rPr>
          <w:lang w:val="ru-RU"/>
        </w:rPr>
      </w:pPr>
      <w:r w:rsidRPr="00EC6142">
        <w:rPr>
          <w:lang w:val="ru-RU"/>
        </w:rPr>
        <w:t>11. Период охлаждения по кредитам и займам / Банк России. — 2025. — Обновлено 27 августа 2025. —</w:t>
      </w:r>
      <w:r w:rsidRPr="00EC6142">
        <w:rPr>
          <w:lang w:val="ru-RU"/>
        </w:rPr>
        <w:t xml:space="preserve"> </w:t>
      </w:r>
      <w:r>
        <w:t>URL</w:t>
      </w:r>
      <w:r w:rsidRPr="00EC6142">
        <w:rPr>
          <w:lang w:val="ru-RU"/>
        </w:rPr>
        <w:t xml:space="preserve">: </w:t>
      </w:r>
      <w:r>
        <w:t>https</w:t>
      </w:r>
      <w:r w:rsidRPr="00EC6142">
        <w:rPr>
          <w:lang w:val="ru-RU"/>
        </w:rPr>
        <w:t>://</w:t>
      </w:r>
      <w:r>
        <w:t>www</w:t>
      </w:r>
      <w:r w:rsidRPr="00EC6142">
        <w:rPr>
          <w:lang w:val="ru-RU"/>
        </w:rPr>
        <w:t>.</w:t>
      </w:r>
      <w:proofErr w:type="spellStart"/>
      <w:r>
        <w:t>cbr</w:t>
      </w:r>
      <w:proofErr w:type="spellEnd"/>
      <w:r w:rsidRPr="00EC6142">
        <w:rPr>
          <w:lang w:val="ru-RU"/>
        </w:rPr>
        <w:t>.</w:t>
      </w:r>
      <w:proofErr w:type="spellStart"/>
      <w:r>
        <w:t>ru</w:t>
      </w:r>
      <w:proofErr w:type="spellEnd"/>
      <w:r w:rsidRPr="00EC6142">
        <w:rPr>
          <w:lang w:val="ru-RU"/>
        </w:rPr>
        <w:t>/</w:t>
      </w:r>
      <w:proofErr w:type="spellStart"/>
      <w:r>
        <w:t>faq</w:t>
      </w:r>
      <w:proofErr w:type="spellEnd"/>
      <w:r w:rsidRPr="00EC6142">
        <w:rPr>
          <w:lang w:val="ru-RU"/>
        </w:rPr>
        <w:t>/</w:t>
      </w:r>
      <w:r>
        <w:t>information</w:t>
      </w:r>
      <w:r w:rsidRPr="00EC6142">
        <w:rPr>
          <w:lang w:val="ru-RU"/>
        </w:rPr>
        <w:t>_</w:t>
      </w:r>
      <w:r>
        <w:t>security</w:t>
      </w:r>
      <w:r w:rsidRPr="00EC6142">
        <w:rPr>
          <w:lang w:val="ru-RU"/>
        </w:rPr>
        <w:t>/</w:t>
      </w:r>
      <w:r>
        <w:t>cooling</w:t>
      </w:r>
      <w:r w:rsidRPr="00EC6142">
        <w:rPr>
          <w:lang w:val="ru-RU"/>
        </w:rPr>
        <w:t>-</w:t>
      </w:r>
      <w:r>
        <w:t>off</w:t>
      </w:r>
      <w:r w:rsidRPr="00EC6142">
        <w:rPr>
          <w:lang w:val="ru-RU"/>
        </w:rPr>
        <w:t>_</w:t>
      </w:r>
      <w:r>
        <w:t>period</w:t>
      </w:r>
      <w:r w:rsidRPr="00EC6142">
        <w:rPr>
          <w:lang w:val="ru-RU"/>
        </w:rPr>
        <w:t>/ (дата обращения: 06.10.2026). — Текст : электронный.</w:t>
      </w:r>
    </w:p>
    <w:p w:rsidR="00CC1596" w:rsidRDefault="00BE40CD">
      <w:pPr>
        <w:ind w:left="454" w:hanging="454"/>
      </w:pPr>
      <w:r>
        <w:t>12. Microcredit Pricing Model for Microfinance Institutions under Basel III Banking Regulations / P. Durango-Gutiérrez, J. Lara-Rubio</w:t>
      </w:r>
      <w:r>
        <w:t>, A. Navarro-Galera, D. Buendía-Carrillo. — DOI 10.3390/ijfs12030088. — Text : electronic // International Journal of Financial Studies. — 2024. — Vol. 12, no. 3. — Art. 88. — URL: https://www.mdpi.com/2227-7072/12/3/88 (accessed: 06.10.2026).</w:t>
      </w:r>
    </w:p>
    <w:p w:rsidR="00CC1596" w:rsidRDefault="00BE40CD">
      <w:pPr>
        <w:ind w:left="454" w:hanging="454"/>
      </w:pPr>
      <w:r>
        <w:t>13. Hlongwan</w:t>
      </w:r>
      <w:r>
        <w:t>e, R. A novel framework for enhancing transparency in credit scoring: Leveraging Shapley values for interpretable credit scorecards / R. Hlongwane, K. Ramaboa, W. Mongwe. — DOI 10.1371/journal.pone.0308718. — Text : electronic // PLOS ONE. — 2024. — Vol. 1</w:t>
      </w:r>
      <w:r>
        <w:t>9, no. 8. — Art. e0308718. — URL: https://journals.plos.org/plosone/article?id=10.1371/journal.pone.0308718 (accessed: 06.10.2026).</w:t>
      </w:r>
    </w:p>
    <w:p w:rsidR="00CC1596" w:rsidRDefault="00BE40CD">
      <w:pPr>
        <w:ind w:left="454" w:hanging="454"/>
      </w:pPr>
      <w:r>
        <w:lastRenderedPageBreak/>
        <w:t xml:space="preserve">14. Visual Studio Code: October 2024 (version 1.95) / Microsoft. — 2024. — URL: https://code.visualstudio.com/updates/v1_95 </w:t>
      </w:r>
      <w:r>
        <w:t>(accessed: 06.10.2026). — Text : electronic.</w:t>
      </w:r>
    </w:p>
    <w:p w:rsidR="00CC1596" w:rsidRDefault="00BE40CD">
      <w:pPr>
        <w:ind w:left="454" w:hanging="454"/>
      </w:pPr>
      <w:r>
        <w:t>15. What’s New In Python 3.13 / Python Software Foundation ; editors A. Turner, T. Wouters. — 2024. — URL: https://docs.python.org/3.13/whatsnew/3.13.html (accessed: 06.10.2026). — Text : electronic.</w:t>
      </w:r>
    </w:p>
    <w:p w:rsidR="00CC1596" w:rsidRDefault="00BE40CD">
      <w:pPr>
        <w:ind w:left="454" w:hanging="454"/>
      </w:pPr>
      <w:r>
        <w:t>16. Java Pl</w:t>
      </w:r>
      <w:r>
        <w:t>atform, Standard Edition 21 API Specification / Oracle. — 2023. — URL: https://docs.oracle.com/en/java/javase/21/docs/api/index.html (accessed: 06.10.2026). — Text : electronic.</w:t>
      </w:r>
    </w:p>
    <w:p w:rsidR="00CC1596" w:rsidRDefault="00BE40CD">
      <w:pPr>
        <w:ind w:left="454" w:hanging="454"/>
      </w:pPr>
      <w:r>
        <w:t>17. PostgreSQL 17 Documentation / PostgreSQL Global Development Group. — 2024.</w:t>
      </w:r>
      <w:r>
        <w:t xml:space="preserve"> — URL: https://www.postgresql.org/docs/17/ (accessed: 06.10.2026). — Text : electronic.</w:t>
      </w:r>
    </w:p>
    <w:p w:rsidR="00CC1596" w:rsidRDefault="00BE40CD">
      <w:pPr>
        <w:ind w:left="454" w:hanging="454"/>
      </w:pPr>
      <w:r>
        <w:t>18. Git 2.47.0 Documentation / Git project. — 2024. — URL: https://git-scm.com/docs/git/2.47.0 (accessed: 06.10.2026). — Text : electronic.</w:t>
      </w:r>
    </w:p>
    <w:p w:rsidR="00CC1596" w:rsidRPr="00EC6142" w:rsidRDefault="00BE40CD">
      <w:pPr>
        <w:pStyle w:val="1"/>
        <w:ind w:left="0"/>
        <w:jc w:val="center"/>
        <w:rPr>
          <w:lang w:val="ru-RU"/>
        </w:rPr>
      </w:pPr>
      <w:bookmarkStart w:id="11" w:name="_TOC_11"/>
      <w:r w:rsidRPr="00EC6142">
        <w:rPr>
          <w:lang w:val="ru-RU"/>
        </w:rPr>
        <w:lastRenderedPageBreak/>
        <w:t>ПРИЛОЖЕНИЕ А</w:t>
      </w:r>
      <w:bookmarkEnd w:id="11"/>
    </w:p>
    <w:p w:rsidR="00CC1596" w:rsidRPr="00EC6142" w:rsidRDefault="00BE40CD">
      <w:pPr>
        <w:spacing w:after="283"/>
        <w:ind w:firstLine="0"/>
        <w:jc w:val="center"/>
        <w:rPr>
          <w:lang w:val="ru-RU"/>
        </w:rPr>
      </w:pPr>
      <w:r w:rsidRPr="00EC6142">
        <w:rPr>
          <w:b/>
          <w:lang w:val="ru-RU"/>
        </w:rPr>
        <w:t>Перевод фрагме</w:t>
      </w:r>
      <w:r w:rsidRPr="00EC6142">
        <w:rPr>
          <w:b/>
          <w:lang w:val="ru-RU"/>
        </w:rPr>
        <w:t>нта иностранного источника</w:t>
      </w:r>
    </w:p>
    <w:p w:rsidR="00CC1596" w:rsidRDefault="00BE40CD">
      <w:proofErr w:type="spellStart"/>
      <w:r>
        <w:t>Оригинал</w:t>
      </w:r>
      <w:proofErr w:type="spellEnd"/>
      <w:r>
        <w:t xml:space="preserve">: Durango-Gutiérrez P., Lara-Rubio J., Navarro-Galera A., Buendía-Carrillo D. Microcredit Pricing Model for Microfinance Institutions under Basel III Banking Regulations. International Journal of Financial Studies. 2024. </w:t>
      </w:r>
      <w:r>
        <w:t>Vol. 12, no. 3. Article 88. DOI: 10.3390/ijfs12030088 [12].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Название в переводе: «Модель ценообразования микрозаймов для микрофинансовых организаций на основе банковских требований </w:t>
      </w:r>
      <w:r>
        <w:t>Basel</w:t>
      </w:r>
      <w:r w:rsidRPr="00EC6142">
        <w:rPr>
          <w:lang w:val="ru-RU"/>
        </w:rPr>
        <w:t xml:space="preserve"> </w:t>
      </w:r>
      <w:r>
        <w:t>III</w:t>
      </w:r>
      <w:r w:rsidRPr="00EC6142">
        <w:rPr>
          <w:lang w:val="ru-RU"/>
        </w:rPr>
        <w:t>».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Переводимые фрагменты: аннотация (страница 1), подраздел 4.4 «О</w:t>
      </w:r>
      <w:r w:rsidRPr="00EC6142">
        <w:rPr>
          <w:lang w:val="ru-RU"/>
        </w:rPr>
        <w:t xml:space="preserve">граничения исследования» (страница 18) и раздел 5 «Заключение» (страницы 18–19). В файле </w:t>
      </w:r>
      <w:r>
        <w:t>translation</w:t>
      </w:r>
      <w:r w:rsidRPr="00EC6142">
        <w:rPr>
          <w:lang w:val="ru-RU"/>
        </w:rPr>
        <w:t>/</w:t>
      </w:r>
      <w:r>
        <w:t>original</w:t>
      </w:r>
      <w:r w:rsidRPr="00EC6142">
        <w:rPr>
          <w:lang w:val="ru-RU"/>
        </w:rPr>
        <w:t>.</w:t>
      </w:r>
      <w:r>
        <w:t>pdf</w:t>
      </w:r>
      <w:r w:rsidRPr="00EC6142">
        <w:rPr>
          <w:lang w:val="ru-RU"/>
        </w:rPr>
        <w:t xml:space="preserve"> сохранены эти три страницы издательского </w:t>
      </w:r>
      <w:r>
        <w:t>PDF</w:t>
      </w:r>
      <w:r w:rsidRPr="00EC6142">
        <w:rPr>
          <w:lang w:val="ru-RU"/>
        </w:rPr>
        <w:t>; расположенные на них другие части статьи не входят в перевод. Перевод с английского языка на рус</w:t>
      </w:r>
      <w:r w:rsidRPr="00EC6142">
        <w:rPr>
          <w:lang w:val="ru-RU"/>
        </w:rPr>
        <w:t xml:space="preserve">ский подготовлен для настоящего отчёта. Статья опубликована по лицензии </w:t>
      </w:r>
      <w:r>
        <w:t>Creative</w:t>
      </w:r>
      <w:r w:rsidRPr="00EC6142">
        <w:rPr>
          <w:lang w:val="ru-RU"/>
        </w:rPr>
        <w:t xml:space="preserve"> </w:t>
      </w:r>
      <w:r>
        <w:t>Commons</w:t>
      </w:r>
      <w:r w:rsidRPr="00EC6142">
        <w:rPr>
          <w:lang w:val="ru-RU"/>
        </w:rPr>
        <w:t xml:space="preserve"> </w:t>
      </w:r>
      <w:r>
        <w:t>Attribution</w:t>
      </w:r>
      <w:r w:rsidRPr="00EC6142">
        <w:rPr>
          <w:lang w:val="ru-RU"/>
        </w:rPr>
        <w:t xml:space="preserve"> 4.0; при воспроизведении сохранено указание авторов и источника.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А.1 Аннотация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Цель. Цель исследования — предложить инструмент для разработки стратегии цен</w:t>
      </w:r>
      <w:r w:rsidRPr="00EC6142">
        <w:rPr>
          <w:lang w:val="ru-RU"/>
        </w:rPr>
        <w:t>ообразования микрозаймов с учётом риска заёмщиков микрофинансовых организаций (МФО).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План исследования, методология и подход. Учитывая особенности получателей микрозаймов, сначала авторы оценивают и измеряют риск через вероятность дефолта. Для этого примен</w:t>
      </w:r>
      <w:r w:rsidRPr="00EC6142">
        <w:rPr>
          <w:lang w:val="ru-RU"/>
        </w:rPr>
        <w:t xml:space="preserve">яются параметрический метод — логистическая регрессия — и непараметрический метод на основе искусственной нейронной сети. Из них выбирается модель с наибольшей прогнозной способностью. Затем на основе подхода </w:t>
      </w:r>
      <w:r>
        <w:t>Basel</w:t>
      </w:r>
      <w:r w:rsidRPr="00EC6142">
        <w:rPr>
          <w:lang w:val="ru-RU"/>
        </w:rPr>
        <w:t xml:space="preserve"> </w:t>
      </w:r>
      <w:r>
        <w:t>III</w:t>
      </w:r>
      <w:r w:rsidRPr="00EC6142">
        <w:rPr>
          <w:lang w:val="ru-RU"/>
        </w:rPr>
        <w:t xml:space="preserve">, основанного на внутренних рейтингах </w:t>
      </w:r>
      <w:r w:rsidRPr="00EC6142">
        <w:rPr>
          <w:lang w:val="ru-RU"/>
        </w:rPr>
        <w:t>(</w:t>
      </w:r>
      <w:r>
        <w:t>IRB</w:t>
      </w:r>
      <w:r w:rsidRPr="00EC6142">
        <w:rPr>
          <w:lang w:val="ru-RU"/>
        </w:rPr>
        <w:t>), индивидуальная оценка кредитного риска используется для построения модели, устанавливающей процентные ставки по микрозаймам в соответствии с риском дефолта.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lastRenderedPageBreak/>
        <w:t>Результаты. Исследование показывает, что искусственная нейронная сеть позволяет точнее оцени</w:t>
      </w:r>
      <w:r w:rsidRPr="00EC6142">
        <w:rPr>
          <w:lang w:val="ru-RU"/>
        </w:rPr>
        <w:t>вать вероятность дефолта каждого заёмщика. Кроме того, результаты свидетельствуют: для достижения заданного уровня доходности МФО процентная ставка для клиентов с более низким кредитным риском должна быть ниже единой фиксированной ставки.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Практическое знач</w:t>
      </w:r>
      <w:r w:rsidRPr="00EC6142">
        <w:rPr>
          <w:lang w:val="ru-RU"/>
        </w:rPr>
        <w:t xml:space="preserve">ение. Предложенный инструмент позволяет, с одной стороны, измерять и оценивать кредитный риск и снижать потери МФО от дефолтов, а с другой — повышать конкурентоспособность за счёт уменьшения процентных ставок, требований к капиталу и кредитных потерь. Это </w:t>
      </w:r>
      <w:r w:rsidRPr="00EC6142">
        <w:rPr>
          <w:lang w:val="ru-RU"/>
        </w:rPr>
        <w:t>способствует финансовой самоокупаемости организаций.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Социальное значение. Полученные результаты могут сделать практику кредитования МФО более справедливой за счёт установления цены микрозайма с учётом риска. Кроме того, они могут способствовать разработке </w:t>
      </w:r>
      <w:r w:rsidRPr="00EC6142">
        <w:rPr>
          <w:lang w:val="ru-RU"/>
        </w:rPr>
        <w:t>государственной политики, направленной на финансовую и социальную интеграцию уязвимых групп населения.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Оригинальность. Личные характеристики клиентов, прежде всего их репутация и добросовестность, имеют существенное значение для поведения заёмщиков при деф</w:t>
      </w:r>
      <w:r w:rsidRPr="00EC6142">
        <w:rPr>
          <w:lang w:val="ru-RU"/>
        </w:rPr>
        <w:t>олте. Эти факторы должны учитываться в цене микрозайма.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Ключевые слова: микрофинансовые организации; кредитный риск; нейронная сеть; логистическая регрессия; ценообразование.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А.2 Ограничения исследования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Хотя результаты исследования дают полезное представл</w:t>
      </w:r>
      <w:r w:rsidRPr="00EC6142">
        <w:rPr>
          <w:lang w:val="ru-RU"/>
        </w:rPr>
        <w:t>ение о внедрении моделей ценообразования с учётом риска в микрофинансовом секторе, необходимо учитывать ряд ограничений. Во-первых, использование исторических данных из конкретного региона, в данном случае Гватемалы, может ограничивать применимость результ</w:t>
      </w:r>
      <w:r w:rsidRPr="00EC6142">
        <w:rPr>
          <w:lang w:val="ru-RU"/>
        </w:rPr>
        <w:t>атов в других условиях. Микрофинансовая среда значительно различается по странам из-за особенностей регулирования, экономических условий и культурных факторов. Поэтому предложенная стратегия ценообразования может иметь разную эффективность в регионах с ино</w:t>
      </w:r>
      <w:r w:rsidRPr="00EC6142">
        <w:rPr>
          <w:lang w:val="ru-RU"/>
        </w:rPr>
        <w:t>й финансовой ситуацией.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lastRenderedPageBreak/>
        <w:t>Кроме того, применение нейронных сетей для прогнозирования риска дефолта, несмотря на его новизну, создаёт трудности с интерпретируемостью и прозрачностью модели. Участникам микрофинансового сектора, особенно обладающим ограниченным</w:t>
      </w:r>
      <w:r w:rsidRPr="00EC6142">
        <w:rPr>
          <w:lang w:val="ru-RU"/>
        </w:rPr>
        <w:t>и техническими знаниями, может быть сложно понять решения, сформированные такими моделями, и доверять им. Это способно препятствовать широкому внедрению современных методов, прежде всего там, где регулятор предъявляет высокие требования к прозрачности.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Использованные данные, хотя и охватывают широкий набор сведений, могут не отражать все особенности поведения заёмщиков и внешние экономические потрясения, влияющие на дефолты. Например, в модели не учтены неожиданные макроэкономические события или изменени</w:t>
      </w:r>
      <w:r w:rsidRPr="00EC6142">
        <w:rPr>
          <w:lang w:val="ru-RU"/>
        </w:rPr>
        <w:t>я местных экономических условий, которые могут повлиять на точность прогнозирования.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Наконец, необходимо рассматривать этические последствия применения ценообразования на основе риска. Такой подход способен привести к более справедливым процентным ставкам,</w:t>
      </w:r>
      <w:r w:rsidRPr="00EC6142">
        <w:rPr>
          <w:lang w:val="ru-RU"/>
        </w:rPr>
        <w:t xml:space="preserve"> однако существует риск непреднамеренно исключить наиболее рискованных заёмщиков, которые часто относятся к наиболее уязвимым группам. Это ставит вопрос о балансе между финансовой устойчивостью и социальной миссией микрофинансирования; будущие исследования</w:t>
      </w:r>
      <w:r w:rsidRPr="00EC6142">
        <w:rPr>
          <w:lang w:val="ru-RU"/>
        </w:rPr>
        <w:t xml:space="preserve"> должны изучить его подробнее.</w:t>
      </w:r>
    </w:p>
    <w:p w:rsidR="00CC1596" w:rsidRPr="00EC6142" w:rsidRDefault="00BE40CD">
      <w:pPr>
        <w:rPr>
          <w:lang w:val="ru-RU"/>
        </w:rPr>
      </w:pPr>
      <w:r w:rsidRPr="00EC6142">
        <w:rPr>
          <w:b/>
          <w:lang w:val="ru-RU"/>
        </w:rPr>
        <w:t>А.3 Заключение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В соответствии со своей важной социальной миссией МФО должны совершенствовать модели управления, чтобы сохранять жизнеспособность в нестабильной макроэкономической среде и в секторе, в котором в последние годы </w:t>
      </w:r>
      <w:r w:rsidRPr="00EC6142">
        <w:rPr>
          <w:lang w:val="ru-RU"/>
        </w:rPr>
        <w:t>усиливается присутствие коммерческих банков. Для достижения этой цели с учётом результативности и эффективности МФО могут повышать конкурентоспособность с помощью инструментов, позволяющих надёжно и устойчиво оценивать вероятность дефолта. Такие оценки даю</w:t>
      </w:r>
      <w:r w:rsidRPr="00EC6142">
        <w:rPr>
          <w:lang w:val="ru-RU"/>
        </w:rPr>
        <w:t xml:space="preserve">т возможность рассчитывать потребность в капитале и устанавливать процентные ставки, соответствующие кредитному риску каждого клиента, на основе </w:t>
      </w:r>
      <w:r>
        <w:t>IRB</w:t>
      </w:r>
      <w:r w:rsidRPr="00EC6142">
        <w:rPr>
          <w:lang w:val="ru-RU"/>
        </w:rPr>
        <w:t xml:space="preserve">-подхода </w:t>
      </w:r>
      <w:r>
        <w:t>Basel</w:t>
      </w:r>
      <w:r w:rsidRPr="00EC6142">
        <w:rPr>
          <w:lang w:val="ru-RU"/>
        </w:rPr>
        <w:t xml:space="preserve"> </w:t>
      </w:r>
      <w:r>
        <w:t>III</w:t>
      </w:r>
      <w:r w:rsidRPr="00EC6142">
        <w:rPr>
          <w:lang w:val="ru-RU"/>
        </w:rPr>
        <w:t>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lastRenderedPageBreak/>
        <w:t>Полученные результаты развивают выводы предшествующих исследований по трём направлениям.</w:t>
      </w:r>
      <w:r w:rsidRPr="00EC6142">
        <w:rPr>
          <w:lang w:val="ru-RU"/>
        </w:rPr>
        <w:t xml:space="preserve"> Во-первых, они подтверждают, что модель вероятности дефолта на основе многослойного перцептрона обеспечивает более высокую точность при меньших издержках ошибочной классификации, чем классический параметрический метод логистической регрессии. Эти результа</w:t>
      </w:r>
      <w:r w:rsidRPr="00EC6142">
        <w:rPr>
          <w:lang w:val="ru-RU"/>
        </w:rPr>
        <w:t>ты имеют значение для повышения эффективности, платёжеспособности и доходности МФО, поскольку способствуют снижению потерь от дефолтов, расходов на формирование резервов на случай неплатёжеспособности и издержек взыскания. В этом отношении результаты автор</w:t>
      </w:r>
      <w:r w:rsidRPr="00EC6142">
        <w:rPr>
          <w:lang w:val="ru-RU"/>
        </w:rPr>
        <w:t>ов указывают на пригодность нейронных сетей типа многослойного перцептрона для микрофинансового сектора.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Во-вторых, исследование подтверждает, что </w:t>
      </w:r>
      <w:r>
        <w:t>IRB</w:t>
      </w:r>
      <w:r w:rsidRPr="00EC6142">
        <w:rPr>
          <w:lang w:val="ru-RU"/>
        </w:rPr>
        <w:t xml:space="preserve">-подход позволяет определять требования к капиталу точнее, чем прежний стандартизированный метод. </w:t>
      </w:r>
      <w:r w:rsidRPr="00EC6142">
        <w:rPr>
          <w:lang w:val="ru-RU"/>
        </w:rPr>
        <w:t>Использование этого подхода также может повысить доходность и эффективность управления МФО, а значит — улучшить их способность привлекать финансирование на финансовых рынках на более конкурентных условиях.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>В-третьих, основной вывод состоит в том, что модел</w:t>
      </w:r>
      <w:r w:rsidRPr="00EC6142">
        <w:rPr>
          <w:lang w:val="ru-RU"/>
        </w:rPr>
        <w:t xml:space="preserve">ь ценообразования является важным инструментом, позволяющим МФО сохранять и увеличивать долю рынка и продолжать выполнять первоначальную миссию — финансировать малообеспеченных клиентов без необходимости устанавливать высокие процентные ставки. На примере </w:t>
      </w:r>
      <w:r w:rsidRPr="00EC6142">
        <w:rPr>
          <w:lang w:val="ru-RU"/>
        </w:rPr>
        <w:t>случайно выбранных трёх клиентов с разными профилями риска показано, что модель позволяет заранее задать желаемую доходность по каждому из них. Это даёт организации возможность максимизировать прибыль и выполнять требования акционеров и источников финансир</w:t>
      </w:r>
      <w:r w:rsidRPr="00EC6142">
        <w:rPr>
          <w:lang w:val="ru-RU"/>
        </w:rPr>
        <w:t>ования.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Таким образом, подобные модели рассматриваются как инструменты управления, способные повысить эффективность и уменьшить потери от дефолтов по микрозаймам. Благодаря этому МФО могут достигать необходимой финансовой самоокупаемости и конкурировать с </w:t>
      </w:r>
      <w:r w:rsidRPr="00EC6142">
        <w:rPr>
          <w:lang w:val="ru-RU"/>
        </w:rPr>
        <w:t xml:space="preserve">традиционными банками на </w:t>
      </w:r>
      <w:r w:rsidRPr="00EC6142">
        <w:rPr>
          <w:lang w:val="ru-RU"/>
        </w:rPr>
        <w:lastRenderedPageBreak/>
        <w:t>сопоставимых условиях. Результаты также могут использоваться при разработке государственной политики финансовой и социальной интеграции уязвимых групп. Повышая платёжеспособность и доходность, МФО обеспечивают сохранение деятельнос</w:t>
      </w:r>
      <w:r w:rsidRPr="00EC6142">
        <w:rPr>
          <w:lang w:val="ru-RU"/>
        </w:rPr>
        <w:t>ти в секторе, в который коммерческие банки выходят через обслуживание клиентов с небольшими потребностями в финансировании.</w:t>
      </w:r>
    </w:p>
    <w:p w:rsidR="00CC1596" w:rsidRPr="00EC6142" w:rsidRDefault="00BE40CD">
      <w:pPr>
        <w:rPr>
          <w:lang w:val="ru-RU"/>
        </w:rPr>
      </w:pPr>
      <w:r w:rsidRPr="00EC6142">
        <w:rPr>
          <w:lang w:val="ru-RU"/>
        </w:rPr>
        <w:t xml:space="preserve">Примечание к переводу. </w:t>
      </w:r>
      <w:r>
        <w:t>Default</w:t>
      </w:r>
      <w:r w:rsidRPr="00EC6142">
        <w:rPr>
          <w:lang w:val="ru-RU"/>
        </w:rPr>
        <w:t xml:space="preserve"> переведено как «дефолт», </w:t>
      </w:r>
      <w:r>
        <w:t>credit</w:t>
      </w:r>
      <w:r w:rsidRPr="00EC6142">
        <w:rPr>
          <w:lang w:val="ru-RU"/>
        </w:rPr>
        <w:t xml:space="preserve"> </w:t>
      </w:r>
      <w:r>
        <w:t>risk</w:t>
      </w:r>
      <w:r w:rsidRPr="00EC6142">
        <w:rPr>
          <w:lang w:val="ru-RU"/>
        </w:rPr>
        <w:t xml:space="preserve"> — «кредитный риск», </w:t>
      </w:r>
      <w:r>
        <w:t>pricing</w:t>
      </w:r>
      <w:r w:rsidRPr="00EC6142">
        <w:rPr>
          <w:lang w:val="ru-RU"/>
        </w:rPr>
        <w:t xml:space="preserve"> — «ценообразование», </w:t>
      </w:r>
      <w:r>
        <w:t>financial</w:t>
      </w:r>
      <w:r w:rsidRPr="00EC6142">
        <w:rPr>
          <w:lang w:val="ru-RU"/>
        </w:rPr>
        <w:t xml:space="preserve"> </w:t>
      </w:r>
      <w:r>
        <w:t>self</w:t>
      </w:r>
      <w:r w:rsidRPr="00EC6142">
        <w:rPr>
          <w:lang w:val="ru-RU"/>
        </w:rPr>
        <w:t>-</w:t>
      </w:r>
      <w:r>
        <w:t>sustainability</w:t>
      </w:r>
      <w:r w:rsidRPr="00EC6142">
        <w:rPr>
          <w:lang w:val="ru-RU"/>
        </w:rPr>
        <w:t xml:space="preserve"> — «финансовая самоокупаемость», </w:t>
      </w:r>
      <w:r>
        <w:t>multilayer</w:t>
      </w:r>
      <w:r w:rsidRPr="00EC6142">
        <w:rPr>
          <w:lang w:val="ru-RU"/>
        </w:rPr>
        <w:t xml:space="preserve"> </w:t>
      </w:r>
      <w:r>
        <w:t>perceptron</w:t>
      </w:r>
      <w:r w:rsidRPr="00EC6142">
        <w:rPr>
          <w:lang w:val="ru-RU"/>
        </w:rPr>
        <w:t xml:space="preserve"> — «многослойный перцептрон». </w:t>
      </w:r>
      <w:r>
        <w:t>IRB</w:t>
      </w:r>
      <w:r w:rsidRPr="00EC6142">
        <w:rPr>
          <w:lang w:val="ru-RU"/>
        </w:rPr>
        <w:t xml:space="preserve"> означает подход, основанный на внутренних рейтингах. Выводы и ограничения в А.1–А.3 принадлежат авторам оригинала и не являются результатами эксперимента </w:t>
      </w:r>
      <w:r w:rsidRPr="00EC6142">
        <w:rPr>
          <w:lang w:val="ru-RU"/>
        </w:rPr>
        <w:t>в настоящей учебной работе.</w:t>
      </w:r>
    </w:p>
    <w:sectPr w:rsidR="00CC1596" w:rsidRPr="00EC6142" w:rsidSect="00034616">
      <w:footerReference w:type="default" r:id="rId8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40CD" w:rsidRDefault="00BE40CD">
      <w:pPr>
        <w:spacing w:line="240" w:lineRule="auto"/>
      </w:pPr>
      <w:r>
        <w:separator/>
      </w:r>
    </w:p>
  </w:endnote>
  <w:endnote w:type="continuationSeparator" w:id="0">
    <w:p w:rsidR="00BE40CD" w:rsidRDefault="00BE40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1596" w:rsidRDefault="00BE40CD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40CD" w:rsidRDefault="00BE40CD">
      <w:pPr>
        <w:spacing w:line="240" w:lineRule="auto"/>
      </w:pPr>
      <w:r>
        <w:separator/>
      </w:r>
    </w:p>
  </w:footnote>
  <w:footnote w:type="continuationSeparator" w:id="0">
    <w:p w:rsidR="00BE40CD" w:rsidRDefault="00BE40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06C"/>
    <w:rsid w:val="0015074B"/>
    <w:rsid w:val="0029639D"/>
    <w:rsid w:val="00326F90"/>
    <w:rsid w:val="00447383"/>
    <w:rsid w:val="00AA1D8D"/>
    <w:rsid w:val="00B47730"/>
    <w:rsid w:val="00BE40CD"/>
    <w:rsid w:val="00CB0664"/>
    <w:rsid w:val="00CC1596"/>
    <w:rsid w:val="00EC61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61C6D"/>
  <w14:defaultImageDpi w14:val="300"/>
  <w15:docId w15:val="{40BABC90-CEA0-41D3-8819-935460EC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567"/>
      <w:ind w:left="709" w:firstLine="0"/>
      <w:jc w:val="left"/>
      <w:outlineLvl w:val="0"/>
    </w:pPr>
    <w:rPr>
      <w:b/>
      <w:bCs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50" w:after="567"/>
      <w:ind w:left="709" w:firstLine="0"/>
      <w:jc w:val="left"/>
      <w:outlineLvl w:val="1"/>
    </w:pPr>
    <w:rPr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50" w:after="567"/>
      <w:ind w:left="709" w:firstLine="0"/>
      <w:jc w:val="left"/>
      <w:outlineLvl w:val="2"/>
    </w:pPr>
    <w:rPr>
      <w:b/>
      <w:bCs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24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ind w:left="0"/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tabs>
        <w:tab w:val="right" w:leader="dot" w:pos="9354"/>
      </w:tabs>
      <w:spacing w:after="0" w:line="360" w:lineRule="auto"/>
    </w:pPr>
    <w:rPr>
      <w:rFonts w:ascii="Times New Roman" w:hAnsi="Times New Roman"/>
      <w:sz w:val="28"/>
    </w:rPr>
  </w:style>
  <w:style w:type="paragraph" w:customStyle="1" w:styleId="210">
    <w:name w:val="Оглавление 21"/>
    <w:pPr>
      <w:tabs>
        <w:tab w:val="right" w:leader="dot" w:pos="9354"/>
      </w:tabs>
      <w:spacing w:after="0" w:line="360" w:lineRule="auto"/>
      <w:ind w:left="283"/>
    </w:pPr>
    <w:rPr>
      <w:rFonts w:ascii="Times New Roman" w:hAnsi="Times New Roman"/>
      <w:sz w:val="28"/>
    </w:rPr>
  </w:style>
  <w:style w:type="paragraph" w:customStyle="1" w:styleId="310">
    <w:name w:val="Оглавление 31"/>
    <w:pPr>
      <w:tabs>
        <w:tab w:val="right" w:leader="dot" w:pos="9354"/>
      </w:tabs>
      <w:spacing w:after="0" w:line="360" w:lineRule="auto"/>
      <w:ind w:left="567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D505E1-DB8B-45BE-855A-65A2C9575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6027</Words>
  <Characters>34354</Characters>
  <Application>Microsoft Office Word</Application>
  <DocSecurity>0</DocSecurity>
  <Lines>286</Lines>
  <Paragraphs>80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Потребительское кредитование в микрофинансовой организации. КТ1</vt:lpstr>
      <vt:lpstr/>
    </vt:vector>
  </TitlesOfParts>
  <Manager/>
  <Company/>
  <LinksUpToDate>false</LinksUpToDate>
  <CharactersWithSpaces>40301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Потребительское кредитование в микрофинансовой организации. КТ1</dc:title>
  <dc:subject>Учебная практика. Исследовательский этап</dc:subject>
  <dc:creator>Анна Павлова</dc:creator>
  <cp:keywords>МФО, МКК, микрозаем, заявка, программная инженерия</cp:keywords>
  <dc:description>generated by python-docx</dc:description>
  <cp:lastModifiedBy>Анна Павлова</cp:lastModifiedBy>
  <cp:revision>2</cp:revision>
  <dcterms:created xsi:type="dcterms:W3CDTF">2026-10-06T17:16:00Z</dcterms:created>
  <dcterms:modified xsi:type="dcterms:W3CDTF">2026-10-06T17:16:00Z</dcterms:modified>
  <cp:category/>
</cp:coreProperties>
</file>