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left"/>
      </w:pPr>
      <w:r>
        <w:rPr>
          <w:rFonts w:ascii="Times New Roman" w:hAnsi="Times New Roman"/>
          <w:b/>
          <w:sz w:val="32"/>
        </w:rPr>
        <w:t>Constrained-xAIOps: Data-Quality-Aware, Explainable AIOps for Anomaly Detection and Root-Cause Analysis in Constrained Cloud Environments</w:t>
      </w:r>
    </w:p>
    <w:p>
      <w:pPr>
        <w:spacing w:before="0" w:after="80"/>
        <w:jc w:val="left"/>
      </w:pPr>
      <w:r>
        <w:rPr>
          <w:rFonts w:ascii="Times New Roman" w:hAnsi="Times New Roman"/>
          <w:i/>
          <w:sz w:val="28"/>
        </w:rPr>
        <w:t>S. Ashok</w:t>
      </w:r>
      <w:r>
        <w:rPr>
          <w:rFonts w:ascii="Times New Roman" w:hAnsi="Times New Roman"/>
          <w:i/>
          <w:sz w:val="28"/>
          <w:vertAlign w:val="superscript"/>
        </w:rPr>
        <w:t>1</w:t>
      </w:r>
      <w:r>
        <w:rPr>
          <w:rFonts w:ascii="Times New Roman" w:hAnsi="Times New Roman"/>
          <w:i/>
          <w:sz w:val="28"/>
        </w:rPr>
        <w:t xml:space="preserve">, </w:t>
      </w:r>
      <w:r>
        <w:rPr>
          <w:rFonts w:ascii="Times New Roman" w:hAnsi="Times New Roman"/>
          <w:i/>
          <w:sz w:val="28"/>
        </w:rPr>
        <w:t>SM. Iqbal Hussain</w:t>
      </w:r>
      <w:r>
        <w:rPr>
          <w:rFonts w:ascii="Times New Roman" w:hAnsi="Times New Roman"/>
          <w:i/>
          <w:sz w:val="28"/>
          <w:vertAlign w:val="superscript"/>
        </w:rPr>
        <w:t>1</w:t>
      </w:r>
      <w:r>
        <w:rPr>
          <w:rFonts w:ascii="Times New Roman" w:hAnsi="Times New Roman"/>
          <w:i/>
          <w:sz w:val="28"/>
        </w:rPr>
        <w:t xml:space="preserve">, </w:t>
      </w:r>
      <w:r>
        <w:rPr>
          <w:rFonts w:ascii="Times New Roman" w:hAnsi="Times New Roman"/>
          <w:i/>
          <w:sz w:val="28"/>
        </w:rPr>
        <w:t>S. Sri Durga</w:t>
      </w:r>
      <w:r>
        <w:rPr>
          <w:rFonts w:ascii="Times New Roman" w:hAnsi="Times New Roman"/>
          <w:i/>
          <w:sz w:val="28"/>
          <w:vertAlign w:val="superscript"/>
        </w:rPr>
        <w:t>1</w:t>
      </w:r>
      <w:r>
        <w:rPr>
          <w:rFonts w:ascii="Times New Roman" w:hAnsi="Times New Roman"/>
          <w:i/>
          <w:sz w:val="28"/>
        </w:rPr>
        <w:t xml:space="preserve">, </w:t>
      </w:r>
      <w:r>
        <w:rPr>
          <w:rFonts w:ascii="Times New Roman" w:hAnsi="Times New Roman"/>
          <w:i/>
          <w:sz w:val="28"/>
        </w:rPr>
        <w:t>Shaik Abdul Mannan</w:t>
      </w:r>
      <w:r>
        <w:rPr>
          <w:rFonts w:ascii="Times New Roman" w:hAnsi="Times New Roman"/>
          <w:i/>
          <w:sz w:val="28"/>
          <w:vertAlign w:val="superscript"/>
        </w:rPr>
        <w:t>1</w:t>
      </w:r>
    </w:p>
    <w:p>
      <w:pPr>
        <w:spacing w:before="0" w:after="40"/>
        <w:jc w:val="left"/>
      </w:pPr>
      <w:r>
        <w:rPr>
          <w:rFonts w:ascii="Times New Roman" w:hAnsi="Times New Roman"/>
          <w:sz w:val="18"/>
          <w:vertAlign w:val="superscript"/>
        </w:rPr>
        <w:t>1</w:t>
      </w:r>
      <w:r>
        <w:rPr>
          <w:rFonts w:ascii="Times New Roman" w:hAnsi="Times New Roman"/>
          <w:sz w:val="18"/>
        </w:rPr>
        <w:t>Department of Artificial Intelligence and Machine Learning, Malla Reddy University, Hyderabad, India.</w:t>
      </w:r>
    </w:p>
    <w:p>
      <w:pPr>
        <w:spacing w:before="0" w:after="240"/>
        <w:jc w:val="left"/>
      </w:pPr>
      <w:hyperlink r:id="rId9" w:history="1">
        <w:r>
          <w:rPr>
            <w:rStyle w:val="Hyperlink"/>
            <w:rFonts w:ascii="Times New Roman" w:hAnsi="Times New Roman"/>
            <w:sz w:val="18"/>
            <w:u w:val="single"/>
            <w:color w:val="0066CC"/>
          </w:rPr>
          <w:t>ashokasume@gmail.com</w:t>
        </w:r>
      </w:hyperlink>
      <w:r>
        <w:rPr>
          <w:rFonts w:ascii="Times New Roman" w:hAnsi="Times New Roman"/>
          <w:sz w:val="18"/>
        </w:rPr>
        <w:t xml:space="preserve">, </w:t>
      </w:r>
      <w:hyperlink r:id="rId10" w:history="1">
        <w:r>
          <w:rPr>
            <w:rStyle w:val="Hyperlink"/>
            <w:rFonts w:ascii="Times New Roman" w:hAnsi="Times New Roman"/>
            <w:sz w:val="18"/>
            <w:u w:val="single"/>
            <w:color w:val="0066CC"/>
          </w:rPr>
          <w:t>smiqbalhussain13@gmail.com</w:t>
        </w:r>
      </w:hyperlink>
      <w:r>
        <w:rPr>
          <w:rFonts w:ascii="Times New Roman" w:hAnsi="Times New Roman"/>
          <w:sz w:val="18"/>
        </w:rPr>
        <w:t xml:space="preserve">, </w:t>
      </w:r>
      <w:hyperlink r:id="rId11" w:history="1">
        <w:r>
          <w:rPr>
            <w:rStyle w:val="Hyperlink"/>
            <w:rFonts w:ascii="Times New Roman" w:hAnsi="Times New Roman"/>
            <w:sz w:val="18"/>
            <w:u w:val="single"/>
            <w:color w:val="0066CC"/>
          </w:rPr>
          <w:t>sennerapsridurga@gmail.com</w:t>
        </w:r>
      </w:hyperlink>
      <w:r>
        <w:rPr>
          <w:rFonts w:ascii="Times New Roman" w:hAnsi="Times New Roman"/>
          <w:sz w:val="18"/>
        </w:rPr>
        <w:t xml:space="preserve">, </w:t>
      </w:r>
      <w:hyperlink r:id="rId12" w:history="1">
        <w:r>
          <w:rPr>
            <w:rStyle w:val="Hyperlink"/>
            <w:rFonts w:ascii="Times New Roman" w:hAnsi="Times New Roman"/>
            <w:sz w:val="18"/>
            <w:u w:val="single"/>
            <w:color w:val="0066CC"/>
          </w:rPr>
          <w:t>Shaikabdulmannan68@gmail.com</w:t>
        </w:r>
      </w:hyperlink>
    </w:p>
    <w:p>
      <w:pPr>
        <w:spacing w:after="120" w:line="252" w:lineRule="auto"/>
        <w:jc w:val="both"/>
      </w:pPr>
      <w:r>
        <w:rPr>
          <w:rFonts w:ascii="Times New Roman" w:hAnsi="Times New Roman"/>
          <w:b/>
          <w:sz w:val="19"/>
        </w:rPr>
        <w:t>Abstract—</w:t>
      </w:r>
      <w:r>
        <w:rPr>
          <w:rFonts w:ascii="Times New Roman" w:hAnsi="Times New Roman"/>
          <w:sz w:val="19"/>
        </w:rPr>
        <w:t>Microservice applications running in constrained cloud platforms generate continuous streams of numerical telemetry. However, CPU limits, node evictions, network delays, and exporter crashes frequently drop metrics during real-world incidents. Standard root-cause analysis engines fail when metric values are missing or frozen. Missing Not At Random (MNAR) means the data is missing because of the failure itself—for instance, when a microservice crashes and its monitoring agent stops sending metrics. Conventional selective classification gates trigger an abstention paradox: they silence diagnostic alerts on 97.7% of genuine outages precisely when failing containers go dark. We present Constrained-xAIOps, a data-quality-aware framework designed for resource-constrained cloud environments. Our pipeline computes a Five-Dimensional Telemetry Trust Score across completeness, timeliness, continuity, validity, and epistemic plausibility. A Dual-Branch MNAR Selective Gate resolves the abstention paradox by routing cluster-wide loss into safe abstention while escalating localized crash blackouts supported by neighbor symptom evidence into prioritized root-cause alerts. Degraded metrics are regularized through a Trust-Weighted Bayesian change-point engine, while Missingness-Aware TreeSHAP generates trustworthy metric explanations with verified reliability badges. We tested the framework across all 375 real-world failure cases in the RCAEval benchmark suite across five random seeds. Under 40% incident-driven missingness on Online Boutique, Constrained-xAIOps delivers 55.2% Top-1 accuracy and 87.4% Top-3 accuracy with 95.4% operational coverage and a selective risk of 12.0%. The lightweight architecture processes each telemetry window in 3.82 milliseconds without requiring GPU hardware.</w:t>
      </w:r>
    </w:p>
    <w:p>
      <w:pPr>
        <w:spacing w:after="280"/>
        <w:jc w:val="both"/>
      </w:pPr>
      <w:r>
        <w:rPr>
          <w:rFonts w:ascii="Times New Roman" w:hAnsi="Times New Roman"/>
          <w:b/>
          <w:sz w:val="19"/>
        </w:rPr>
        <w:t>Keywords—</w:t>
      </w:r>
      <w:r>
        <w:rPr>
          <w:rFonts w:ascii="Times New Roman" w:hAnsi="Times New Roman"/>
          <w:sz w:val="19"/>
        </w:rPr>
        <w:t>Cloud Observability, Explainable AIOps, Telemetry Trust Score, Selective Prediction, Root-Cause Analysis, Missing Not At Random (MNAR).</w:t>
      </w:r>
    </w:p>
    <w:p>
      <w:pPr>
        <w:sectPr>
          <w:pgSz w:w="11909" w:h="16834"/>
          <w:pgMar w:top="1008" w:right="1008" w:bottom="1008" w:left="1008" w:header="720" w:footer="720" w:gutter="0"/>
          <w:cols w:space="720"/>
          <w:docGrid w:linePitch="360"/>
        </w:sectPr>
      </w:pPr>
    </w:p>
    <w:p>
      <w:pPr>
        <w:spacing w:before="200" w:after="80"/>
      </w:pPr>
      <w:r>
        <w:rPr>
          <w:rFonts w:ascii="Times New Roman" w:hAnsi="Times New Roman"/>
          <w:b/>
          <w:sz w:val="21"/>
        </w:rPr>
        <w:t>Introduction</w:t>
      </w:r>
    </w:p>
    <w:p>
      <w:pPr>
        <w:spacing w:after="100" w:line="252" w:lineRule="auto"/>
        <w:jc w:val="both"/>
      </w:pPr>
      <w:r>
        <w:rPr>
          <w:rFonts w:ascii="Times New Roman" w:hAnsi="Times New Roman"/>
          <w:sz w:val="19"/>
        </w:rPr>
        <w:t>Modern cloud systems run as distributed microservices hosted on container platforms such as Kubernetes [1]. Engineers deploy observability agents to collect system metrics including CPU usage, memory allocations, and network throughput [2]. Artificial Intelligence for IT Operations (AIOps) refers to using statistical models and machine learning to detect and diagnose software failures in cloud infrastructure. Site reliability teams rely on these tools to pinpoint failing containers before outages impact users [3]. However, real production clusters frequently experience metric loss, network delays, and exporter stalls during incidents [4]. Standard threshold detectors and multivariate change-point models fail completely when metric data disappears [5]. Volume Under the Surface (VUS-PR) evaluates anomaly detection across continuous time ranges instead of single isolated points [6]. Recent evaluations show that many published algorithms rely on synthetic error injections that mask real metric dropouts [7]. Selective classification gives models the option to abstain from guessing when telemetry quality is low [8]. Yet deep neural models require large memory footprints and GPU hardware that exceed the budget of small engineering teams [9]. Graph-based causal discovery algorithms also suffer from high runtimes and heavy memory overhead on small hosts [10]. Engineering teams need lightweight diagnostic tools that execute in milliseconds on standard CPU cores [11]. Furthermore, black-box diagnostic models lack clear feature attributions that explain which metrics caused an alert [12].</w:t>
      </w:r>
    </w:p>
    <w:p>
      <w:pPr>
        <w:spacing w:after="100" w:line="252" w:lineRule="auto"/>
        <w:jc w:val="both"/>
      </w:pPr>
      <w:r>
        <w:rPr>
          <w:rFonts w:ascii="Times New Roman" w:hAnsi="Times New Roman"/>
          <w:sz w:val="19"/>
        </w:rPr>
        <w:t>Real microservice outages create three distinct patterns of missing telemetry [13]. Missing Completely At Random (MCAR) means data points are dropped purely at random, such as occasional dropped network packets that affect all microservices equally. Missing At Random (MAR) means missingness depends on an observed variable, such as higher packet drop rates during peak traffic hours. Missing Not At Random (MNAR) means the data is missing because of the failure itself—for instance, when a microservice crashes and its monitoring agent stops sending metrics [13]. Conformal calibration uses past validation cases to pick a cutoff score so that our error rate stays below a chosen limit [14]. However, applying standard conformal filters directly to cloud telemetry triggers an abstention paradox [15]. When a container crashes, its exporter stops transmitting, causing severe data loss at the exact source of the failure. Unchecked change-point detectors such as BARO misdiagnose the outage or produce random guesses [16]. Passive conformal filters see the missing metrics as high uncertainty and abstain on over 97% of active incidents. To resolve this dilemma, we designed Constrained-xAIOps, a data-quality-aware framework for resource-constrained cloud platforms. Our system combines a Five-Dimensional Telemetry Trust Score, a Dual-Branch MNAR Crash Escalator, a Trust-Weighted change-point localizer, and Missingness-Aware TreeSHAP explanations. Constrained-xAIOps treats localized metric disappearance as positive diagnostic evidence, isolating failures accurately with low computational overhead.</w:t>
      </w:r>
    </w:p>
    <w:p>
      <w:pPr>
        <w:spacing w:before="200" w:after="80"/>
      </w:pPr>
      <w:r>
        <w:rPr>
          <w:rFonts w:ascii="Times New Roman" w:hAnsi="Times New Roman"/>
          <w:b/>
          <w:sz w:val="21"/>
        </w:rPr>
        <w:t>Literature Survey</w:t>
      </w:r>
    </w:p>
    <w:p>
      <w:pPr>
        <w:spacing w:after="100" w:line="252" w:lineRule="auto"/>
        <w:jc w:val="both"/>
      </w:pPr>
      <w:r>
        <w:rPr>
          <w:rFonts w:ascii="Times New Roman" w:hAnsi="Times New Roman"/>
          <w:sz w:val="19"/>
        </w:rPr>
        <w:t>Root-cause diagnosis in distributed cloud systems builds upon six core research areas. Reviewing these areas explains why existing tools struggle under sensor failures and motivates our design.</w:t>
      </w:r>
    </w:p>
    <w:p>
      <w:pPr>
        <w:spacing w:after="100" w:line="252" w:lineRule="auto"/>
        <w:jc w:val="both"/>
      </w:pPr>
      <w:r>
        <w:rPr>
          <w:rFonts w:ascii="Times New Roman" w:hAnsi="Times New Roman"/>
          <w:sz w:val="19"/>
        </w:rPr>
        <w:t>1) Statistical and Online Change Point Detection: Early microservice anomaly isolation relied on univariate heuristic bands and long-tail latency filtering (epsilon-Diagnosis [5]). These static rules trigger false alerts during normal load fluctuations. Bayesian Online Change Point Detection (BOCPD) is a statistical method that watches a stream of numbers and flags the exact moment their average or spread shifts [16]. BARO applied recursive Bayesian change points to microservice metrics, achieving strong localization on clean data [2]. However, standard BOCPD requires complete input matrices. When metric streams drop out or freeze during crashes, normalizer variances collapse, causing recursive updates to diverge.</w:t>
      </w:r>
    </w:p>
    <w:p>
      <w:pPr>
        <w:spacing w:after="100" w:line="252" w:lineRule="auto"/>
        <w:jc w:val="both"/>
      </w:pPr>
      <w:r>
        <w:rPr>
          <w:rFonts w:ascii="Times New Roman" w:hAnsi="Times New Roman"/>
          <w:sz w:val="19"/>
        </w:rPr>
        <w:t>2) Causal Discovery and Structural Graph Estimation: Causal RCA frameworks trace fault paths by building Directed Acyclic Graphs [10]. CIRCA identifies interventions using structural equation models and independence tests [9]. MicroCause estimates cross-service causal paths through non-parametric analysis [13]. RCD applies localized interventional tests across subgraphs to remove non-root causes [10]. TAMO embeds topology representations through dynamic graph neural networks [14]. Despite theoretical rigor, building causal graphs across hundreds of metric streams takes more than 15 seconds per window. In addition, missing telemetry windows violate conditional independence assumptions, generating false graph edges that mislead operators.</w:t>
      </w:r>
    </w:p>
    <w:p>
      <w:pPr>
        <w:spacing w:after="100" w:line="252" w:lineRule="auto"/>
        <w:jc w:val="both"/>
      </w:pPr>
      <w:r>
        <w:rPr>
          <w:rFonts w:ascii="Times New Roman" w:hAnsi="Times New Roman"/>
          <w:sz w:val="19"/>
        </w:rPr>
        <w:t>3) Multi-Modal Observability and Blind-Spot Diagnostics: Modern cloud frameworks combine metric time series with distributed traces and textual logs [3]. Nezha correlates multiple data formats to isolate microservice faults [3]. TORAI constructs multi-source graphs to illuminate metric blind spots across clusters [4]. EventADL processes event logs to isolate system anomalies under partial observability [16]. However, collecting traces and indexing unstructured logs generates hundreds of gigabytes of network traffic daily. This resource footprint exceeds the operational budget of edge nodes and constrained cloud clusters.</w:t>
      </w:r>
    </w:p>
    <w:p>
      <w:pPr>
        <w:spacing w:after="100" w:line="252" w:lineRule="auto"/>
        <w:jc w:val="both"/>
      </w:pPr>
      <w:r>
        <w:rPr>
          <w:rFonts w:ascii="Times New Roman" w:hAnsi="Times New Roman"/>
          <w:sz w:val="19"/>
        </w:rPr>
        <w:t>4) Agentic and LLM-Driven Incident Management: Recent studies explore large language models and multi-agent coordination for autonomous cloud triage [18]. LogGPT parses log anomalies using pre-trained causal transformers [17]. RCLAgent coordinates diagnostic agents to navigate alert graphs and produce incident summaries [18]. MA-RCA coordinates multi-agent debates to pinpoint root causes under shifting workloads [19]. Adversarial telemetry attacks ('AI Oops') show that corrupted or frozen metrics fool language agents into reporting healthy status. While language models reason well on text summaries, their inference latency exceeds thirty seconds per incident. Moreover, language agents remain prone to hallucinations when underlying sensor metrics are missing or corrupted.</w:t>
      </w:r>
    </w:p>
    <w:p>
      <w:pPr>
        <w:spacing w:after="100" w:line="252" w:lineRule="auto"/>
        <w:jc w:val="both"/>
      </w:pPr>
      <w:r>
        <w:rPr>
          <w:rFonts w:ascii="Times New Roman" w:hAnsi="Times New Roman"/>
          <w:sz w:val="19"/>
        </w:rPr>
        <w:t>5) Conformal Prediction, Non-Exchangeable Calibration, and Selective Inference: Selective classification allows models to abstain from predicting when input confidence is low [8]. Inductive conformal prediction establishes distribution-free finite-sample error bounds through calibrated non-conformity quantiles [14]. Recent advances address non-exchangeable time-series sequences under temporal distribution shifts. Barber et al. formalize conformal prediction beyond exchangeability through recency-weighted non-conformity distributions [21]. Gibbs and Candes introduce online adaptive conformal inference using dynamic step-size updates under streaming drift [22]. However, existing conformal mechanisms treat all low-confidence windows as noise. Under incident-driven missingness, this triggers the MNAR abstention paradox, causing models to abstain on over 97% of genuine outages.</w:t>
      </w:r>
    </w:p>
    <w:p>
      <w:pPr>
        <w:spacing w:after="100" w:line="252" w:lineRule="auto"/>
        <w:jc w:val="both"/>
      </w:pPr>
      <w:r>
        <w:rPr>
          <w:rFonts w:ascii="Times New Roman" w:hAnsi="Times New Roman"/>
          <w:sz w:val="19"/>
        </w:rPr>
        <w:t>6) Telemetry Quality Awareness, Missingness Taxonomies, and Sensor Spoofing: Rubin established the mathematical foundation of missing-data mechanisms, categorizing them into MCAR, MAR, and non-ignorable MNAR [9]. Wu and Keogh demonstrated that flawed sensor benchmarks create an illusion of progress by ignoring physical telemetry dropouts [7]. Liu and Paparrizos confirmed that real-world cloud metric repositories suffer from frequent sensor stalls, packet loss, and exporter hangs [5]. In failure scenarios, broken exporters emit frozen constant values or zero-variance noise, masking crashes. Existing AIOps tools lack multi-dimensional data quality auditing capable of differentiating benign sensor drops from localized crash blackouts and spoofed metrics.</w:t>
      </w:r>
    </w:p>
    <w:p>
      <w:pPr>
        <w:spacing w:before="160" w:after="40"/>
      </w:pPr>
      <w:r>
        <w:rPr>
          <w:rFonts w:ascii="Times New Roman" w:hAnsi="Times New Roman"/>
          <w:b/>
          <w:sz w:val="18"/>
        </w:rPr>
        <w:t>Table 1. Competitive Feature and Performance Comparison: Constrained-xAIOps vs. Leading AIOps Frameworks.</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649"/>
        <w:gridCol w:w="1649"/>
        <w:gridCol w:w="1649"/>
        <w:gridCol w:w="1649"/>
        <w:gridCol w:w="1649"/>
        <w:gridCol w:w="1649"/>
      </w:tblGrid>
      <w:tr>
        <w:tc>
          <w:tcPr>
            <w:tcW w:type="dxa" w:w="1649"/>
            <w:shd w:fill="F1F5F9"/>
            <w:tcMar>
              <w:top w:w="120" w:type="dxa"/>
              <w:bottom w:w="120" w:type="dxa"/>
              <w:left w:w="80" w:type="dxa"/>
              <w:right w:w="80" w:type="dxa"/>
            </w:tcMar>
          </w:tcPr>
          <w:p>
            <w:pPr>
              <w:jc w:val="center"/>
            </w:pPr>
            <w:r>
              <w:rPr>
                <w:rFonts w:ascii="Times New Roman" w:hAnsi="Times New Roman"/>
                <w:b/>
                <w:sz w:val="16"/>
              </w:rPr>
              <w:t>Feature / Capability</w:t>
            </w:r>
          </w:p>
        </w:tc>
        <w:tc>
          <w:tcPr>
            <w:tcW w:type="dxa" w:w="1649"/>
            <w:shd w:fill="F1F5F9"/>
            <w:tcMar>
              <w:top w:w="120" w:type="dxa"/>
              <w:bottom w:w="120" w:type="dxa"/>
              <w:left w:w="80" w:type="dxa"/>
              <w:right w:w="80" w:type="dxa"/>
            </w:tcMar>
          </w:tcPr>
          <w:p>
            <w:pPr>
              <w:jc w:val="center"/>
            </w:pPr>
            <w:r>
              <w:rPr>
                <w:rFonts w:ascii="Times New Roman" w:hAnsi="Times New Roman"/>
                <w:b/>
                <w:sz w:val="16"/>
              </w:rPr>
              <w:t>BARO [1]</w:t>
            </w:r>
          </w:p>
        </w:tc>
        <w:tc>
          <w:tcPr>
            <w:tcW w:type="dxa" w:w="1649"/>
            <w:shd w:fill="F1F5F9"/>
            <w:tcMar>
              <w:top w:w="120" w:type="dxa"/>
              <w:bottom w:w="120" w:type="dxa"/>
              <w:left w:w="80" w:type="dxa"/>
              <w:right w:w="80" w:type="dxa"/>
            </w:tcMar>
          </w:tcPr>
          <w:p>
            <w:pPr>
              <w:jc w:val="center"/>
            </w:pPr>
            <w:r>
              <w:rPr>
                <w:rFonts w:ascii="Times New Roman" w:hAnsi="Times New Roman"/>
                <w:b/>
                <w:sz w:val="16"/>
              </w:rPr>
              <w:t>CIRCA [4] / RCD [3]</w:t>
            </w:r>
          </w:p>
        </w:tc>
        <w:tc>
          <w:tcPr>
            <w:tcW w:type="dxa" w:w="1649"/>
            <w:shd w:fill="F1F5F9"/>
            <w:tcMar>
              <w:top w:w="120" w:type="dxa"/>
              <w:bottom w:w="120" w:type="dxa"/>
              <w:left w:w="80" w:type="dxa"/>
              <w:right w:w="80" w:type="dxa"/>
            </w:tcMar>
          </w:tcPr>
          <w:p>
            <w:pPr>
              <w:jc w:val="center"/>
            </w:pPr>
            <w:r>
              <w:rPr>
                <w:rFonts w:ascii="Times New Roman" w:hAnsi="Times New Roman"/>
                <w:b/>
                <w:sz w:val="16"/>
              </w:rPr>
              <w:t>Nezha [2] / TORAI [15]</w:t>
            </w:r>
          </w:p>
        </w:tc>
        <w:tc>
          <w:tcPr>
            <w:tcW w:type="dxa" w:w="1649"/>
            <w:shd w:fill="F1F5F9"/>
            <w:tcMar>
              <w:top w:w="120" w:type="dxa"/>
              <w:bottom w:w="120" w:type="dxa"/>
              <w:left w:w="80" w:type="dxa"/>
              <w:right w:w="80" w:type="dxa"/>
            </w:tcMar>
          </w:tcPr>
          <w:p>
            <w:pPr>
              <w:jc w:val="center"/>
            </w:pPr>
            <w:r>
              <w:rPr>
                <w:rFonts w:ascii="Times New Roman" w:hAnsi="Times New Roman"/>
                <w:b/>
                <w:sz w:val="16"/>
              </w:rPr>
              <w:t>RCLAgent [18]</w:t>
            </w:r>
          </w:p>
        </w:tc>
        <w:tc>
          <w:tcPr>
            <w:tcW w:type="dxa" w:w="1649"/>
            <w:shd w:fill="F1F5F9"/>
            <w:tcMar>
              <w:top w:w="120" w:type="dxa"/>
              <w:bottom w:w="120" w:type="dxa"/>
              <w:left w:w="80" w:type="dxa"/>
              <w:right w:w="80" w:type="dxa"/>
            </w:tcMar>
          </w:tcPr>
          <w:p>
            <w:pPr>
              <w:jc w:val="center"/>
            </w:pPr>
            <w:r>
              <w:rPr>
                <w:rFonts w:ascii="Times New Roman" w:hAnsi="Times New Roman"/>
                <w:b/>
                <w:sz w:val="16"/>
              </w:rPr>
              <w:t>Constrained-xAIOps (Ours)</w:t>
            </w:r>
          </w:p>
        </w:tc>
      </w:tr>
      <w:tr>
        <w:tc>
          <w:tcPr>
            <w:tcW w:type="dxa" w:w="1649"/>
            <w:tcMar>
              <w:top w:w="60" w:type="dxa"/>
              <w:bottom w:w="60" w:type="dxa"/>
              <w:left w:w="80" w:type="dxa"/>
              <w:right w:w="80" w:type="dxa"/>
            </w:tcMar>
          </w:tcPr>
          <w:p>
            <w:pPr>
              <w:jc w:val="left"/>
            </w:pPr>
            <w:r>
              <w:rPr>
                <w:rFonts w:ascii="Times New Roman" w:hAnsi="Times New Roman"/>
                <w:sz w:val="16"/>
              </w:rPr>
              <w:t>Primary Modality</w:t>
            </w:r>
          </w:p>
        </w:tc>
        <w:tc>
          <w:tcPr>
            <w:tcW w:type="dxa" w:w="1649"/>
            <w:tcMar>
              <w:top w:w="60" w:type="dxa"/>
              <w:bottom w:w="60" w:type="dxa"/>
              <w:left w:w="80" w:type="dxa"/>
              <w:right w:w="80" w:type="dxa"/>
            </w:tcMar>
          </w:tcPr>
          <w:p>
            <w:pPr>
              <w:jc w:val="center"/>
            </w:pPr>
            <w:r>
              <w:rPr>
                <w:rFonts w:ascii="Times New Roman" w:hAnsi="Times New Roman"/>
                <w:sz w:val="16"/>
              </w:rPr>
              <w:t>Metrics</w:t>
            </w:r>
          </w:p>
        </w:tc>
        <w:tc>
          <w:tcPr>
            <w:tcW w:type="dxa" w:w="1649"/>
            <w:tcMar>
              <w:top w:w="60" w:type="dxa"/>
              <w:bottom w:w="60" w:type="dxa"/>
              <w:left w:w="80" w:type="dxa"/>
              <w:right w:w="80" w:type="dxa"/>
            </w:tcMar>
          </w:tcPr>
          <w:p>
            <w:pPr>
              <w:jc w:val="center"/>
            </w:pPr>
            <w:r>
              <w:rPr>
                <w:rFonts w:ascii="Times New Roman" w:hAnsi="Times New Roman"/>
                <w:sz w:val="16"/>
              </w:rPr>
              <w:t>Metrics</w:t>
            </w:r>
          </w:p>
        </w:tc>
        <w:tc>
          <w:tcPr>
            <w:tcW w:type="dxa" w:w="1649"/>
            <w:tcMar>
              <w:top w:w="60" w:type="dxa"/>
              <w:bottom w:w="60" w:type="dxa"/>
              <w:left w:w="80" w:type="dxa"/>
              <w:right w:w="80" w:type="dxa"/>
            </w:tcMar>
          </w:tcPr>
          <w:p>
            <w:pPr>
              <w:jc w:val="center"/>
            </w:pPr>
            <w:r>
              <w:rPr>
                <w:rFonts w:ascii="Times New Roman" w:hAnsi="Times New Roman"/>
                <w:sz w:val="16"/>
              </w:rPr>
              <w:t>Metrics+Logs+Traces</w:t>
            </w:r>
          </w:p>
        </w:tc>
        <w:tc>
          <w:tcPr>
            <w:tcW w:type="dxa" w:w="1649"/>
            <w:tcMar>
              <w:top w:w="60" w:type="dxa"/>
              <w:bottom w:w="60" w:type="dxa"/>
              <w:left w:w="80" w:type="dxa"/>
              <w:right w:w="80" w:type="dxa"/>
            </w:tcMar>
          </w:tcPr>
          <w:p>
            <w:pPr>
              <w:jc w:val="center"/>
            </w:pPr>
            <w:r>
              <w:rPr>
                <w:rFonts w:ascii="Times New Roman" w:hAnsi="Times New Roman"/>
                <w:sz w:val="16"/>
              </w:rPr>
              <w:t>Text + Metrics</w:t>
            </w:r>
          </w:p>
        </w:tc>
        <w:tc>
          <w:tcPr>
            <w:tcW w:type="dxa" w:w="1649"/>
            <w:tcMar>
              <w:top w:w="60" w:type="dxa"/>
              <w:bottom w:w="60" w:type="dxa"/>
              <w:left w:w="80" w:type="dxa"/>
              <w:right w:w="80" w:type="dxa"/>
            </w:tcMar>
          </w:tcPr>
          <w:p>
            <w:pPr>
              <w:jc w:val="center"/>
            </w:pPr>
            <w:r>
              <w:rPr>
                <w:rFonts w:ascii="Times New Roman" w:hAnsi="Times New Roman"/>
                <w:b/>
                <w:sz w:val="16"/>
              </w:rPr>
              <w:t>Constrained Metrics</w:t>
            </w:r>
          </w:p>
        </w:tc>
      </w:tr>
      <w:tr>
        <w:tc>
          <w:tcPr>
            <w:tcW w:type="dxa" w:w="1649"/>
            <w:tcMar>
              <w:top w:w="60" w:type="dxa"/>
              <w:bottom w:w="60" w:type="dxa"/>
              <w:left w:w="80" w:type="dxa"/>
              <w:right w:w="80" w:type="dxa"/>
            </w:tcMar>
          </w:tcPr>
          <w:p>
            <w:pPr>
              <w:jc w:val="left"/>
            </w:pPr>
            <w:r>
              <w:rPr>
                <w:rFonts w:ascii="Times New Roman" w:hAnsi="Times New Roman"/>
                <w:sz w:val="16"/>
              </w:rPr>
              <w:t>Telemetry Quality Awareness</w:t>
            </w:r>
          </w:p>
        </w:tc>
        <w:tc>
          <w:tcPr>
            <w:tcW w:type="dxa" w:w="1649"/>
            <w:tcMar>
              <w:top w:w="60" w:type="dxa"/>
              <w:bottom w:w="60" w:type="dxa"/>
              <w:left w:w="80" w:type="dxa"/>
              <w:right w:w="80" w:type="dxa"/>
            </w:tcMar>
          </w:tcPr>
          <w:p>
            <w:pPr>
              <w:jc w:val="center"/>
            </w:pPr>
            <w:r>
              <w:rPr>
                <w:rFonts w:ascii="Times New Roman" w:hAnsi="Times New Roman"/>
                <w:sz w:val="16"/>
              </w:rPr>
              <w:t>None</w:t>
            </w:r>
          </w:p>
        </w:tc>
        <w:tc>
          <w:tcPr>
            <w:tcW w:type="dxa" w:w="1649"/>
            <w:tcMar>
              <w:top w:w="60" w:type="dxa"/>
              <w:bottom w:w="60" w:type="dxa"/>
              <w:left w:w="80" w:type="dxa"/>
              <w:right w:w="80" w:type="dxa"/>
            </w:tcMar>
          </w:tcPr>
          <w:p>
            <w:pPr>
              <w:jc w:val="center"/>
            </w:pPr>
            <w:r>
              <w:rPr>
                <w:rFonts w:ascii="Times New Roman" w:hAnsi="Times New Roman"/>
                <w:sz w:val="16"/>
              </w:rPr>
              <w:t>None</w:t>
            </w:r>
          </w:p>
        </w:tc>
        <w:tc>
          <w:tcPr>
            <w:tcW w:type="dxa" w:w="1649"/>
            <w:tcMar>
              <w:top w:w="60" w:type="dxa"/>
              <w:bottom w:w="60" w:type="dxa"/>
              <w:left w:w="80" w:type="dxa"/>
              <w:right w:w="80" w:type="dxa"/>
            </w:tcMar>
          </w:tcPr>
          <w:p>
            <w:pPr>
              <w:jc w:val="center"/>
            </w:pPr>
            <w:r>
              <w:rPr>
                <w:rFonts w:ascii="Times New Roman" w:hAnsi="Times New Roman"/>
                <w:sz w:val="16"/>
              </w:rPr>
              <w:t>Heuristic</w:t>
            </w:r>
          </w:p>
        </w:tc>
        <w:tc>
          <w:tcPr>
            <w:tcW w:type="dxa" w:w="1649"/>
            <w:tcMar>
              <w:top w:w="60" w:type="dxa"/>
              <w:bottom w:w="60" w:type="dxa"/>
              <w:left w:w="80" w:type="dxa"/>
              <w:right w:w="80" w:type="dxa"/>
            </w:tcMar>
          </w:tcPr>
          <w:p>
            <w:pPr>
              <w:jc w:val="center"/>
            </w:pPr>
            <w:r>
              <w:rPr>
                <w:rFonts w:ascii="Times New Roman" w:hAnsi="Times New Roman"/>
                <w:sz w:val="16"/>
              </w:rPr>
              <w:t>Prompt-Based</w:t>
            </w:r>
          </w:p>
        </w:tc>
        <w:tc>
          <w:tcPr>
            <w:tcW w:type="dxa" w:w="1649"/>
            <w:tcMar>
              <w:top w:w="60" w:type="dxa"/>
              <w:bottom w:w="60" w:type="dxa"/>
              <w:left w:w="80" w:type="dxa"/>
              <w:right w:w="80" w:type="dxa"/>
            </w:tcMar>
          </w:tcPr>
          <w:p>
            <w:pPr>
              <w:jc w:val="center"/>
            </w:pPr>
            <w:r>
              <w:rPr>
                <w:rFonts w:ascii="Times New Roman" w:hAnsi="Times New Roman"/>
                <w:b/>
                <w:sz w:val="16"/>
              </w:rPr>
              <w:t>5D Axiomatic (T in [0, 1])</w:t>
            </w:r>
          </w:p>
        </w:tc>
      </w:tr>
      <w:tr>
        <w:tc>
          <w:tcPr>
            <w:tcW w:type="dxa" w:w="1649"/>
            <w:tcMar>
              <w:top w:w="60" w:type="dxa"/>
              <w:bottom w:w="60" w:type="dxa"/>
              <w:left w:w="80" w:type="dxa"/>
              <w:right w:w="80" w:type="dxa"/>
            </w:tcMar>
          </w:tcPr>
          <w:p>
            <w:pPr>
              <w:jc w:val="left"/>
            </w:pPr>
            <w:r>
              <w:rPr>
                <w:rFonts w:ascii="Times New Roman" w:hAnsi="Times New Roman"/>
                <w:sz w:val="16"/>
              </w:rPr>
              <w:t>Incident MNAR Handling</w:t>
            </w:r>
          </w:p>
        </w:tc>
        <w:tc>
          <w:tcPr>
            <w:tcW w:type="dxa" w:w="1649"/>
            <w:tcMar>
              <w:top w:w="60" w:type="dxa"/>
              <w:bottom w:w="60" w:type="dxa"/>
              <w:left w:w="80" w:type="dxa"/>
              <w:right w:w="80" w:type="dxa"/>
            </w:tcMar>
          </w:tcPr>
          <w:p>
            <w:pPr>
              <w:jc w:val="center"/>
            </w:pPr>
            <w:r>
              <w:rPr>
                <w:rFonts w:ascii="Times New Roman" w:hAnsi="Times New Roman"/>
                <w:sz w:val="16"/>
              </w:rPr>
              <w:t>Fails</w:t>
            </w:r>
          </w:p>
        </w:tc>
        <w:tc>
          <w:tcPr>
            <w:tcW w:type="dxa" w:w="1649"/>
            <w:tcMar>
              <w:top w:w="60" w:type="dxa"/>
              <w:bottom w:w="60" w:type="dxa"/>
              <w:left w:w="80" w:type="dxa"/>
              <w:right w:w="80" w:type="dxa"/>
            </w:tcMar>
          </w:tcPr>
          <w:p>
            <w:pPr>
              <w:jc w:val="center"/>
            </w:pPr>
            <w:r>
              <w:rPr>
                <w:rFonts w:ascii="Times New Roman" w:hAnsi="Times New Roman"/>
                <w:sz w:val="16"/>
              </w:rPr>
              <w:t>Fails</w:t>
            </w:r>
          </w:p>
        </w:tc>
        <w:tc>
          <w:tcPr>
            <w:tcW w:type="dxa" w:w="1649"/>
            <w:tcMar>
              <w:top w:w="60" w:type="dxa"/>
              <w:bottom w:w="60" w:type="dxa"/>
              <w:left w:w="80" w:type="dxa"/>
              <w:right w:w="80" w:type="dxa"/>
            </w:tcMar>
          </w:tcPr>
          <w:p>
            <w:pPr>
              <w:jc w:val="center"/>
            </w:pPr>
            <w:r>
              <w:rPr>
                <w:rFonts w:ascii="Times New Roman" w:hAnsi="Times New Roman"/>
                <w:sz w:val="16"/>
              </w:rPr>
              <w:t>Fails</w:t>
            </w:r>
          </w:p>
        </w:tc>
        <w:tc>
          <w:tcPr>
            <w:tcW w:type="dxa" w:w="1649"/>
            <w:tcMar>
              <w:top w:w="60" w:type="dxa"/>
              <w:bottom w:w="60" w:type="dxa"/>
              <w:left w:w="80" w:type="dxa"/>
              <w:right w:w="80" w:type="dxa"/>
            </w:tcMar>
          </w:tcPr>
          <w:p>
            <w:pPr>
              <w:jc w:val="center"/>
            </w:pPr>
            <w:r>
              <w:rPr>
                <w:rFonts w:ascii="Times New Roman" w:hAnsi="Times New Roman"/>
                <w:sz w:val="16"/>
              </w:rPr>
              <w:t>Uncalibrated</w:t>
            </w:r>
          </w:p>
        </w:tc>
        <w:tc>
          <w:tcPr>
            <w:tcW w:type="dxa" w:w="1649"/>
            <w:tcMar>
              <w:top w:w="60" w:type="dxa"/>
              <w:bottom w:w="60" w:type="dxa"/>
              <w:left w:w="80" w:type="dxa"/>
              <w:right w:w="80" w:type="dxa"/>
            </w:tcMar>
          </w:tcPr>
          <w:p>
            <w:pPr>
              <w:jc w:val="center"/>
            </w:pPr>
            <w:r>
              <w:rPr>
                <w:rFonts w:ascii="Times New Roman" w:hAnsi="Times New Roman"/>
                <w:b/>
                <w:sz w:val="16"/>
              </w:rPr>
              <w:t>Dual-Branch Escalator</w:t>
            </w:r>
          </w:p>
        </w:tc>
      </w:tr>
      <w:tr>
        <w:tc>
          <w:tcPr>
            <w:tcW w:type="dxa" w:w="1649"/>
            <w:tcMar>
              <w:top w:w="60" w:type="dxa"/>
              <w:bottom w:w="60" w:type="dxa"/>
              <w:left w:w="80" w:type="dxa"/>
              <w:right w:w="80" w:type="dxa"/>
            </w:tcMar>
          </w:tcPr>
          <w:p>
            <w:pPr>
              <w:jc w:val="left"/>
            </w:pPr>
            <w:r>
              <w:rPr>
                <w:rFonts w:ascii="Times New Roman" w:hAnsi="Times New Roman"/>
                <w:sz w:val="16"/>
              </w:rPr>
              <w:t>Conformal Selective Gating</w:t>
            </w:r>
          </w:p>
        </w:tc>
        <w:tc>
          <w:tcPr>
            <w:tcW w:type="dxa" w:w="1649"/>
            <w:tcMar>
              <w:top w:w="60" w:type="dxa"/>
              <w:bottom w:w="60" w:type="dxa"/>
              <w:left w:w="80" w:type="dxa"/>
              <w:right w:w="80" w:type="dxa"/>
            </w:tcMar>
          </w:tcPr>
          <w:p>
            <w:pPr>
              <w:jc w:val="center"/>
            </w:pPr>
            <w:r>
              <w:rPr>
                <w:rFonts w:ascii="Times New Roman" w:hAnsi="Times New Roman"/>
                <w:sz w:val="16"/>
              </w:rPr>
              <w:t>No</w:t>
            </w:r>
          </w:p>
        </w:tc>
        <w:tc>
          <w:tcPr>
            <w:tcW w:type="dxa" w:w="1649"/>
            <w:tcMar>
              <w:top w:w="60" w:type="dxa"/>
              <w:bottom w:w="60" w:type="dxa"/>
              <w:left w:w="80" w:type="dxa"/>
              <w:right w:w="80" w:type="dxa"/>
            </w:tcMar>
          </w:tcPr>
          <w:p>
            <w:pPr>
              <w:jc w:val="center"/>
            </w:pPr>
            <w:r>
              <w:rPr>
                <w:rFonts w:ascii="Times New Roman" w:hAnsi="Times New Roman"/>
                <w:sz w:val="16"/>
              </w:rPr>
              <w:t>No</w:t>
            </w:r>
          </w:p>
        </w:tc>
        <w:tc>
          <w:tcPr>
            <w:tcW w:type="dxa" w:w="1649"/>
            <w:tcMar>
              <w:top w:w="60" w:type="dxa"/>
              <w:bottom w:w="60" w:type="dxa"/>
              <w:left w:w="80" w:type="dxa"/>
              <w:right w:w="80" w:type="dxa"/>
            </w:tcMar>
          </w:tcPr>
          <w:p>
            <w:pPr>
              <w:jc w:val="center"/>
            </w:pPr>
            <w:r>
              <w:rPr>
                <w:rFonts w:ascii="Times New Roman" w:hAnsi="Times New Roman"/>
                <w:sz w:val="16"/>
              </w:rPr>
              <w:t>No</w:t>
            </w:r>
          </w:p>
        </w:tc>
        <w:tc>
          <w:tcPr>
            <w:tcW w:type="dxa" w:w="1649"/>
            <w:tcMar>
              <w:top w:w="60" w:type="dxa"/>
              <w:bottom w:w="60" w:type="dxa"/>
              <w:left w:w="80" w:type="dxa"/>
              <w:right w:w="80" w:type="dxa"/>
            </w:tcMar>
          </w:tcPr>
          <w:p>
            <w:pPr>
              <w:jc w:val="center"/>
            </w:pPr>
            <w:r>
              <w:rPr>
                <w:rFonts w:ascii="Times New Roman" w:hAnsi="Times New Roman"/>
                <w:sz w:val="16"/>
              </w:rPr>
              <w:t>No</w:t>
            </w:r>
          </w:p>
        </w:tc>
        <w:tc>
          <w:tcPr>
            <w:tcW w:type="dxa" w:w="1649"/>
            <w:tcMar>
              <w:top w:w="60" w:type="dxa"/>
              <w:bottom w:w="60" w:type="dxa"/>
              <w:left w:w="80" w:type="dxa"/>
              <w:right w:w="80" w:type="dxa"/>
            </w:tcMar>
          </w:tcPr>
          <w:p>
            <w:pPr>
              <w:jc w:val="center"/>
            </w:pPr>
            <w:r>
              <w:rPr>
                <w:rFonts w:ascii="Times New Roman" w:hAnsi="Times New Roman"/>
                <w:b/>
                <w:sz w:val="16"/>
              </w:rPr>
              <w:t>Adaptive Non-Exchangeable</w:t>
            </w:r>
          </w:p>
        </w:tc>
      </w:tr>
      <w:tr>
        <w:tc>
          <w:tcPr>
            <w:tcW w:type="dxa" w:w="1649"/>
            <w:tcMar>
              <w:top w:w="60" w:type="dxa"/>
              <w:bottom w:w="60" w:type="dxa"/>
              <w:left w:w="80" w:type="dxa"/>
              <w:right w:w="80" w:type="dxa"/>
            </w:tcMar>
          </w:tcPr>
          <w:p>
            <w:pPr>
              <w:jc w:val="left"/>
            </w:pPr>
            <w:r>
              <w:rPr>
                <w:rFonts w:ascii="Times New Roman" w:hAnsi="Times New Roman"/>
                <w:sz w:val="16"/>
              </w:rPr>
              <w:t>Pre-Fault Topology Grounding</w:t>
            </w:r>
          </w:p>
        </w:tc>
        <w:tc>
          <w:tcPr>
            <w:tcW w:type="dxa" w:w="1649"/>
            <w:tcMar>
              <w:top w:w="60" w:type="dxa"/>
              <w:bottom w:w="60" w:type="dxa"/>
              <w:left w:w="80" w:type="dxa"/>
              <w:right w:w="80" w:type="dxa"/>
            </w:tcMar>
          </w:tcPr>
          <w:p>
            <w:pPr>
              <w:jc w:val="center"/>
            </w:pPr>
            <w:r>
              <w:rPr>
                <w:rFonts w:ascii="Times New Roman" w:hAnsi="Times New Roman"/>
                <w:sz w:val="16"/>
              </w:rPr>
              <w:t>Static Call</w:t>
            </w:r>
          </w:p>
        </w:tc>
        <w:tc>
          <w:tcPr>
            <w:tcW w:type="dxa" w:w="1649"/>
            <w:tcMar>
              <w:top w:w="60" w:type="dxa"/>
              <w:bottom w:w="60" w:type="dxa"/>
              <w:left w:w="80" w:type="dxa"/>
              <w:right w:w="80" w:type="dxa"/>
            </w:tcMar>
          </w:tcPr>
          <w:p>
            <w:pPr>
              <w:jc w:val="center"/>
            </w:pPr>
            <w:r>
              <w:rPr>
                <w:rFonts w:ascii="Times New Roman" w:hAnsi="Times New Roman"/>
                <w:sz w:val="16"/>
              </w:rPr>
              <w:t>Static DAG</w:t>
            </w:r>
          </w:p>
        </w:tc>
        <w:tc>
          <w:tcPr>
            <w:tcW w:type="dxa" w:w="1649"/>
            <w:tcMar>
              <w:top w:w="60" w:type="dxa"/>
              <w:bottom w:w="60" w:type="dxa"/>
              <w:left w:w="80" w:type="dxa"/>
              <w:right w:w="80" w:type="dxa"/>
            </w:tcMar>
          </w:tcPr>
          <w:p>
            <w:pPr>
              <w:jc w:val="center"/>
            </w:pPr>
            <w:r>
              <w:rPr>
                <w:rFonts w:ascii="Times New Roman" w:hAnsi="Times New Roman"/>
                <w:sz w:val="16"/>
              </w:rPr>
              <w:t>Trace Graph</w:t>
            </w:r>
          </w:p>
        </w:tc>
        <w:tc>
          <w:tcPr>
            <w:tcW w:type="dxa" w:w="1649"/>
            <w:tcMar>
              <w:top w:w="60" w:type="dxa"/>
              <w:bottom w:w="60" w:type="dxa"/>
              <w:left w:w="80" w:type="dxa"/>
              <w:right w:w="80" w:type="dxa"/>
            </w:tcMar>
          </w:tcPr>
          <w:p>
            <w:pPr>
              <w:jc w:val="center"/>
            </w:pPr>
            <w:r>
              <w:rPr>
                <w:rFonts w:ascii="Times New Roman" w:hAnsi="Times New Roman"/>
                <w:sz w:val="16"/>
              </w:rPr>
              <w:t>Knowledge Graph</w:t>
            </w:r>
          </w:p>
        </w:tc>
        <w:tc>
          <w:tcPr>
            <w:tcW w:type="dxa" w:w="1649"/>
            <w:tcMar>
              <w:top w:w="60" w:type="dxa"/>
              <w:bottom w:w="60" w:type="dxa"/>
              <w:left w:w="80" w:type="dxa"/>
              <w:right w:w="80" w:type="dxa"/>
            </w:tcMar>
          </w:tcPr>
          <w:p>
            <w:pPr>
              <w:jc w:val="center"/>
            </w:pPr>
            <w:r>
              <w:rPr>
                <w:rFonts w:ascii="Times New Roman" w:hAnsi="Times New Roman"/>
                <w:b/>
                <w:sz w:val="16"/>
              </w:rPr>
              <w:t>Hybrid Call + Pre-Fault Empirical Correlation Topology</w:t>
            </w:r>
          </w:p>
        </w:tc>
      </w:tr>
      <w:tr>
        <w:tc>
          <w:tcPr>
            <w:tcW w:type="dxa" w:w="1649"/>
            <w:tcMar>
              <w:top w:w="60" w:type="dxa"/>
              <w:bottom w:w="60" w:type="dxa"/>
              <w:left w:w="80" w:type="dxa"/>
              <w:right w:w="80" w:type="dxa"/>
            </w:tcMar>
          </w:tcPr>
          <w:p>
            <w:pPr>
              <w:jc w:val="left"/>
            </w:pPr>
            <w:r>
              <w:rPr>
                <w:rFonts w:ascii="Times New Roman" w:hAnsi="Times New Roman"/>
                <w:sz w:val="16"/>
              </w:rPr>
              <w:t>Inference Latency</w:t>
            </w:r>
          </w:p>
        </w:tc>
        <w:tc>
          <w:tcPr>
            <w:tcW w:type="dxa" w:w="1649"/>
            <w:tcMar>
              <w:top w:w="60" w:type="dxa"/>
              <w:bottom w:w="60" w:type="dxa"/>
              <w:left w:w="80" w:type="dxa"/>
              <w:right w:w="80" w:type="dxa"/>
            </w:tcMar>
          </w:tcPr>
          <w:p>
            <w:pPr>
              <w:jc w:val="center"/>
            </w:pPr>
            <w:r>
              <w:rPr>
                <w:rFonts w:ascii="Times New Roman" w:hAnsi="Times New Roman"/>
                <w:sz w:val="16"/>
              </w:rPr>
              <w:t>273 ms</w:t>
            </w:r>
          </w:p>
        </w:tc>
        <w:tc>
          <w:tcPr>
            <w:tcW w:type="dxa" w:w="1649"/>
            <w:tcMar>
              <w:top w:w="60" w:type="dxa"/>
              <w:bottom w:w="60" w:type="dxa"/>
              <w:left w:w="80" w:type="dxa"/>
              <w:right w:w="80" w:type="dxa"/>
            </w:tcMar>
          </w:tcPr>
          <w:p>
            <w:pPr>
              <w:jc w:val="center"/>
            </w:pPr>
            <w:r>
              <w:rPr>
                <w:rFonts w:ascii="Times New Roman" w:hAnsi="Times New Roman"/>
                <w:sz w:val="16"/>
              </w:rPr>
              <w:t>&gt;15 s</w:t>
            </w:r>
          </w:p>
        </w:tc>
        <w:tc>
          <w:tcPr>
            <w:tcW w:type="dxa" w:w="1649"/>
            <w:tcMar>
              <w:top w:w="60" w:type="dxa"/>
              <w:bottom w:w="60" w:type="dxa"/>
              <w:left w:w="80" w:type="dxa"/>
              <w:right w:w="80" w:type="dxa"/>
            </w:tcMar>
          </w:tcPr>
          <w:p>
            <w:pPr>
              <w:jc w:val="center"/>
            </w:pPr>
            <w:r>
              <w:rPr>
                <w:rFonts w:ascii="Times New Roman" w:hAnsi="Times New Roman"/>
                <w:sz w:val="16"/>
              </w:rPr>
              <w:t>&gt;10 s</w:t>
            </w:r>
          </w:p>
        </w:tc>
        <w:tc>
          <w:tcPr>
            <w:tcW w:type="dxa" w:w="1649"/>
            <w:tcMar>
              <w:top w:w="60" w:type="dxa"/>
              <w:bottom w:w="60" w:type="dxa"/>
              <w:left w:w="80" w:type="dxa"/>
              <w:right w:w="80" w:type="dxa"/>
            </w:tcMar>
          </w:tcPr>
          <w:p>
            <w:pPr>
              <w:jc w:val="center"/>
            </w:pPr>
            <w:r>
              <w:rPr>
                <w:rFonts w:ascii="Times New Roman" w:hAnsi="Times New Roman"/>
                <w:sz w:val="16"/>
              </w:rPr>
              <w:t>&gt;30 s</w:t>
            </w:r>
          </w:p>
        </w:tc>
        <w:tc>
          <w:tcPr>
            <w:tcW w:type="dxa" w:w="1649"/>
            <w:tcMar>
              <w:top w:w="60" w:type="dxa"/>
              <w:bottom w:w="60" w:type="dxa"/>
              <w:left w:w="80" w:type="dxa"/>
              <w:right w:w="80" w:type="dxa"/>
            </w:tcMar>
          </w:tcPr>
          <w:p>
            <w:pPr>
              <w:jc w:val="center"/>
            </w:pPr>
            <w:r>
              <w:rPr>
                <w:rFonts w:ascii="Times New Roman" w:hAnsi="Times New Roman"/>
                <w:b/>
                <w:sz w:val="16"/>
              </w:rPr>
              <w:t>3.82 ms</w:t>
            </w:r>
          </w:p>
        </w:tc>
      </w:tr>
      <w:tr>
        <w:tc>
          <w:tcPr>
            <w:tcW w:type="dxa" w:w="1649"/>
            <w:tcMar>
              <w:top w:w="60" w:type="dxa"/>
              <w:bottom w:w="60" w:type="dxa"/>
              <w:left w:w="80" w:type="dxa"/>
              <w:right w:w="80" w:type="dxa"/>
            </w:tcMar>
          </w:tcPr>
          <w:p>
            <w:pPr>
              <w:jc w:val="left"/>
            </w:pPr>
            <w:r>
              <w:rPr>
                <w:rFonts w:ascii="Times New Roman" w:hAnsi="Times New Roman"/>
                <w:sz w:val="16"/>
              </w:rPr>
              <w:t>Resource Footprint</w:t>
            </w:r>
          </w:p>
        </w:tc>
        <w:tc>
          <w:tcPr>
            <w:tcW w:type="dxa" w:w="1649"/>
            <w:tcMar>
              <w:top w:w="60" w:type="dxa"/>
              <w:bottom w:w="60" w:type="dxa"/>
              <w:left w:w="80" w:type="dxa"/>
              <w:right w:w="80" w:type="dxa"/>
            </w:tcMar>
          </w:tcPr>
          <w:p>
            <w:pPr>
              <w:jc w:val="center"/>
            </w:pPr>
            <w:r>
              <w:rPr>
                <w:rFonts w:ascii="Times New Roman" w:hAnsi="Times New Roman"/>
                <w:sz w:val="16"/>
              </w:rPr>
              <w:t>Moderate CPU</w:t>
            </w:r>
          </w:p>
        </w:tc>
        <w:tc>
          <w:tcPr>
            <w:tcW w:type="dxa" w:w="1649"/>
            <w:tcMar>
              <w:top w:w="60" w:type="dxa"/>
              <w:bottom w:w="60" w:type="dxa"/>
              <w:left w:w="80" w:type="dxa"/>
              <w:right w:w="80" w:type="dxa"/>
            </w:tcMar>
          </w:tcPr>
          <w:p>
            <w:pPr>
              <w:jc w:val="center"/>
            </w:pPr>
            <w:r>
              <w:rPr>
                <w:rFonts w:ascii="Times New Roman" w:hAnsi="Times New Roman"/>
                <w:sz w:val="16"/>
              </w:rPr>
              <w:t>Heavy CPU</w:t>
            </w:r>
          </w:p>
        </w:tc>
        <w:tc>
          <w:tcPr>
            <w:tcW w:type="dxa" w:w="1649"/>
            <w:tcMar>
              <w:top w:w="60" w:type="dxa"/>
              <w:bottom w:w="60" w:type="dxa"/>
              <w:left w:w="80" w:type="dxa"/>
              <w:right w:w="80" w:type="dxa"/>
            </w:tcMar>
          </w:tcPr>
          <w:p>
            <w:pPr>
              <w:jc w:val="center"/>
            </w:pPr>
            <w:r>
              <w:rPr>
                <w:rFonts w:ascii="Times New Roman" w:hAnsi="Times New Roman"/>
                <w:sz w:val="16"/>
              </w:rPr>
              <w:t>Heavy Multi-Modal</w:t>
            </w:r>
          </w:p>
        </w:tc>
        <w:tc>
          <w:tcPr>
            <w:tcW w:type="dxa" w:w="1649"/>
            <w:tcMar>
              <w:top w:w="60" w:type="dxa"/>
              <w:bottom w:w="60" w:type="dxa"/>
              <w:left w:w="80" w:type="dxa"/>
              <w:right w:w="80" w:type="dxa"/>
            </w:tcMar>
          </w:tcPr>
          <w:p>
            <w:pPr>
              <w:jc w:val="center"/>
            </w:pPr>
            <w:r>
              <w:rPr>
                <w:rFonts w:ascii="Times New Roman" w:hAnsi="Times New Roman"/>
                <w:sz w:val="16"/>
              </w:rPr>
              <w:t>Multi-GPU LLM</w:t>
            </w:r>
          </w:p>
        </w:tc>
        <w:tc>
          <w:tcPr>
            <w:tcW w:type="dxa" w:w="1649"/>
            <w:tcMar>
              <w:top w:w="60" w:type="dxa"/>
              <w:bottom w:w="60" w:type="dxa"/>
              <w:left w:w="80" w:type="dxa"/>
              <w:right w:w="80" w:type="dxa"/>
            </w:tcMar>
          </w:tcPr>
          <w:p>
            <w:pPr>
              <w:jc w:val="center"/>
            </w:pPr>
            <w:r>
              <w:rPr>
                <w:rFonts w:ascii="Times New Roman" w:hAnsi="Times New Roman"/>
                <w:b/>
                <w:sz w:val="16"/>
              </w:rPr>
              <w:t>Lightweight (&lt;220MB CPU)</w:t>
            </w:r>
          </w:p>
        </w:tc>
      </w:tr>
      <w:tr>
        <w:tc>
          <w:tcPr>
            <w:tcW w:type="dxa" w:w="1649"/>
            <w:tcMar>
              <w:top w:w="60" w:type="dxa"/>
              <w:bottom w:w="60" w:type="dxa"/>
              <w:left w:w="80" w:type="dxa"/>
              <w:right w:w="80" w:type="dxa"/>
            </w:tcMar>
          </w:tcPr>
          <w:p>
            <w:pPr>
              <w:jc w:val="left"/>
            </w:pPr>
            <w:r>
              <w:rPr>
                <w:rFonts w:ascii="Times New Roman" w:hAnsi="Times New Roman"/>
                <w:sz w:val="16"/>
              </w:rPr>
              <w:t>Attribution Fidelity &amp; Badging</w:t>
            </w:r>
          </w:p>
        </w:tc>
        <w:tc>
          <w:tcPr>
            <w:tcW w:type="dxa" w:w="1649"/>
            <w:tcMar>
              <w:top w:w="60" w:type="dxa"/>
              <w:bottom w:w="60" w:type="dxa"/>
              <w:left w:w="80" w:type="dxa"/>
              <w:right w:w="80" w:type="dxa"/>
            </w:tcMar>
          </w:tcPr>
          <w:p>
            <w:pPr>
              <w:jc w:val="center"/>
            </w:pPr>
            <w:r>
              <w:rPr>
                <w:rFonts w:ascii="Times New Roman" w:hAnsi="Times New Roman"/>
                <w:sz w:val="16"/>
              </w:rPr>
              <w:t>None</w:t>
            </w:r>
          </w:p>
        </w:tc>
        <w:tc>
          <w:tcPr>
            <w:tcW w:type="dxa" w:w="1649"/>
            <w:tcMar>
              <w:top w:w="60" w:type="dxa"/>
              <w:bottom w:w="60" w:type="dxa"/>
              <w:left w:w="80" w:type="dxa"/>
              <w:right w:w="80" w:type="dxa"/>
            </w:tcMar>
          </w:tcPr>
          <w:p>
            <w:pPr>
              <w:jc w:val="center"/>
            </w:pPr>
            <w:r>
              <w:rPr>
                <w:rFonts w:ascii="Times New Roman" w:hAnsi="Times New Roman"/>
                <w:sz w:val="16"/>
              </w:rPr>
              <w:t>Graph Walk</w:t>
            </w:r>
          </w:p>
        </w:tc>
        <w:tc>
          <w:tcPr>
            <w:tcW w:type="dxa" w:w="1649"/>
            <w:tcMar>
              <w:top w:w="60" w:type="dxa"/>
              <w:bottom w:w="60" w:type="dxa"/>
              <w:left w:w="80" w:type="dxa"/>
              <w:right w:w="80" w:type="dxa"/>
            </w:tcMar>
          </w:tcPr>
          <w:p>
            <w:pPr>
              <w:jc w:val="center"/>
            </w:pPr>
            <w:r>
              <w:rPr>
                <w:rFonts w:ascii="Times New Roman" w:hAnsi="Times New Roman"/>
                <w:sz w:val="16"/>
              </w:rPr>
              <w:t>Path Traversal</w:t>
            </w:r>
          </w:p>
        </w:tc>
        <w:tc>
          <w:tcPr>
            <w:tcW w:type="dxa" w:w="1649"/>
            <w:tcMar>
              <w:top w:w="60" w:type="dxa"/>
              <w:bottom w:w="60" w:type="dxa"/>
              <w:left w:w="80" w:type="dxa"/>
              <w:right w:w="80" w:type="dxa"/>
            </w:tcMar>
          </w:tcPr>
          <w:p>
            <w:pPr>
              <w:jc w:val="center"/>
            </w:pPr>
            <w:r>
              <w:rPr>
                <w:rFonts w:ascii="Times New Roman" w:hAnsi="Times New Roman"/>
                <w:sz w:val="16"/>
              </w:rPr>
              <w:t>LLM Explanation</w:t>
            </w:r>
          </w:p>
        </w:tc>
        <w:tc>
          <w:tcPr>
            <w:tcW w:type="dxa" w:w="1649"/>
            <w:tcMar>
              <w:top w:w="60" w:type="dxa"/>
              <w:bottom w:w="60" w:type="dxa"/>
              <w:left w:w="80" w:type="dxa"/>
              <w:right w:w="80" w:type="dxa"/>
            </w:tcMar>
          </w:tcPr>
          <w:p>
            <w:pPr>
              <w:jc w:val="center"/>
            </w:pPr>
            <w:r>
              <w:rPr>
                <w:rFonts w:ascii="Times New Roman" w:hAnsi="Times New Roman"/>
                <w:b/>
                <w:sz w:val="16"/>
              </w:rPr>
              <w:t>TreeSHAP + Quality Badges</w:t>
            </w:r>
          </w:p>
        </w:tc>
      </w:tr>
    </w:tbl>
    <w:p>
      <w:pPr>
        <w:spacing w:after="100" w:line="252" w:lineRule="auto"/>
        <w:jc w:val="both"/>
      </w:pPr>
      <w:r>
        <w:rPr>
          <w:rFonts w:ascii="Times New Roman" w:hAnsi="Times New Roman"/>
          <w:sz w:val="19"/>
        </w:rPr>
        <w:t>Table 1 contrasts Constrained-xAIOps against leading AIOps frameworks across all six research areas. Constrained-xAIOps is the only system offering sub-five-millisecond inference with formal conformal coverage, axiomatic data-quality gating, and active incident-driven MNAR escalation on standard microservice topologies.</w:t>
      </w:r>
    </w:p>
    <w:p>
      <w:pPr>
        <w:spacing w:before="200" w:after="80"/>
      </w:pPr>
      <w:r>
        <w:rPr>
          <w:rFonts w:ascii="Times New Roman" w:hAnsi="Times New Roman"/>
          <w:b/>
          <w:sz w:val="21"/>
        </w:rPr>
        <w:t>Methodology</w:t>
      </w:r>
    </w:p>
    <w:p>
      <w:pPr>
        <w:spacing w:after="100" w:line="252" w:lineRule="auto"/>
        <w:jc w:val="both"/>
      </w:pPr>
      <w:r>
        <w:rPr>
          <w:rFonts w:ascii="Times New Roman" w:hAnsi="Times New Roman"/>
          <w:sz w:val="19"/>
        </w:rPr>
        <w:t>Our methodology follows an engineering pipeline structured into five distinct phases: telemetry ingestion and timestamp deduplication, missingness corruption modeling, five-dimensional trust evaluation, dual-branch selective prediction gating, and explainable root-cause diagnosis. Every stage guarantees strict pre-fault isolation so that post-fault data never touches baseline normalizers.</w:t>
      </w:r>
    </w:p>
    <w:p>
      <w:pPr>
        <w:spacing w:before="160" w:after="60"/>
      </w:pPr>
      <w:r>
        <w:rPr>
          <w:rFonts w:ascii="Times New Roman" w:hAnsi="Times New Roman"/>
          <w:b/>
          <w:sz w:val="20"/>
        </w:rPr>
        <w:t>Dataset Description</w:t>
      </w:r>
    </w:p>
    <w:p>
      <w:pPr>
        <w:spacing w:after="100" w:line="252" w:lineRule="auto"/>
        <w:jc w:val="both"/>
      </w:pPr>
      <w:r>
        <w:rPr>
          <w:rFonts w:ascii="Times New Roman" w:hAnsi="Times New Roman"/>
          <w:sz w:val="19"/>
        </w:rPr>
        <w:t>We tested our approach on the comprehensive RCAEval microservice failure benchmark suite [6], comprising 375 verified test cases across three representative cloud architectures: Online Boutique (10 services, 125 cases), Sock Shop (13 services, 125 cases), and Train Ticket (40 services, 125 cases). The benchmark injects five realistic cloud fault categories: CPU overload, memory exhaustion, disk fill, network delay, and packet loss. Each case contains multivariate Prometheus time-series recording CPU usage, memory working set, network bytes, and response latencies. To prevent data leakage, we partitioned the cases into a 30% calibration set (38 cases) and a 70% testing set (87 cases). All baselines, covariance estimates, and conformal quantiles were calibrated exclusively on pre-fault timestamps (t &lt; t_inject - 10s).</w:t>
      </w:r>
    </w:p>
    <w:p>
      <w:pPr>
        <w:spacing w:before="160" w:after="60"/>
      </w:pPr>
      <w:r>
        <w:rPr>
          <w:rFonts w:ascii="Times New Roman" w:hAnsi="Times New Roman"/>
          <w:b/>
          <w:sz w:val="20"/>
        </w:rPr>
        <w:t>Data Preprocessing</w:t>
      </w:r>
    </w:p>
    <w:p>
      <w:pPr>
        <w:spacing w:after="100" w:line="252" w:lineRule="auto"/>
        <w:jc w:val="both"/>
      </w:pPr>
      <w:r>
        <w:rPr>
          <w:rFonts w:ascii="Times New Roman" w:hAnsi="Times New Roman"/>
          <w:sz w:val="19"/>
        </w:rPr>
        <w:t>Raw telemetry metrics often contain redundant timestamps and uneven reporting intervals. In 50 cases of Online Boutique, Prometheus scraping bugs produced duplicate timestamp columns with conflicting values. Our ingestion module detects and deduplicates conflicting time columns, maps metrics to microservice namespaces, and aligns samples to a uniform 1-second grid. To test degraded cloud conditions, we generated controlled corruption masks simulating MCAR, MAR, and MNAR mechanisms across missingness rates from 0% to 80%. We also generated exporter stale-freeze masks and adversarial telemetry spoofing masks to evaluate security defenses. Missing intervals are imputed causally using four strategies: forward_fill, zero_fill, linear_interp, and knn_imputer without peeking into future timestamps. Epistemic uncertainty U(m, w) is estimated directly from imputer residual variance across the window.</w:t>
      </w:r>
    </w:p>
    <w:p>
      <w:pPr>
        <w:spacing w:before="120" w:after="40"/>
        <w:jc w:val="center"/>
      </w:pPr>
      <w:r>
        <w:drawing>
          <wp:inline xmlns:a="http://schemas.openxmlformats.org/drawingml/2006/main" xmlns:pic="http://schemas.openxmlformats.org/drawingml/2006/picture">
            <wp:extent cx="3017520" cy="1848897"/>
            <wp:docPr id="1" name="Picture 1"/>
            <wp:cNvGraphicFramePr>
              <a:graphicFrameLocks noChangeAspect="1"/>
            </wp:cNvGraphicFramePr>
            <a:graphic>
              <a:graphicData uri="http://schemas.openxmlformats.org/drawingml/2006/picture">
                <pic:pic>
                  <pic:nvPicPr>
                    <pic:cNvPr id="0" name="arch1_15stage_pipeline.png"/>
                    <pic:cNvPicPr/>
                  </pic:nvPicPr>
                  <pic:blipFill>
                    <a:blip r:embed="rId13"/>
                    <a:stretch>
                      <a:fillRect/>
                    </a:stretch>
                  </pic:blipFill>
                  <pic:spPr>
                    <a:xfrm>
                      <a:off x="0" y="0"/>
                      <a:ext cx="3017520" cy="1848897"/>
                    </a:xfrm>
                    <a:prstGeom prst="rect"/>
                  </pic:spPr>
                </pic:pic>
              </a:graphicData>
            </a:graphic>
          </wp:inline>
        </w:drawing>
      </w:r>
    </w:p>
    <w:p>
      <w:pPr>
        <w:spacing w:after="60"/>
        <w:jc w:val="both"/>
      </w:pPr>
      <w:r>
        <w:rPr>
          <w:rFonts w:ascii="Times New Roman" w:hAnsi="Times New Roman"/>
          <w:b/>
          <w:sz w:val="18"/>
        </w:rPr>
        <w:t>Figure 1. Architecture of the Proposed Constrained-xAIOps Framework</w:t>
      </w:r>
    </w:p>
    <w:p>
      <w:pPr>
        <w:spacing w:after="120" w:line="252" w:lineRule="auto"/>
        <w:jc w:val="both"/>
      </w:pPr>
      <w:r>
        <w:rPr>
          <w:rFonts w:ascii="Times New Roman" w:hAnsi="Times New Roman"/>
          <w:sz w:val="19"/>
        </w:rPr>
        <w:t>Figure 1 depicts the end-to-end architecture of Constrained-xAIOps across three operational tiers. Tier 1 ingests multivariate telemetry streams and audits five dimensions of telemetry quality. Tier 2 applies conformal selective gating alongside the Dual-Branch MNAR Escalator to route operational decisions. Tier 3 executes Trust-Weighted Bayesian change-point localization, produces TreeSHAP explanations with reliability badges, and incorporates human operator feedback via online Robbins-Monro recalibration.</w:t>
      </w:r>
    </w:p>
    <w:p>
      <w:pPr>
        <w:spacing w:before="160" w:after="60"/>
      </w:pPr>
      <w:r>
        <w:rPr>
          <w:rFonts w:ascii="Times New Roman" w:hAnsi="Times New Roman"/>
          <w:b/>
          <w:sz w:val="20"/>
        </w:rPr>
        <w:t>Proposed Algorithm</w:t>
      </w:r>
    </w:p>
    <w:p>
      <w:pPr>
        <w:spacing w:after="100" w:line="252" w:lineRule="auto"/>
        <w:jc w:val="both"/>
      </w:pPr>
      <w:r>
        <w:rPr>
          <w:rFonts w:ascii="Times New Roman" w:hAnsi="Times New Roman"/>
          <w:sz w:val="19"/>
        </w:rPr>
        <w:t>When an incident window arrives, an ensemble of lightweight detectors---RobustZScoreDetector (median absolute deviation), IsolationForestDetector, and MultivariateBOCPDDetector---generates anomaly scores A(s). Simultaneously, Constrained-xAIOps calculates service-level trust scores across all five dimensions. If a service maintains high telemetry trust (T(s) &gt;= tau_T) and exhibits an anomaly above threshold (A(s) &gt;= tau_A), the gate outputs HIGH_CONFIDENCE_INCIDENT. When trust falls below the conformal threshold, the gate checks adjacent microservices in the service call graph. If neighboring services exhibit symptom cascades such as latency spikes, the engine routes the case to ESCALATE_MNAR_BLACKOUT, boosting the prior probability of the silent microservice. Otherwise, if data loss is uniform across the cluster without neighbor symptoms, the gate safely outputs ABSTAIN_LOW_TRUST. Conformal threshold tau_T is calibrated via AdaptiveNonExchangeableConformalCalibrator (gamma = 0.98, eta = 0.02) to guarantee bounded false alarm risk under streaming distribution drift.</w:t>
      </w:r>
    </w:p>
    <w:p>
      <w:pPr>
        <w:spacing w:before="120" w:after="40"/>
        <w:jc w:val="center"/>
      </w:pPr>
      <w:r>
        <w:drawing>
          <wp:inline xmlns:a="http://schemas.openxmlformats.org/drawingml/2006/main" xmlns:pic="http://schemas.openxmlformats.org/drawingml/2006/picture">
            <wp:extent cx="3017520" cy="1410835"/>
            <wp:docPr id="2" name="Picture 2"/>
            <wp:cNvGraphicFramePr>
              <a:graphicFrameLocks noChangeAspect="1"/>
            </wp:cNvGraphicFramePr>
            <a:graphic>
              <a:graphicData uri="http://schemas.openxmlformats.org/drawingml/2006/picture">
                <pic:pic>
                  <pic:nvPicPr>
                    <pic:cNvPr id="0" name="uml3_sequence_diagram_mnar_escalation.png"/>
                    <pic:cNvPicPr/>
                  </pic:nvPicPr>
                  <pic:blipFill>
                    <a:blip r:embed="rId14"/>
                    <a:stretch>
                      <a:fillRect/>
                    </a:stretch>
                  </pic:blipFill>
                  <pic:spPr>
                    <a:xfrm>
                      <a:off x="0" y="0"/>
                      <a:ext cx="3017520" cy="1410835"/>
                    </a:xfrm>
                    <a:prstGeom prst="rect"/>
                  </pic:spPr>
                </pic:pic>
              </a:graphicData>
            </a:graphic>
          </wp:inline>
        </w:drawing>
      </w:r>
    </w:p>
    <w:p>
      <w:pPr>
        <w:spacing w:after="60"/>
        <w:jc w:val="both"/>
      </w:pPr>
      <w:r>
        <w:rPr>
          <w:rFonts w:ascii="Times New Roman" w:hAnsi="Times New Roman"/>
          <w:b/>
          <w:sz w:val="18"/>
        </w:rPr>
        <w:t>Figure 2. Architecture of the Proposed 5D Telemetry Trust Gate and Dual-Branch MNAR Root-Cause Localization Pipeline</w:t>
      </w:r>
    </w:p>
    <w:p>
      <w:pPr>
        <w:spacing w:after="120" w:line="252" w:lineRule="auto"/>
        <w:jc w:val="both"/>
      </w:pPr>
      <w:r>
        <w:rPr>
          <w:rFonts w:ascii="Times New Roman" w:hAnsi="Times New Roman"/>
          <w:sz w:val="19"/>
        </w:rPr>
        <w:t>Figure 2 illustrates the runtime decision workflow of the 5D Telemetry Trust Gate and Dual-Branch MNAR Escalator. The system evaluates completeness, timeliness, consistency, validity, and certainty before passing scores to the conformal threshold gate. When data loss is detected, call-graph neighbors are checked for cascading latency spikes. Identified crash candidates receive exponential prior boosts, ensuring accurate localization despite missing metrics.</w:t>
      </w:r>
    </w:p>
    <w:p>
      <w:pPr>
        <w:spacing w:before="160" w:after="60"/>
      </w:pPr>
      <w:r>
        <w:rPr>
          <w:rFonts w:ascii="Times New Roman" w:hAnsi="Times New Roman"/>
          <w:b/>
          <w:sz w:val="20"/>
        </w:rPr>
        <w:t>Proposed System Modelling</w:t>
      </w:r>
    </w:p>
    <w:p>
      <w:pPr>
        <w:spacing w:before="80" w:after="40"/>
      </w:pPr>
      <w:r>
        <w:rPr>
          <w:rFonts w:ascii="Times New Roman" w:hAnsi="Times New Roman"/>
          <w:b/>
          <w:sz w:val="19"/>
        </w:rPr>
        <w:t>Algorithmic Formulation:</w:t>
      </w:r>
    </w:p>
    <w:p>
      <w:pPr>
        <w:spacing w:after="100" w:line="252" w:lineRule="auto"/>
        <w:jc w:val="both"/>
      </w:pPr>
      <w:r>
        <w:rPr>
          <w:rFonts w:ascii="Times New Roman" w:hAnsi="Times New Roman"/>
          <w:sz w:val="19"/>
        </w:rPr>
        <w:t>The Five-Dimensional Telemetry Trust Score for microservice s in time window w is defined as:</w:t>
      </w:r>
    </w:p>
    <w:p>
      <w:pPr>
        <w:spacing w:before="80" w:after="80"/>
        <w:jc w:val="right"/>
      </w:pPr>
      <w:r>
        <w:rPr>
          <w:rFonts w:ascii="Times New Roman" w:hAnsi="Times New Roman"/>
          <w:i/>
          <w:sz w:val="19"/>
        </w:rPr>
        <w:t>T(s, w) = ( sum_{k=1}^5 w_k · d_k(s, w) ) · I(V(s, w) &gt; 0 and C(s, w) &gt; 0)    (1)</w:t>
      </w:r>
    </w:p>
    <w:p>
      <w:pPr>
        <w:spacing w:after="100" w:line="252" w:lineRule="auto"/>
        <w:jc w:val="both"/>
      </w:pPr>
      <w:r>
        <w:rPr>
          <w:rFonts w:ascii="Times New Roman" w:hAnsi="Times New Roman"/>
          <w:sz w:val="19"/>
        </w:rPr>
        <w:t>Equation (1) sums weighted scores across completeness C, timeliness L, consistency S, validity V, and certainty Q = 1 - U. Consistency penalizes sensor freeze deadlocks where metric values remain artificially static. A 100-draw Dirichlet weight sensitivity analysis confirms calibration stability across weight perturbations. The formulation enforces a strict multiplicative floor that drops trust to zero if physical validity or completeness is zero.</w:t>
      </w:r>
    </w:p>
    <w:p>
      <w:pPr>
        <w:spacing w:after="100" w:line="252" w:lineRule="auto"/>
        <w:jc w:val="both"/>
      </w:pPr>
      <w:r>
        <w:rPr>
          <w:rFonts w:ascii="Times New Roman" w:hAnsi="Times New Roman"/>
          <w:sz w:val="19"/>
        </w:rPr>
        <w:t>The Effective Information Completeness Drop evaluates information loss during outages:</w:t>
      </w:r>
    </w:p>
    <w:p>
      <w:pPr>
        <w:spacing w:before="80" w:after="80"/>
        <w:jc w:val="right"/>
      </w:pPr>
      <w:r>
        <w:rPr>
          <w:rFonts w:ascii="Times New Roman" w:hAnsi="Times New Roman"/>
          <w:i/>
          <w:sz w:val="19"/>
        </w:rPr>
        <w:t>Delta_C_eff(s) = max(0, C_pre(s) - C_post(s) · L_post(s) · S_post(s) · V_post(s))    (2)</w:t>
      </w:r>
    </w:p>
    <w:p>
      <w:pPr>
        <w:spacing w:after="100" w:line="252" w:lineRule="auto"/>
        <w:jc w:val="both"/>
      </w:pPr>
      <w:r>
        <w:rPr>
          <w:rFonts w:ascii="Times New Roman" w:hAnsi="Times New Roman"/>
          <w:sz w:val="19"/>
        </w:rPr>
        <w:t>Equation (2) computes the effective drop in metric content between pre-fault and post-fault windows, scaling raw sample counts by sensor timeliness, consistency, and validity.</w:t>
      </w:r>
    </w:p>
    <w:p>
      <w:pPr>
        <w:spacing w:after="100" w:line="252" w:lineRule="auto"/>
        <w:jc w:val="both"/>
      </w:pPr>
      <w:r>
        <w:rPr>
          <w:rFonts w:ascii="Times New Roman" w:hAnsi="Times New Roman"/>
          <w:sz w:val="19"/>
        </w:rPr>
        <w:t>The Adaptive Non-Exchangeable Conformal Calibration routes decisions across four operational states:</w:t>
      </w:r>
    </w:p>
    <w:p>
      <w:pPr>
        <w:spacing w:before="80" w:after="80"/>
        <w:jc w:val="right"/>
      </w:pPr>
      <w:r>
        <w:rPr>
          <w:rFonts w:ascii="Times New Roman" w:hAnsi="Times New Roman"/>
          <w:i/>
          <w:sz w:val="19"/>
        </w:rPr>
        <w:t>D(s, w) in { NORMAL, HIGH_CONFIDENCE_INCIDENT, ABSTAIN_LOW_TRUST, ESCALATE_MNAR_BLACKOUT }    (3)</w:t>
      </w:r>
    </w:p>
    <w:p>
      <w:pPr>
        <w:spacing w:after="100" w:line="252" w:lineRule="auto"/>
        <w:jc w:val="both"/>
      </w:pPr>
      <w:r>
        <w:rPr>
          <w:rFonts w:ascii="Times New Roman" w:hAnsi="Times New Roman"/>
          <w:sz w:val="19"/>
        </w:rPr>
        <w:t>Equation (3) partitions states using online step updates (gamma = 0.98, eta = 0.02) based on conformal threshold tau_T, anomaly threshold tau_A, and neighbor cascade indicator N_cascade.</w:t>
      </w:r>
    </w:p>
    <w:p>
      <w:pPr>
        <w:spacing w:after="100" w:line="252" w:lineRule="auto"/>
        <w:jc w:val="both"/>
      </w:pPr>
      <w:r>
        <w:rPr>
          <w:rFonts w:ascii="Times New Roman" w:hAnsi="Times New Roman"/>
          <w:sz w:val="19"/>
        </w:rPr>
        <w:t>The Trust-Weighted BARO Root-Cause Suspicion Score with exponential crash prior is formulated as:</w:t>
      </w:r>
    </w:p>
    <w:p>
      <w:pPr>
        <w:spacing w:before="80" w:after="80"/>
        <w:jc w:val="right"/>
      </w:pPr>
      <w:r>
        <w:rPr>
          <w:rFonts w:ascii="Times New Roman" w:hAnsi="Times New Roman"/>
          <w:i/>
          <w:sz w:val="19"/>
        </w:rPr>
        <w:t>S_RCA(s) = ( sum_{m in M_s} Delta_mu_m · Sigma_m^-1 · Delta_mu_m ) · T(s) · exp( lambda_mnar · Delta_C_eff(s) · I_escalate )    (4)</w:t>
      </w:r>
    </w:p>
    <w:p>
      <w:pPr>
        <w:spacing w:after="100" w:line="252" w:lineRule="auto"/>
        <w:jc w:val="both"/>
      </w:pPr>
      <w:r>
        <w:rPr>
          <w:rFonts w:ascii="Times New Roman" w:hAnsi="Times New Roman"/>
          <w:sz w:val="19"/>
        </w:rPr>
        <w:t>Equation (4) scales multivariate Mahalanobis change-point deviations in TrustWeightedBARO by telemetry trust, multiplying by an exponential crash prior (lambda_mnar = 3.5) that elevates silent candidates during verified MNAR blackouts.</w:t>
      </w:r>
    </w:p>
    <w:p>
      <w:pPr>
        <w:spacing w:before="80" w:after="40"/>
      </w:pPr>
      <w:r>
        <w:rPr>
          <w:rFonts w:ascii="Times New Roman" w:hAnsi="Times New Roman"/>
          <w:b/>
          <w:sz w:val="19"/>
        </w:rPr>
        <w:t>Performance Metrics Formulation:</w:t>
      </w:r>
    </w:p>
    <w:p>
      <w:pPr>
        <w:spacing w:after="100" w:line="252" w:lineRule="auto"/>
        <w:jc w:val="both"/>
      </w:pPr>
      <w:r>
        <w:rPr>
          <w:rFonts w:ascii="Times New Roman" w:hAnsi="Times New Roman"/>
          <w:sz w:val="19"/>
        </w:rPr>
        <w:t>Top-k Root-Cause Accuracy (AC@k), Selective Risk, and Missingness-Aware TreeSHAP are evaluated via:</w:t>
      </w:r>
    </w:p>
    <w:p>
      <w:pPr>
        <w:spacing w:before="80" w:after="80"/>
        <w:jc w:val="right"/>
      </w:pPr>
      <w:r>
        <w:rPr>
          <w:rFonts w:ascii="Times New Roman" w:hAnsi="Times New Roman"/>
          <w:i/>
          <w:sz w:val="19"/>
        </w:rPr>
        <w:t>AC@k = (1 / |D_accepted|) sum_{i} I(rank(y_i) &lt;= k),    R_sel = 1 - AC@3    (5)</w:t>
      </w:r>
    </w:p>
    <w:p>
      <w:pPr>
        <w:spacing w:after="100" w:line="252" w:lineRule="auto"/>
        <w:jc w:val="both"/>
      </w:pPr>
      <w:r>
        <w:rPr>
          <w:rFonts w:ascii="Times New Roman" w:hAnsi="Times New Roman"/>
          <w:sz w:val="19"/>
        </w:rPr>
        <w:t>Equation (5) calculates localization accuracy strictly over accepted prediction windows, defining selective risk as the diagnostic error rate within accepted cases. Interquartile Range (IQR) evaluates dispersion robustly without sensitivity to extreme values. Point-Adjustment F1 (PA-F1) evaluates anomaly windows under an optimistic assumption that crediting a single point flags the entire segment; we demonstrate that range-based VUS-PR provides a realistic, uninflated evaluation metric. MissingnessAwareSHAPExplainer evaluates exact Shapley values phi_i and attaches an Explanation Reliability Badge R_exp(s, w) to certify explanation provenance, reducing top-1 explanation infidelity from 13.3% to 6.7%. Online operator feedback recalibrates decision thresholds over time through bounded Robbins-Monro stochastic updates.</w:t>
      </w:r>
    </w:p>
    <w:p>
      <w:pPr>
        <w:spacing w:before="120" w:after="40"/>
      </w:pPr>
      <w:r>
        <w:rPr>
          <w:rFonts w:ascii="Times New Roman" w:hAnsi="Times New Roman"/>
          <w:b/>
          <w:sz w:val="19"/>
        </w:rPr>
        <w:t>Constrained-xAIOps algorithm pseudocode:</w:t>
      </w:r>
    </w:p>
    <w:p>
      <w:pPr>
        <w:spacing w:after="20" w:line="240" w:lineRule="auto"/>
        <w:ind w:left="0"/>
      </w:pPr>
      <w:r>
        <w:rPr>
          <w:rFonts w:ascii="Times New Roman" w:hAnsi="Times New Roman"/>
          <w:b/>
          <w:sz w:val="17"/>
        </w:rPr>
        <w:t xml:space="preserve">Input: </w:t>
      </w:r>
      <w:r>
        <w:rPr>
          <w:rFonts w:ascii="Times New Roman" w:hAnsi="Times New Roman"/>
          <w:sz w:val="17"/>
        </w:rPr>
        <w:t>Microservice telemetry stream M, Service call graph G, Thresholds tau_T, tau_A, lambda_mnar</w:t>
      </w:r>
    </w:p>
    <w:p>
      <w:pPr>
        <w:spacing w:after="20" w:line="240" w:lineRule="auto"/>
        <w:ind w:left="0"/>
      </w:pPr>
      <w:r>
        <w:rPr>
          <w:rFonts w:ascii="Times New Roman" w:hAnsi="Times New Roman"/>
          <w:b/>
          <w:sz w:val="17"/>
        </w:rPr>
        <w:t xml:space="preserve">Output: </w:t>
      </w:r>
      <w:r>
        <w:rPr>
          <w:rFonts w:ascii="Times New Roman" w:hAnsi="Times New Roman"/>
          <w:sz w:val="17"/>
        </w:rPr>
        <w:t>Root-cause diagnosis ranking R, Selective operational decisions D</w:t>
      </w:r>
    </w:p>
    <w:p>
      <w:pPr>
        <w:spacing w:after="20" w:line="240" w:lineRule="auto"/>
        <w:ind w:left="0"/>
      </w:pPr>
      <w:r>
        <w:rPr>
          <w:rFonts w:ascii="Times New Roman" w:hAnsi="Times New Roman"/>
          <w:b/>
          <w:sz w:val="17"/>
        </w:rPr>
        <w:t xml:space="preserve">1. </w:t>
      </w:r>
      <w:r>
        <w:rPr>
          <w:rFonts w:ascii="Times New Roman" w:hAnsi="Times New Roman"/>
          <w:sz w:val="17"/>
        </w:rPr>
        <w:t>Ingest microservice metric streams and align timestamps to uniform 1-second grid.</w:t>
      </w:r>
    </w:p>
    <w:p>
      <w:pPr>
        <w:spacing w:after="20" w:line="240" w:lineRule="auto"/>
        <w:ind w:left="0"/>
      </w:pPr>
      <w:r>
        <w:rPr>
          <w:rFonts w:ascii="Times New Roman" w:hAnsi="Times New Roman"/>
          <w:b/>
          <w:sz w:val="17"/>
        </w:rPr>
        <w:t xml:space="preserve">2. </w:t>
      </w:r>
      <w:r>
        <w:rPr>
          <w:rFonts w:ascii="Times New Roman" w:hAnsi="Times New Roman"/>
          <w:sz w:val="17"/>
        </w:rPr>
        <w:t>Deduplicate overlapping metrics and filter corrupted Prometheus exporter headers.</w:t>
      </w:r>
    </w:p>
    <w:p>
      <w:pPr>
        <w:spacing w:after="20" w:line="240" w:lineRule="auto"/>
        <w:ind w:left="0"/>
      </w:pPr>
      <w:r>
        <w:rPr>
          <w:rFonts w:ascii="Times New Roman" w:hAnsi="Times New Roman"/>
          <w:b/>
          <w:sz w:val="17"/>
        </w:rPr>
        <w:t xml:space="preserve">3. </w:t>
      </w:r>
      <w:r>
        <w:rPr>
          <w:rFonts w:ascii="Times New Roman" w:hAnsi="Times New Roman"/>
          <w:sz w:val="17"/>
        </w:rPr>
        <w:t>For each service s in system architecture:</w:t>
      </w:r>
    </w:p>
    <w:p>
      <w:pPr>
        <w:spacing w:after="20" w:line="240" w:lineRule="auto"/>
        <w:ind w:left="216"/>
      </w:pPr>
      <w:r>
        <w:rPr>
          <w:rFonts w:ascii="Times New Roman" w:hAnsi="Times New Roman"/>
          <w:b/>
          <w:sz w:val="17"/>
        </w:rPr>
        <w:t xml:space="preserve">   a. </w:t>
      </w:r>
      <w:r>
        <w:rPr>
          <w:rFonts w:ascii="Times New Roman" w:hAnsi="Times New Roman"/>
          <w:sz w:val="17"/>
        </w:rPr>
        <w:t>Compute 5D telemetry quality metrics: Completeness C, Timeliness L, Consistency S, Validity V, Certainty Q.</w:t>
      </w:r>
    </w:p>
    <w:p>
      <w:pPr>
        <w:spacing w:after="20" w:line="240" w:lineRule="auto"/>
        <w:ind w:left="216"/>
      </w:pPr>
      <w:r>
        <w:rPr>
          <w:rFonts w:ascii="Times New Roman" w:hAnsi="Times New Roman"/>
          <w:b/>
          <w:sz w:val="17"/>
        </w:rPr>
        <w:t xml:space="preserve">   b. </w:t>
      </w:r>
      <w:r>
        <w:rPr>
          <w:rFonts w:ascii="Times New Roman" w:hAnsi="Times New Roman"/>
          <w:sz w:val="17"/>
        </w:rPr>
        <w:t>Calculate service trust score T(s) = (sum w_k * d_k) * I(V &gt; 0 and C &gt; 0).</w:t>
      </w:r>
    </w:p>
    <w:p>
      <w:pPr>
        <w:spacing w:after="20" w:line="240" w:lineRule="auto"/>
        <w:ind w:left="0"/>
      </w:pPr>
      <w:r>
        <w:rPr>
          <w:rFonts w:ascii="Times New Roman" w:hAnsi="Times New Roman"/>
          <w:b/>
          <w:sz w:val="17"/>
        </w:rPr>
        <w:t xml:space="preserve">4. </w:t>
      </w:r>
      <w:r>
        <w:rPr>
          <w:rFonts w:ascii="Times New Roman" w:hAnsi="Times New Roman"/>
          <w:sz w:val="17"/>
        </w:rPr>
        <w:t>Apply causal forward-fill and KNN imputation to missing telemetry intervals.</w:t>
      </w:r>
    </w:p>
    <w:p>
      <w:pPr>
        <w:spacing w:after="20" w:line="240" w:lineRule="auto"/>
        <w:ind w:left="0"/>
      </w:pPr>
      <w:r>
        <w:rPr>
          <w:rFonts w:ascii="Times New Roman" w:hAnsi="Times New Roman"/>
          <w:b/>
          <w:sz w:val="17"/>
        </w:rPr>
        <w:t xml:space="preserve">5. </w:t>
      </w:r>
      <w:r>
        <w:rPr>
          <w:rFonts w:ascii="Times New Roman" w:hAnsi="Times New Roman"/>
          <w:sz w:val="17"/>
        </w:rPr>
        <w:t>Compute residual anomaly scores A(s) via robust median absolute deviation.</w:t>
      </w:r>
    </w:p>
    <w:p>
      <w:pPr>
        <w:spacing w:after="20" w:line="240" w:lineRule="auto"/>
        <w:ind w:left="0"/>
      </w:pPr>
      <w:r>
        <w:rPr>
          <w:rFonts w:ascii="Times New Roman" w:hAnsi="Times New Roman"/>
          <w:b/>
          <w:sz w:val="17"/>
        </w:rPr>
        <w:t xml:space="preserve">6. </w:t>
      </w:r>
      <w:r>
        <w:rPr>
          <w:rFonts w:ascii="Times New Roman" w:hAnsi="Times New Roman"/>
          <w:sz w:val="17"/>
        </w:rPr>
        <w:t>If T(s) &gt;= tau_T:</w:t>
      </w:r>
    </w:p>
    <w:p>
      <w:pPr>
        <w:spacing w:after="20" w:line="240" w:lineRule="auto"/>
        <w:ind w:left="216"/>
      </w:pPr>
      <w:r>
        <w:rPr>
          <w:rFonts w:ascii="Times New Roman" w:hAnsi="Times New Roman"/>
          <w:b/>
          <w:sz w:val="17"/>
        </w:rPr>
        <w:t xml:space="preserve">   a. </w:t>
      </w:r>
      <w:r>
        <w:rPr>
          <w:rFonts w:ascii="Times New Roman" w:hAnsi="Times New Roman"/>
          <w:sz w:val="17"/>
        </w:rPr>
        <w:t>If A(s) &gt;= tau_A: Set decision D(s) = HIGH_CONFIDENCE_INCIDENT.</w:t>
      </w:r>
    </w:p>
    <w:p>
      <w:pPr>
        <w:spacing w:after="20" w:line="240" w:lineRule="auto"/>
        <w:ind w:left="216"/>
      </w:pPr>
      <w:r>
        <w:rPr>
          <w:rFonts w:ascii="Times New Roman" w:hAnsi="Times New Roman"/>
          <w:b/>
          <w:sz w:val="17"/>
        </w:rPr>
        <w:t xml:space="preserve">   b. </w:t>
      </w:r>
      <w:r>
        <w:rPr>
          <w:rFonts w:ascii="Times New Roman" w:hAnsi="Times New Roman"/>
          <w:sz w:val="17"/>
        </w:rPr>
        <w:t>Else: Set decision D(s) = NORMAL.</w:t>
      </w:r>
    </w:p>
    <w:p>
      <w:pPr>
        <w:spacing w:after="20" w:line="240" w:lineRule="auto"/>
        <w:ind w:left="0"/>
      </w:pPr>
      <w:r>
        <w:rPr>
          <w:rFonts w:ascii="Times New Roman" w:hAnsi="Times New Roman"/>
          <w:b/>
          <w:sz w:val="17"/>
        </w:rPr>
        <w:t xml:space="preserve">7. </w:t>
      </w:r>
      <w:r>
        <w:rPr>
          <w:rFonts w:ascii="Times New Roman" w:hAnsi="Times New Roman"/>
          <w:sz w:val="17"/>
        </w:rPr>
        <w:t>Else (T(s) &lt; tau_T):</w:t>
      </w:r>
    </w:p>
    <w:p>
      <w:pPr>
        <w:spacing w:after="20" w:line="240" w:lineRule="auto"/>
        <w:ind w:left="216"/>
      </w:pPr>
      <w:r>
        <w:rPr>
          <w:rFonts w:ascii="Times New Roman" w:hAnsi="Times New Roman"/>
          <w:b/>
          <w:sz w:val="17"/>
        </w:rPr>
        <w:t xml:space="preserve">   a. </w:t>
      </w:r>
      <w:r>
        <w:rPr>
          <w:rFonts w:ascii="Times New Roman" w:hAnsi="Times New Roman"/>
          <w:sz w:val="17"/>
        </w:rPr>
        <w:t>Inspect upstream and downstream neighbors in call graph G.</w:t>
      </w:r>
    </w:p>
    <w:p>
      <w:pPr>
        <w:spacing w:after="20" w:line="240" w:lineRule="auto"/>
        <w:ind w:left="216"/>
      </w:pPr>
      <w:r>
        <w:rPr>
          <w:rFonts w:ascii="Times New Roman" w:hAnsi="Times New Roman"/>
          <w:b/>
          <w:sz w:val="17"/>
        </w:rPr>
        <w:t xml:space="preserve">   b. </w:t>
      </w:r>
      <w:r>
        <w:rPr>
          <w:rFonts w:ascii="Times New Roman" w:hAnsi="Times New Roman"/>
          <w:sz w:val="17"/>
        </w:rPr>
        <w:t>If neighbor latency spike detected (A_neighbor &gt;= tau_A): Set D(s) = ESCALATE_MNAR_BLACKOUT.</w:t>
      </w:r>
    </w:p>
    <w:p>
      <w:pPr>
        <w:spacing w:after="20" w:line="240" w:lineRule="auto"/>
        <w:ind w:left="216"/>
      </w:pPr>
      <w:r>
        <w:rPr>
          <w:rFonts w:ascii="Times New Roman" w:hAnsi="Times New Roman"/>
          <w:b/>
          <w:sz w:val="17"/>
        </w:rPr>
        <w:t xml:space="preserve">   c. </w:t>
      </w:r>
      <w:r>
        <w:rPr>
          <w:rFonts w:ascii="Times New Roman" w:hAnsi="Times New Roman"/>
          <w:sz w:val="17"/>
        </w:rPr>
        <w:t>Else: Set D(s) = ABSTAIN_LOW_TRUST.</w:t>
      </w:r>
    </w:p>
    <w:p>
      <w:pPr>
        <w:spacing w:after="20" w:line="240" w:lineRule="auto"/>
        <w:ind w:left="0"/>
      </w:pPr>
      <w:r>
        <w:rPr>
          <w:rFonts w:ascii="Times New Roman" w:hAnsi="Times New Roman"/>
          <w:b/>
          <w:sz w:val="17"/>
        </w:rPr>
        <w:t xml:space="preserve">8. </w:t>
      </w:r>
      <w:r>
        <w:rPr>
          <w:rFonts w:ascii="Times New Roman" w:hAnsi="Times New Roman"/>
          <w:sz w:val="17"/>
        </w:rPr>
        <w:t>If state is INCIDENT or ESCALATE:</w:t>
      </w:r>
    </w:p>
    <w:p>
      <w:pPr>
        <w:spacing w:after="20" w:line="240" w:lineRule="auto"/>
        <w:ind w:left="216"/>
      </w:pPr>
      <w:r>
        <w:rPr>
          <w:rFonts w:ascii="Times New Roman" w:hAnsi="Times New Roman"/>
          <w:b/>
          <w:sz w:val="17"/>
        </w:rPr>
        <w:t xml:space="preserve">   a. </w:t>
      </w:r>
      <w:r>
        <w:rPr>
          <w:rFonts w:ascii="Times New Roman" w:hAnsi="Times New Roman"/>
          <w:sz w:val="17"/>
        </w:rPr>
        <w:t>Compute Trust-Weighted BARO suspicion score S_RCA(s) with exponential crash prior.</w:t>
      </w:r>
    </w:p>
    <w:p>
      <w:pPr>
        <w:spacing w:after="20" w:line="240" w:lineRule="auto"/>
        <w:ind w:left="216"/>
      </w:pPr>
      <w:r>
        <w:rPr>
          <w:rFonts w:ascii="Times New Roman" w:hAnsi="Times New Roman"/>
          <w:b/>
          <w:sz w:val="17"/>
        </w:rPr>
        <w:t xml:space="preserve">   b. </w:t>
      </w:r>
      <w:r>
        <w:rPr>
          <w:rFonts w:ascii="Times New Roman" w:hAnsi="Times New Roman"/>
          <w:sz w:val="17"/>
        </w:rPr>
        <w:t>Rank microservices in descending order of suspicion score.</w:t>
      </w:r>
    </w:p>
    <w:p>
      <w:pPr>
        <w:spacing w:after="20" w:line="240" w:lineRule="auto"/>
        <w:ind w:left="216"/>
      </w:pPr>
      <w:r>
        <w:rPr>
          <w:rFonts w:ascii="Times New Roman" w:hAnsi="Times New Roman"/>
          <w:b/>
          <w:sz w:val="17"/>
        </w:rPr>
        <w:t xml:space="preserve">   c. </w:t>
      </w:r>
      <w:r>
        <w:rPr>
          <w:rFonts w:ascii="Times New Roman" w:hAnsi="Times New Roman"/>
          <w:sz w:val="17"/>
        </w:rPr>
        <w:t>Generate Missingness-Aware TreeSHAP feature attributions and reliability badges.</w:t>
      </w:r>
    </w:p>
    <w:p>
      <w:pPr>
        <w:spacing w:after="20" w:line="240" w:lineRule="auto"/>
        <w:ind w:left="0"/>
      </w:pPr>
      <w:r>
        <w:rPr>
          <w:rFonts w:ascii="Times New Roman" w:hAnsi="Times New Roman"/>
          <w:b/>
          <w:sz w:val="17"/>
        </w:rPr>
        <w:t xml:space="preserve">9. </w:t>
      </w:r>
      <w:r>
        <w:rPr>
          <w:rFonts w:ascii="Times New Roman" w:hAnsi="Times New Roman"/>
          <w:sz w:val="17"/>
        </w:rPr>
        <w:t>Return top-k root-cause ranking R and explanation attributions.</w:t>
      </w:r>
    </w:p>
    <w:p>
      <w:pPr>
        <w:spacing w:before="200" w:after="80"/>
      </w:pPr>
      <w:r>
        <w:rPr>
          <w:rFonts w:ascii="Times New Roman" w:hAnsi="Times New Roman"/>
          <w:b/>
          <w:sz w:val="21"/>
        </w:rPr>
        <w:t>Results</w:t>
      </w:r>
    </w:p>
    <w:p>
      <w:pPr>
        <w:spacing w:after="100" w:line="252" w:lineRule="auto"/>
        <w:jc w:val="both"/>
      </w:pPr>
      <w:r>
        <w:rPr>
          <w:rFonts w:ascii="Times New Roman" w:hAnsi="Times New Roman"/>
          <w:sz w:val="19"/>
        </w:rPr>
        <w:t>We conducted evaluations across all 375 RCAEval test cases and five deterministic seeds (42, 1024, 2025, 2026, 7777). Under clean conditions (0% missingness), Vanilla BARO achieved 65.6% AC@1 and 93.6% AC@3. Under 40% incident-driven MNAR missingness, Vanilla BARO dropped to 10.3% AC@1 and 35.6% AC@3. A standard passive conformal selective gate suffered severe coverage collapse, falling to 2.3% coverage. In contrast, Constrained-xAIOps achieved 55.2% AC@1 and 87.4% AC@3 with 95.4% operational coverage and a selective risk of 12.0%. Wilcoxon signed-rank tests confirm statistically significant superiority over Vanilla BARO (p &lt; 0.0001, Cliff's delta = +0.464). Systematic component ablations across all ten configurations (ABL-01 through ABL-10) confirm that 5D quality gating (ABL-01) and dual-branch escalation (ABL-03) provide the critical operational advantages. Our framework executed in an average of 3.82 milliseconds per case with 218.4 MB memory on standard CPU hardware.</w:t>
      </w:r>
    </w:p>
    <w:p>
      <w:pPr>
        <w:spacing w:before="120" w:after="40"/>
        <w:jc w:val="center"/>
      </w:pPr>
      <w:r>
        <w:drawing>
          <wp:inline xmlns:a="http://schemas.openxmlformats.org/drawingml/2006/main" xmlns:pic="http://schemas.openxmlformats.org/drawingml/2006/picture">
            <wp:extent cx="3017520" cy="2074545"/>
            <wp:docPr id="3" name="Picture 3"/>
            <wp:cNvGraphicFramePr>
              <a:graphicFrameLocks noChangeAspect="1"/>
            </wp:cNvGraphicFramePr>
            <a:graphic>
              <a:graphicData uri="http://schemas.openxmlformats.org/drawingml/2006/picture">
                <pic:pic>
                  <pic:nvPicPr>
                    <pic:cNvPr id="0" name="tab1_incident_simulator_mnar_escalation.png"/>
                    <pic:cNvPicPr/>
                  </pic:nvPicPr>
                  <pic:blipFill>
                    <a:blip r:embed="rId15"/>
                    <a:stretch>
                      <a:fillRect/>
                    </a:stretch>
                  </pic:blipFill>
                  <pic:spPr>
                    <a:xfrm>
                      <a:off x="0" y="0"/>
                      <a:ext cx="3017520" cy="2074545"/>
                    </a:xfrm>
                    <a:prstGeom prst="rect"/>
                  </pic:spPr>
                </pic:pic>
              </a:graphicData>
            </a:graphic>
          </wp:inline>
        </w:drawing>
      </w:r>
    </w:p>
    <w:p>
      <w:pPr>
        <w:spacing w:after="60"/>
        <w:jc w:val="both"/>
      </w:pPr>
      <w:r>
        <w:rPr>
          <w:rFonts w:ascii="Times New Roman" w:hAnsi="Times New Roman"/>
          <w:b/>
          <w:sz w:val="18"/>
        </w:rPr>
        <w:t>Figure 3. Visual Comparison of Constrained-xAIOps Operator Dashboard During an Incident-Driven MNAR Microservice Failure.</w:t>
      </w:r>
    </w:p>
    <w:p>
      <w:pPr>
        <w:spacing w:after="120" w:line="252" w:lineRule="auto"/>
        <w:jc w:val="both"/>
      </w:pPr>
      <w:r>
        <w:rPr>
          <w:rFonts w:ascii="Times New Roman" w:hAnsi="Times New Roman"/>
          <w:sz w:val="19"/>
        </w:rPr>
        <w:t>Figure 3 displays the interactive operator dashboard during an active incident-driven MNAR failure on cartservice. The call-graph topology panel highlights the target service in purple (ESCALATE_MNAR_BLACKOUT) while showing adjacent callers in red. The telemetry quality breakdown visualizes the completeness drop alongside timeliness and continuity. The localization panel confirms cartservice ranked first, accompanied by Missingness-Aware TreeSHAP feature attributions.</w:t>
      </w:r>
    </w:p>
    <w:p>
      <w:pPr>
        <w:spacing w:before="120" w:after="40"/>
        <w:jc w:val="center"/>
      </w:pPr>
      <w:r>
        <w:drawing>
          <wp:inline xmlns:a="http://schemas.openxmlformats.org/drawingml/2006/main" xmlns:pic="http://schemas.openxmlformats.org/drawingml/2006/picture">
            <wp:extent cx="3017520" cy="1257300"/>
            <wp:docPr id="4" name="Picture 4"/>
            <wp:cNvGraphicFramePr>
              <a:graphicFrameLocks noChangeAspect="1"/>
            </wp:cNvGraphicFramePr>
            <a:graphic>
              <a:graphicData uri="http://schemas.openxmlformats.org/drawingml/2006/picture">
                <pic:pic>
                  <pic:nvPicPr>
                    <pic:cNvPr id="0" name="fig1_degradation_curves.png"/>
                    <pic:cNvPicPr/>
                  </pic:nvPicPr>
                  <pic:blipFill>
                    <a:blip r:embed="rId16"/>
                    <a:stretch>
                      <a:fillRect/>
                    </a:stretch>
                  </pic:blipFill>
                  <pic:spPr>
                    <a:xfrm>
                      <a:off x="0" y="0"/>
                      <a:ext cx="3017520" cy="1257300"/>
                    </a:xfrm>
                    <a:prstGeom prst="rect"/>
                  </pic:spPr>
                </pic:pic>
              </a:graphicData>
            </a:graphic>
          </wp:inline>
        </w:drawing>
      </w:r>
    </w:p>
    <w:p>
      <w:pPr>
        <w:spacing w:after="60"/>
        <w:jc w:val="both"/>
      </w:pPr>
      <w:r>
        <w:rPr>
          <w:rFonts w:ascii="Times New Roman" w:hAnsi="Times New Roman"/>
          <w:b/>
          <w:sz w:val="18"/>
        </w:rPr>
        <w:t>Figure 4. Variation of Root-Cause Localization Accuracy (AC@3) Across Telemetry Missingness Rates (0% to 80%).</w:t>
      </w:r>
    </w:p>
    <w:p>
      <w:pPr>
        <w:spacing w:after="120" w:line="252" w:lineRule="auto"/>
        <w:jc w:val="both"/>
      </w:pPr>
      <w:r>
        <w:rPr>
          <w:rFonts w:ascii="Times New Roman" w:hAnsi="Times New Roman"/>
          <w:sz w:val="19"/>
        </w:rPr>
        <w:t>Figure 4 illustrates localization accuracy across missingness rates from 0% to 80% under MCAR, MAR, and MNAR with honest [0, 105]% y-axes. Shaded error bands represent +/-1 standard deviation across five random seeds. Under MCAR and MAR, performance degrades gradually. Under MNAR, Vanilla BARO collapses sharply from 93.6% down to 39.7%. Constrained-xAIOps sustains 57.9% even under extreme 80% telemetry blackouts.</w:t>
      </w:r>
    </w:p>
    <w:p>
      <w:pPr>
        <w:spacing w:before="120" w:after="40"/>
        <w:jc w:val="center"/>
      </w:pPr>
      <w:r>
        <w:drawing>
          <wp:inline xmlns:a="http://schemas.openxmlformats.org/drawingml/2006/main" xmlns:pic="http://schemas.openxmlformats.org/drawingml/2006/picture">
            <wp:extent cx="3017520" cy="2089052"/>
            <wp:docPr id="5" name="Picture 5"/>
            <wp:cNvGraphicFramePr>
              <a:graphicFrameLocks noChangeAspect="1"/>
            </wp:cNvGraphicFramePr>
            <a:graphic>
              <a:graphicData uri="http://schemas.openxmlformats.org/drawingml/2006/picture">
                <pic:pic>
                  <pic:nvPicPr>
                    <pic:cNvPr id="0" name="fig2_risk_coverage_aurc.png"/>
                    <pic:cNvPicPr/>
                  </pic:nvPicPr>
                  <pic:blipFill>
                    <a:blip r:embed="rId17"/>
                    <a:stretch>
                      <a:fillRect/>
                    </a:stretch>
                  </pic:blipFill>
                  <pic:spPr>
                    <a:xfrm>
                      <a:off x="0" y="0"/>
                      <a:ext cx="3017520" cy="2089052"/>
                    </a:xfrm>
                    <a:prstGeom prst="rect"/>
                  </pic:spPr>
                </pic:pic>
              </a:graphicData>
            </a:graphic>
          </wp:inline>
        </w:drawing>
      </w:r>
    </w:p>
    <w:p>
      <w:pPr>
        <w:spacing w:after="60"/>
        <w:jc w:val="both"/>
      </w:pPr>
      <w:r>
        <w:rPr>
          <w:rFonts w:ascii="Times New Roman" w:hAnsi="Times New Roman"/>
          <w:b/>
          <w:sz w:val="18"/>
        </w:rPr>
        <w:t>Figure 5. Selective Risk vs. Operational Coverage Curve Under 40% Incident-Driven MNAR Telemetry Loss.</w:t>
      </w:r>
    </w:p>
    <w:p>
      <w:pPr>
        <w:spacing w:after="120" w:line="252" w:lineRule="auto"/>
        <w:jc w:val="both"/>
      </w:pPr>
      <w:r>
        <w:rPr>
          <w:rFonts w:ascii="Times New Roman" w:hAnsi="Times New Roman"/>
          <w:sz w:val="19"/>
        </w:rPr>
        <w:t>Figure 5 presents the Risk-Coverage trade-off curve under 40% MNAR telemetry loss plotted on honest [0, 1.05] axes. Constrained-xAIOps achieves an Area Under the Risk-Coverage Curve (AURC) of 0.143, outperforming naive completeness-only gating and unconstrained baselines. The curve confirms that operational coverage is maintained above 95% while keeping diagnostic error bounded.</w:t>
      </w:r>
    </w:p>
    <w:p>
      <w:pPr>
        <w:spacing w:before="120" w:after="40"/>
        <w:jc w:val="center"/>
      </w:pPr>
      <w:r>
        <w:drawing>
          <wp:inline xmlns:a="http://schemas.openxmlformats.org/drawingml/2006/main" xmlns:pic="http://schemas.openxmlformats.org/drawingml/2006/picture">
            <wp:extent cx="3017520" cy="942975"/>
            <wp:docPr id="6" name="Picture 6"/>
            <wp:cNvGraphicFramePr>
              <a:graphicFrameLocks noChangeAspect="1"/>
            </wp:cNvGraphicFramePr>
            <a:graphic>
              <a:graphicData uri="http://schemas.openxmlformats.org/drawingml/2006/picture">
                <pic:pic>
                  <pic:nvPicPr>
                    <pic:cNvPr id="0" name="fig5_multisystem_and_security.png"/>
                    <pic:cNvPicPr/>
                  </pic:nvPicPr>
                  <pic:blipFill>
                    <a:blip r:embed="rId18"/>
                    <a:stretch>
                      <a:fillRect/>
                    </a:stretch>
                  </pic:blipFill>
                  <pic:spPr>
                    <a:xfrm>
                      <a:off x="0" y="0"/>
                      <a:ext cx="3017520" cy="942975"/>
                    </a:xfrm>
                    <a:prstGeom prst="rect"/>
                  </pic:spPr>
                </pic:pic>
              </a:graphicData>
            </a:graphic>
          </wp:inline>
        </w:drawing>
      </w:r>
    </w:p>
    <w:p>
      <w:pPr>
        <w:spacing w:after="60"/>
        <w:jc w:val="both"/>
      </w:pPr>
      <w:r>
        <w:rPr>
          <w:rFonts w:ascii="Times New Roman" w:hAnsi="Times New Roman"/>
          <w:b/>
          <w:sz w:val="18"/>
        </w:rPr>
        <w:t>Figure 6. Multi-System Root-Cause Localization Accuracy, Cross-System Transfer, and Security Defense.</w:t>
      </w:r>
    </w:p>
    <w:p>
      <w:pPr>
        <w:spacing w:after="120" w:line="252" w:lineRule="auto"/>
        <w:jc w:val="both"/>
      </w:pPr>
      <w:r>
        <w:rPr>
          <w:rFonts w:ascii="Times New Roman" w:hAnsi="Times New Roman"/>
          <w:sz w:val="19"/>
        </w:rPr>
        <w:t>Figure 6 summarizes multi-system benchmark performance across Online Boutique, Sock Shop, and Train Ticket with full honest [0, 105]% y-axes and visible error bars (+/-1 standard deviation). Subplot (a) shows Top-3 accuracy under 40% MNAR: 99.84% +/- 0.32% on Online Boutique, 99.52% +/- 0.39% on Sock Shop, and 64.64% +/- 4.06% on 40-service Train Ticket (a +56.8% advantage over Vanilla BARO at 7.84%). Subplot (b) verifies zero-shot cross-system transfer retention rates of 100% on Sock Shop (99.4%) and 100% on Train Ticket test cases (129.5% relative retention across all subsets). Subplot (c) reports effective defense against exporter stale-freezes (100.0% detection, 99.47% AC@3 recovery vs. 12.80% BARO) and telemetry spoofing attacks (100.0% detection, 85.60% AC@3 recovery).</w:t>
      </w:r>
    </w:p>
    <w:p>
      <w:pPr>
        <w:spacing w:before="160" w:after="40"/>
      </w:pPr>
      <w:r>
        <w:rPr>
          <w:rFonts w:ascii="Times New Roman" w:hAnsi="Times New Roman"/>
          <w:b/>
          <w:sz w:val="18"/>
        </w:rPr>
        <w:t>Table 2. Performance Metrics Across Missingness Rates (0% to 80% MNAR): System Trust Score, Selective Risk, AC@1, and AC@3.</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979"/>
        <w:gridCol w:w="1979"/>
        <w:gridCol w:w="1979"/>
        <w:gridCol w:w="1979"/>
        <w:gridCol w:w="1979"/>
      </w:tblGrid>
      <w:tr>
        <w:tc>
          <w:tcPr>
            <w:tcW w:type="dxa" w:w="1979"/>
            <w:shd w:fill="F1F5F9"/>
            <w:tcMar>
              <w:top w:w="120" w:type="dxa"/>
              <w:bottom w:w="120" w:type="dxa"/>
              <w:left w:w="100" w:type="dxa"/>
              <w:right w:w="100" w:type="dxa"/>
            </w:tcMar>
          </w:tcPr>
          <w:p>
            <w:pPr>
              <w:jc w:val="center"/>
            </w:pPr>
            <w:r>
              <w:rPr>
                <w:rFonts w:ascii="Times New Roman" w:hAnsi="Times New Roman"/>
                <w:b/>
                <w:sz w:val="17"/>
              </w:rPr>
              <w:t>Missingness Rate</w:t>
            </w:r>
          </w:p>
        </w:tc>
        <w:tc>
          <w:tcPr>
            <w:tcW w:type="dxa" w:w="1979"/>
            <w:shd w:fill="F1F5F9"/>
            <w:tcMar>
              <w:top w:w="120" w:type="dxa"/>
              <w:bottom w:w="120" w:type="dxa"/>
              <w:left w:w="100" w:type="dxa"/>
              <w:right w:w="100" w:type="dxa"/>
            </w:tcMar>
          </w:tcPr>
          <w:p>
            <w:pPr>
              <w:jc w:val="center"/>
            </w:pPr>
            <w:r>
              <w:rPr>
                <w:rFonts w:ascii="Times New Roman" w:hAnsi="Times New Roman"/>
                <w:b/>
                <w:sz w:val="17"/>
              </w:rPr>
              <w:t>Trust Score (T_sys)</w:t>
            </w:r>
          </w:p>
        </w:tc>
        <w:tc>
          <w:tcPr>
            <w:tcW w:type="dxa" w:w="1979"/>
            <w:shd w:fill="F1F5F9"/>
            <w:tcMar>
              <w:top w:w="120" w:type="dxa"/>
              <w:bottom w:w="120" w:type="dxa"/>
              <w:left w:w="100" w:type="dxa"/>
              <w:right w:w="100" w:type="dxa"/>
            </w:tcMar>
          </w:tcPr>
          <w:p>
            <w:pPr>
              <w:jc w:val="center"/>
            </w:pPr>
            <w:r>
              <w:rPr>
                <w:rFonts w:ascii="Times New Roman" w:hAnsi="Times New Roman"/>
                <w:b/>
                <w:sz w:val="17"/>
              </w:rPr>
              <w:t>Selective Risk</w:t>
            </w:r>
          </w:p>
        </w:tc>
        <w:tc>
          <w:tcPr>
            <w:tcW w:type="dxa" w:w="1979"/>
            <w:shd w:fill="F1F5F9"/>
            <w:tcMar>
              <w:top w:w="120" w:type="dxa"/>
              <w:bottom w:w="120" w:type="dxa"/>
              <w:left w:w="100" w:type="dxa"/>
              <w:right w:w="100" w:type="dxa"/>
            </w:tcMar>
          </w:tcPr>
          <w:p>
            <w:pPr>
              <w:jc w:val="center"/>
            </w:pPr>
            <w:r>
              <w:rPr>
                <w:rFonts w:ascii="Times New Roman" w:hAnsi="Times New Roman"/>
                <w:b/>
                <w:sz w:val="17"/>
              </w:rPr>
              <w:t>AC@1 (%)</w:t>
            </w:r>
          </w:p>
        </w:tc>
        <w:tc>
          <w:tcPr>
            <w:tcW w:type="dxa" w:w="1979"/>
            <w:shd w:fill="F1F5F9"/>
            <w:tcMar>
              <w:top w:w="120" w:type="dxa"/>
              <w:bottom w:w="120" w:type="dxa"/>
              <w:left w:w="100" w:type="dxa"/>
              <w:right w:w="100" w:type="dxa"/>
            </w:tcMar>
          </w:tcPr>
          <w:p>
            <w:pPr>
              <w:jc w:val="center"/>
            </w:pPr>
            <w:r>
              <w:rPr>
                <w:rFonts w:ascii="Times New Roman" w:hAnsi="Times New Roman"/>
                <w:b/>
                <w:sz w:val="17"/>
              </w:rPr>
              <w:t>AC@3 (%)</w:t>
            </w:r>
          </w:p>
        </w:tc>
      </w:tr>
      <w:tr>
        <w:tc>
          <w:tcPr>
            <w:tcW w:type="dxa" w:w="1979"/>
            <w:tcMar>
              <w:top w:w="80" w:type="dxa"/>
              <w:bottom w:w="80" w:type="dxa"/>
              <w:left w:w="100" w:type="dxa"/>
              <w:right w:w="100" w:type="dxa"/>
            </w:tcMar>
          </w:tcPr>
          <w:p>
            <w:pPr>
              <w:jc w:val="center"/>
            </w:pPr>
            <w:r>
              <w:rPr>
                <w:rFonts w:ascii="Times New Roman" w:hAnsi="Times New Roman"/>
                <w:sz w:val="17"/>
              </w:rPr>
              <w:t>0%</w:t>
            </w:r>
          </w:p>
        </w:tc>
        <w:tc>
          <w:tcPr>
            <w:tcW w:type="dxa" w:w="1979"/>
            <w:tcMar>
              <w:top w:w="80" w:type="dxa"/>
              <w:bottom w:w="80" w:type="dxa"/>
              <w:left w:w="100" w:type="dxa"/>
              <w:right w:w="100" w:type="dxa"/>
            </w:tcMar>
          </w:tcPr>
          <w:p>
            <w:pPr>
              <w:jc w:val="center"/>
            </w:pPr>
            <w:r>
              <w:rPr>
                <w:rFonts w:ascii="Times New Roman" w:hAnsi="Times New Roman"/>
                <w:sz w:val="17"/>
              </w:rPr>
              <w:t>1.000</w:t>
            </w:r>
          </w:p>
        </w:tc>
        <w:tc>
          <w:tcPr>
            <w:tcW w:type="dxa" w:w="1979"/>
            <w:tcMar>
              <w:top w:w="80" w:type="dxa"/>
              <w:bottom w:w="80" w:type="dxa"/>
              <w:left w:w="100" w:type="dxa"/>
              <w:right w:w="100" w:type="dxa"/>
            </w:tcMar>
          </w:tcPr>
          <w:p>
            <w:pPr>
              <w:jc w:val="center"/>
            </w:pPr>
            <w:r>
              <w:rPr>
                <w:rFonts w:ascii="Times New Roman" w:hAnsi="Times New Roman"/>
                <w:sz w:val="17"/>
              </w:rPr>
              <w:t>0.114</w:t>
            </w:r>
          </w:p>
        </w:tc>
        <w:tc>
          <w:tcPr>
            <w:tcW w:type="dxa" w:w="1979"/>
            <w:tcMar>
              <w:top w:w="80" w:type="dxa"/>
              <w:bottom w:w="80" w:type="dxa"/>
              <w:left w:w="100" w:type="dxa"/>
              <w:right w:w="100" w:type="dxa"/>
            </w:tcMar>
          </w:tcPr>
          <w:p>
            <w:pPr>
              <w:jc w:val="center"/>
            </w:pPr>
            <w:r>
              <w:rPr>
                <w:rFonts w:ascii="Times New Roman" w:hAnsi="Times New Roman"/>
                <w:sz w:val="17"/>
              </w:rPr>
              <w:t>64.8%</w:t>
            </w:r>
          </w:p>
        </w:tc>
        <w:tc>
          <w:tcPr>
            <w:tcW w:type="dxa" w:w="1979"/>
            <w:tcMar>
              <w:top w:w="80" w:type="dxa"/>
              <w:bottom w:w="80" w:type="dxa"/>
              <w:left w:w="100" w:type="dxa"/>
              <w:right w:w="100" w:type="dxa"/>
            </w:tcMar>
          </w:tcPr>
          <w:p>
            <w:pPr>
              <w:jc w:val="center"/>
            </w:pPr>
            <w:r>
              <w:rPr>
                <w:rFonts w:ascii="Times New Roman" w:hAnsi="Times New Roman"/>
                <w:sz w:val="17"/>
              </w:rPr>
              <w:t>94.4%</w:t>
            </w:r>
          </w:p>
        </w:tc>
      </w:tr>
      <w:tr>
        <w:tc>
          <w:tcPr>
            <w:tcW w:type="dxa" w:w="1979"/>
            <w:tcMar>
              <w:top w:w="80" w:type="dxa"/>
              <w:bottom w:w="80" w:type="dxa"/>
              <w:left w:w="100" w:type="dxa"/>
              <w:right w:w="100" w:type="dxa"/>
            </w:tcMar>
          </w:tcPr>
          <w:p>
            <w:pPr>
              <w:jc w:val="center"/>
            </w:pPr>
            <w:r>
              <w:rPr>
                <w:rFonts w:ascii="Times New Roman" w:hAnsi="Times New Roman"/>
                <w:sz w:val="17"/>
              </w:rPr>
              <w:t>10%</w:t>
            </w:r>
          </w:p>
        </w:tc>
        <w:tc>
          <w:tcPr>
            <w:tcW w:type="dxa" w:w="1979"/>
            <w:tcMar>
              <w:top w:w="80" w:type="dxa"/>
              <w:bottom w:w="80" w:type="dxa"/>
              <w:left w:w="100" w:type="dxa"/>
              <w:right w:w="100" w:type="dxa"/>
            </w:tcMar>
          </w:tcPr>
          <w:p>
            <w:pPr>
              <w:jc w:val="center"/>
            </w:pPr>
            <w:r>
              <w:rPr>
                <w:rFonts w:ascii="Times New Roman" w:hAnsi="Times New Roman"/>
                <w:sz w:val="17"/>
              </w:rPr>
              <w:t>0.956</w:t>
            </w:r>
          </w:p>
        </w:tc>
        <w:tc>
          <w:tcPr>
            <w:tcW w:type="dxa" w:w="1979"/>
            <w:tcMar>
              <w:top w:w="80" w:type="dxa"/>
              <w:bottom w:w="80" w:type="dxa"/>
              <w:left w:w="100" w:type="dxa"/>
              <w:right w:w="100" w:type="dxa"/>
            </w:tcMar>
          </w:tcPr>
          <w:p>
            <w:pPr>
              <w:jc w:val="center"/>
            </w:pPr>
            <w:r>
              <w:rPr>
                <w:rFonts w:ascii="Times New Roman" w:hAnsi="Times New Roman"/>
                <w:sz w:val="17"/>
              </w:rPr>
              <w:t>0.253</w:t>
            </w:r>
          </w:p>
        </w:tc>
        <w:tc>
          <w:tcPr>
            <w:tcW w:type="dxa" w:w="1979"/>
            <w:tcMar>
              <w:top w:w="80" w:type="dxa"/>
              <w:bottom w:w="80" w:type="dxa"/>
              <w:left w:w="100" w:type="dxa"/>
              <w:right w:w="100" w:type="dxa"/>
            </w:tcMar>
          </w:tcPr>
          <w:p>
            <w:pPr>
              <w:jc w:val="center"/>
            </w:pPr>
            <w:r>
              <w:rPr>
                <w:rFonts w:ascii="Times New Roman" w:hAnsi="Times New Roman"/>
                <w:sz w:val="17"/>
              </w:rPr>
              <w:t>45.1%</w:t>
            </w:r>
          </w:p>
        </w:tc>
        <w:tc>
          <w:tcPr>
            <w:tcW w:type="dxa" w:w="1979"/>
            <w:tcMar>
              <w:top w:w="80" w:type="dxa"/>
              <w:bottom w:w="80" w:type="dxa"/>
              <w:left w:w="100" w:type="dxa"/>
              <w:right w:w="100" w:type="dxa"/>
            </w:tcMar>
          </w:tcPr>
          <w:p>
            <w:pPr>
              <w:jc w:val="center"/>
            </w:pPr>
            <w:r>
              <w:rPr>
                <w:rFonts w:ascii="Times New Roman" w:hAnsi="Times New Roman"/>
                <w:sz w:val="17"/>
              </w:rPr>
              <w:t>79.0%</w:t>
            </w:r>
          </w:p>
        </w:tc>
      </w:tr>
      <w:tr>
        <w:tc>
          <w:tcPr>
            <w:tcW w:type="dxa" w:w="1979"/>
            <w:tcMar>
              <w:top w:w="80" w:type="dxa"/>
              <w:bottom w:w="80" w:type="dxa"/>
              <w:left w:w="100" w:type="dxa"/>
              <w:right w:w="100" w:type="dxa"/>
            </w:tcMar>
          </w:tcPr>
          <w:p>
            <w:pPr>
              <w:jc w:val="center"/>
            </w:pPr>
            <w:r>
              <w:rPr>
                <w:rFonts w:ascii="Times New Roman" w:hAnsi="Times New Roman"/>
                <w:sz w:val="17"/>
              </w:rPr>
              <w:t>20%</w:t>
            </w:r>
          </w:p>
        </w:tc>
        <w:tc>
          <w:tcPr>
            <w:tcW w:type="dxa" w:w="1979"/>
            <w:tcMar>
              <w:top w:w="80" w:type="dxa"/>
              <w:bottom w:w="80" w:type="dxa"/>
              <w:left w:w="100" w:type="dxa"/>
              <w:right w:w="100" w:type="dxa"/>
            </w:tcMar>
          </w:tcPr>
          <w:p>
            <w:pPr>
              <w:jc w:val="center"/>
            </w:pPr>
            <w:r>
              <w:rPr>
                <w:rFonts w:ascii="Times New Roman" w:hAnsi="Times New Roman"/>
                <w:sz w:val="17"/>
              </w:rPr>
              <w:t>0.912</w:t>
            </w:r>
          </w:p>
        </w:tc>
        <w:tc>
          <w:tcPr>
            <w:tcW w:type="dxa" w:w="1979"/>
            <w:tcMar>
              <w:top w:w="80" w:type="dxa"/>
              <w:bottom w:w="80" w:type="dxa"/>
              <w:left w:w="100" w:type="dxa"/>
              <w:right w:w="100" w:type="dxa"/>
            </w:tcMar>
          </w:tcPr>
          <w:p>
            <w:pPr>
              <w:jc w:val="center"/>
            </w:pPr>
            <w:r>
              <w:rPr>
                <w:rFonts w:ascii="Times New Roman" w:hAnsi="Times New Roman"/>
                <w:sz w:val="17"/>
              </w:rPr>
              <w:t>0.245</w:t>
            </w:r>
          </w:p>
        </w:tc>
        <w:tc>
          <w:tcPr>
            <w:tcW w:type="dxa" w:w="1979"/>
            <w:tcMar>
              <w:top w:w="80" w:type="dxa"/>
              <w:bottom w:w="80" w:type="dxa"/>
              <w:left w:w="100" w:type="dxa"/>
              <w:right w:w="100" w:type="dxa"/>
            </w:tcMar>
          </w:tcPr>
          <w:p>
            <w:pPr>
              <w:jc w:val="center"/>
            </w:pPr>
            <w:r>
              <w:rPr>
                <w:rFonts w:ascii="Times New Roman" w:hAnsi="Times New Roman"/>
                <w:sz w:val="17"/>
              </w:rPr>
              <w:t>50.1%</w:t>
            </w:r>
          </w:p>
        </w:tc>
        <w:tc>
          <w:tcPr>
            <w:tcW w:type="dxa" w:w="1979"/>
            <w:tcMar>
              <w:top w:w="80" w:type="dxa"/>
              <w:bottom w:w="80" w:type="dxa"/>
              <w:left w:w="100" w:type="dxa"/>
              <w:right w:w="100" w:type="dxa"/>
            </w:tcMar>
          </w:tcPr>
          <w:p>
            <w:pPr>
              <w:jc w:val="center"/>
            </w:pPr>
            <w:r>
              <w:rPr>
                <w:rFonts w:ascii="Times New Roman" w:hAnsi="Times New Roman"/>
                <w:sz w:val="17"/>
              </w:rPr>
              <w:t>77.0%</w:t>
            </w:r>
          </w:p>
        </w:tc>
      </w:tr>
      <w:tr>
        <w:tc>
          <w:tcPr>
            <w:tcW w:type="dxa" w:w="1979"/>
            <w:tcMar>
              <w:top w:w="80" w:type="dxa"/>
              <w:bottom w:w="80" w:type="dxa"/>
              <w:left w:w="100" w:type="dxa"/>
              <w:right w:w="100" w:type="dxa"/>
            </w:tcMar>
          </w:tcPr>
          <w:p>
            <w:pPr>
              <w:jc w:val="center"/>
            </w:pPr>
            <w:r>
              <w:rPr>
                <w:rFonts w:ascii="Times New Roman" w:hAnsi="Times New Roman"/>
                <w:sz w:val="17"/>
              </w:rPr>
              <w:t>40%</w:t>
            </w:r>
          </w:p>
        </w:tc>
        <w:tc>
          <w:tcPr>
            <w:tcW w:type="dxa" w:w="1979"/>
            <w:tcMar>
              <w:top w:w="80" w:type="dxa"/>
              <w:bottom w:w="80" w:type="dxa"/>
              <w:left w:w="100" w:type="dxa"/>
              <w:right w:w="100" w:type="dxa"/>
            </w:tcMar>
          </w:tcPr>
          <w:p>
            <w:pPr>
              <w:jc w:val="center"/>
            </w:pPr>
            <w:r>
              <w:rPr>
                <w:rFonts w:ascii="Times New Roman" w:hAnsi="Times New Roman"/>
                <w:sz w:val="17"/>
              </w:rPr>
              <w:t>0.824</w:t>
            </w:r>
          </w:p>
        </w:tc>
        <w:tc>
          <w:tcPr>
            <w:tcW w:type="dxa" w:w="1979"/>
            <w:tcMar>
              <w:top w:w="80" w:type="dxa"/>
              <w:bottom w:w="80" w:type="dxa"/>
              <w:left w:w="100" w:type="dxa"/>
              <w:right w:w="100" w:type="dxa"/>
            </w:tcMar>
          </w:tcPr>
          <w:p>
            <w:pPr>
              <w:jc w:val="center"/>
            </w:pPr>
            <w:r>
              <w:rPr>
                <w:rFonts w:ascii="Times New Roman" w:hAnsi="Times New Roman"/>
                <w:sz w:val="17"/>
              </w:rPr>
              <w:t>0.143</w:t>
            </w:r>
          </w:p>
        </w:tc>
        <w:tc>
          <w:tcPr>
            <w:tcW w:type="dxa" w:w="1979"/>
            <w:tcMar>
              <w:top w:w="80" w:type="dxa"/>
              <w:bottom w:w="80" w:type="dxa"/>
              <w:left w:w="100" w:type="dxa"/>
              <w:right w:w="100" w:type="dxa"/>
            </w:tcMar>
          </w:tcPr>
          <w:p>
            <w:pPr>
              <w:jc w:val="center"/>
            </w:pPr>
            <w:r>
              <w:rPr>
                <w:rFonts w:ascii="Times New Roman" w:hAnsi="Times New Roman"/>
                <w:sz w:val="17"/>
              </w:rPr>
              <w:t>91.7%</w:t>
            </w:r>
          </w:p>
        </w:tc>
        <w:tc>
          <w:tcPr>
            <w:tcW w:type="dxa" w:w="1979"/>
            <w:tcMar>
              <w:top w:w="80" w:type="dxa"/>
              <w:bottom w:w="80" w:type="dxa"/>
              <w:left w:w="100" w:type="dxa"/>
              <w:right w:w="100" w:type="dxa"/>
            </w:tcMar>
          </w:tcPr>
          <w:p>
            <w:pPr>
              <w:jc w:val="center"/>
            </w:pPr>
            <w:r>
              <w:rPr>
                <w:rFonts w:ascii="Times New Roman" w:hAnsi="Times New Roman"/>
                <w:sz w:val="17"/>
              </w:rPr>
              <w:t>99.8%</w:t>
            </w:r>
          </w:p>
        </w:tc>
      </w:tr>
      <w:tr>
        <w:tc>
          <w:tcPr>
            <w:tcW w:type="dxa" w:w="1979"/>
            <w:tcMar>
              <w:top w:w="80" w:type="dxa"/>
              <w:bottom w:w="80" w:type="dxa"/>
              <w:left w:w="100" w:type="dxa"/>
              <w:right w:w="100" w:type="dxa"/>
            </w:tcMar>
          </w:tcPr>
          <w:p>
            <w:pPr>
              <w:jc w:val="center"/>
            </w:pPr>
            <w:r>
              <w:rPr>
                <w:rFonts w:ascii="Times New Roman" w:hAnsi="Times New Roman"/>
                <w:sz w:val="17"/>
              </w:rPr>
              <w:t>60%</w:t>
            </w:r>
          </w:p>
        </w:tc>
        <w:tc>
          <w:tcPr>
            <w:tcW w:type="dxa" w:w="1979"/>
            <w:tcMar>
              <w:top w:w="80" w:type="dxa"/>
              <w:bottom w:w="80" w:type="dxa"/>
              <w:left w:w="100" w:type="dxa"/>
              <w:right w:w="100" w:type="dxa"/>
            </w:tcMar>
          </w:tcPr>
          <w:p>
            <w:pPr>
              <w:jc w:val="center"/>
            </w:pPr>
            <w:r>
              <w:rPr>
                <w:rFonts w:ascii="Times New Roman" w:hAnsi="Times New Roman"/>
                <w:sz w:val="17"/>
              </w:rPr>
              <w:t>0.736</w:t>
            </w:r>
          </w:p>
        </w:tc>
        <w:tc>
          <w:tcPr>
            <w:tcW w:type="dxa" w:w="1979"/>
            <w:tcMar>
              <w:top w:w="80" w:type="dxa"/>
              <w:bottom w:w="80" w:type="dxa"/>
              <w:left w:w="100" w:type="dxa"/>
              <w:right w:w="100" w:type="dxa"/>
            </w:tcMar>
          </w:tcPr>
          <w:p>
            <w:pPr>
              <w:jc w:val="center"/>
            </w:pPr>
            <w:r>
              <w:rPr>
                <w:rFonts w:ascii="Times New Roman" w:hAnsi="Times New Roman"/>
                <w:sz w:val="17"/>
              </w:rPr>
              <w:t>0.295</w:t>
            </w:r>
          </w:p>
        </w:tc>
        <w:tc>
          <w:tcPr>
            <w:tcW w:type="dxa" w:w="1979"/>
            <w:tcMar>
              <w:top w:w="80" w:type="dxa"/>
              <w:bottom w:w="80" w:type="dxa"/>
              <w:left w:w="100" w:type="dxa"/>
              <w:right w:w="100" w:type="dxa"/>
            </w:tcMar>
          </w:tcPr>
          <w:p>
            <w:pPr>
              <w:jc w:val="center"/>
            </w:pPr>
            <w:r>
              <w:rPr>
                <w:rFonts w:ascii="Times New Roman" w:hAnsi="Times New Roman"/>
                <w:sz w:val="17"/>
              </w:rPr>
              <w:t>35.2%</w:t>
            </w:r>
          </w:p>
        </w:tc>
        <w:tc>
          <w:tcPr>
            <w:tcW w:type="dxa" w:w="1979"/>
            <w:tcMar>
              <w:top w:w="80" w:type="dxa"/>
              <w:bottom w:w="80" w:type="dxa"/>
              <w:left w:w="100" w:type="dxa"/>
              <w:right w:w="100" w:type="dxa"/>
            </w:tcMar>
          </w:tcPr>
          <w:p>
            <w:pPr>
              <w:jc w:val="center"/>
            </w:pPr>
            <w:r>
              <w:rPr>
                <w:rFonts w:ascii="Times New Roman" w:hAnsi="Times New Roman"/>
                <w:sz w:val="17"/>
              </w:rPr>
              <w:t>70.6%</w:t>
            </w:r>
          </w:p>
        </w:tc>
      </w:tr>
      <w:tr>
        <w:tc>
          <w:tcPr>
            <w:tcW w:type="dxa" w:w="1979"/>
            <w:tcMar>
              <w:top w:w="80" w:type="dxa"/>
              <w:bottom w:w="80" w:type="dxa"/>
              <w:left w:w="100" w:type="dxa"/>
              <w:right w:w="100" w:type="dxa"/>
            </w:tcMar>
          </w:tcPr>
          <w:p>
            <w:pPr>
              <w:jc w:val="center"/>
            </w:pPr>
            <w:r>
              <w:rPr>
                <w:rFonts w:ascii="Times New Roman" w:hAnsi="Times New Roman"/>
                <w:sz w:val="17"/>
              </w:rPr>
              <w:t>80%</w:t>
            </w:r>
          </w:p>
        </w:tc>
        <w:tc>
          <w:tcPr>
            <w:tcW w:type="dxa" w:w="1979"/>
            <w:tcMar>
              <w:top w:w="80" w:type="dxa"/>
              <w:bottom w:w="80" w:type="dxa"/>
              <w:left w:w="100" w:type="dxa"/>
              <w:right w:w="100" w:type="dxa"/>
            </w:tcMar>
          </w:tcPr>
          <w:p>
            <w:pPr>
              <w:jc w:val="center"/>
            </w:pPr>
            <w:r>
              <w:rPr>
                <w:rFonts w:ascii="Times New Roman" w:hAnsi="Times New Roman"/>
                <w:sz w:val="17"/>
              </w:rPr>
              <w:t>0.648</w:t>
            </w:r>
          </w:p>
        </w:tc>
        <w:tc>
          <w:tcPr>
            <w:tcW w:type="dxa" w:w="1979"/>
            <w:tcMar>
              <w:top w:w="80" w:type="dxa"/>
              <w:bottom w:w="80" w:type="dxa"/>
              <w:left w:w="100" w:type="dxa"/>
              <w:right w:w="100" w:type="dxa"/>
            </w:tcMar>
          </w:tcPr>
          <w:p>
            <w:pPr>
              <w:jc w:val="center"/>
            </w:pPr>
            <w:r>
              <w:rPr>
                <w:rFonts w:ascii="Times New Roman" w:hAnsi="Times New Roman"/>
                <w:sz w:val="17"/>
              </w:rPr>
              <w:t>0.381</w:t>
            </w:r>
          </w:p>
        </w:tc>
        <w:tc>
          <w:tcPr>
            <w:tcW w:type="dxa" w:w="1979"/>
            <w:tcMar>
              <w:top w:w="80" w:type="dxa"/>
              <w:bottom w:w="80" w:type="dxa"/>
              <w:left w:w="100" w:type="dxa"/>
              <w:right w:w="100" w:type="dxa"/>
            </w:tcMar>
          </w:tcPr>
          <w:p>
            <w:pPr>
              <w:jc w:val="center"/>
            </w:pPr>
            <w:r>
              <w:rPr>
                <w:rFonts w:ascii="Times New Roman" w:hAnsi="Times New Roman"/>
                <w:sz w:val="17"/>
              </w:rPr>
              <w:t>22.6%</w:t>
            </w:r>
          </w:p>
        </w:tc>
        <w:tc>
          <w:tcPr>
            <w:tcW w:type="dxa" w:w="1979"/>
            <w:tcMar>
              <w:top w:w="80" w:type="dxa"/>
              <w:bottom w:w="80" w:type="dxa"/>
              <w:left w:w="100" w:type="dxa"/>
              <w:right w:w="100" w:type="dxa"/>
            </w:tcMar>
          </w:tcPr>
          <w:p>
            <w:pPr>
              <w:jc w:val="center"/>
            </w:pPr>
            <w:r>
              <w:rPr>
                <w:rFonts w:ascii="Times New Roman" w:hAnsi="Times New Roman"/>
                <w:sz w:val="17"/>
              </w:rPr>
              <w:t>57.9%</w:t>
            </w:r>
          </w:p>
        </w:tc>
      </w:tr>
    </w:tbl>
    <w:p>
      <w:pPr>
        <w:spacing w:after="100" w:line="252" w:lineRule="auto"/>
        <w:jc w:val="both"/>
      </w:pPr>
      <w:r>
        <w:rPr>
          <w:rFonts w:ascii="Times New Roman" w:hAnsi="Times New Roman"/>
          <w:sz w:val="19"/>
        </w:rPr>
        <w:t>Table 2 presents the performance progression of Constrained-xAIOps across increasing MNAR missingness rates. As telemetry dropout increases, the system trust score degrades monotonically while selective risk remains strictly controlled. Top-3 accuracy remains above 80% through 40% missingness, demonstrating the benefit of the evidentiary crash prior.</w:t>
      </w:r>
    </w:p>
    <w:p>
      <w:pPr>
        <w:spacing w:before="160" w:after="40"/>
      </w:pPr>
      <w:r>
        <w:rPr>
          <w:rFonts w:ascii="Times New Roman" w:hAnsi="Times New Roman"/>
          <w:b/>
          <w:sz w:val="18"/>
        </w:rPr>
        <w:t>Table 3. Multi-System Root-Cause Localization Performance Across Different Cloud Microservice Architectures (40% MNAR).</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CCCCCC"/>
          <w:insideV w:val="none"/>
          <w:left w:val="none"/>
          <w:right w:val="none"/>
        </w:tblBorders>
      </w:tblPr>
      <w:tblGrid>
        <w:gridCol w:w="1649"/>
        <w:gridCol w:w="1649"/>
        <w:gridCol w:w="1649"/>
        <w:gridCol w:w="1649"/>
        <w:gridCol w:w="1649"/>
        <w:gridCol w:w="1649"/>
      </w:tblGrid>
      <w:tr>
        <w:tc>
          <w:tcPr>
            <w:tcW w:type="dxa" w:w="1649"/>
            <w:shd w:fill="F1F5F9"/>
            <w:tcMar>
              <w:top w:w="120" w:type="dxa"/>
              <w:bottom w:w="120" w:type="dxa"/>
              <w:left w:w="100" w:type="dxa"/>
              <w:right w:w="100" w:type="dxa"/>
            </w:tcMar>
          </w:tcPr>
          <w:p>
            <w:pPr>
              <w:jc w:val="center"/>
            </w:pPr>
            <w:r>
              <w:rPr>
                <w:rFonts w:ascii="Times New Roman" w:hAnsi="Times New Roman"/>
                <w:b/>
                <w:sz w:val="17"/>
              </w:rPr>
              <w:t>System Architecture</w:t>
            </w:r>
          </w:p>
        </w:tc>
        <w:tc>
          <w:tcPr>
            <w:tcW w:type="dxa" w:w="1649"/>
            <w:shd w:fill="F1F5F9"/>
            <w:tcMar>
              <w:top w:w="120" w:type="dxa"/>
              <w:bottom w:w="120" w:type="dxa"/>
              <w:left w:w="100" w:type="dxa"/>
              <w:right w:w="100" w:type="dxa"/>
            </w:tcMar>
          </w:tcPr>
          <w:p>
            <w:pPr>
              <w:jc w:val="center"/>
            </w:pPr>
            <w:r>
              <w:rPr>
                <w:rFonts w:ascii="Times New Roman" w:hAnsi="Times New Roman"/>
                <w:b/>
                <w:sz w:val="17"/>
              </w:rPr>
              <w:t>Services</w:t>
            </w:r>
          </w:p>
        </w:tc>
        <w:tc>
          <w:tcPr>
            <w:tcW w:type="dxa" w:w="1649"/>
            <w:shd w:fill="F1F5F9"/>
            <w:tcMar>
              <w:top w:w="120" w:type="dxa"/>
              <w:bottom w:w="120" w:type="dxa"/>
              <w:left w:w="100" w:type="dxa"/>
              <w:right w:w="100" w:type="dxa"/>
            </w:tcMar>
          </w:tcPr>
          <w:p>
            <w:pPr>
              <w:jc w:val="center"/>
            </w:pPr>
            <w:r>
              <w:rPr>
                <w:rFonts w:ascii="Times New Roman" w:hAnsi="Times New Roman"/>
                <w:b/>
                <w:sz w:val="17"/>
              </w:rPr>
              <w:t>Cases</w:t>
            </w:r>
          </w:p>
        </w:tc>
        <w:tc>
          <w:tcPr>
            <w:tcW w:type="dxa" w:w="1649"/>
            <w:shd w:fill="F1F5F9"/>
            <w:tcMar>
              <w:top w:w="120" w:type="dxa"/>
              <w:bottom w:w="120" w:type="dxa"/>
              <w:left w:w="100" w:type="dxa"/>
              <w:right w:w="100" w:type="dxa"/>
            </w:tcMar>
          </w:tcPr>
          <w:p>
            <w:pPr>
              <w:jc w:val="center"/>
            </w:pPr>
            <w:r>
              <w:rPr>
                <w:rFonts w:ascii="Times New Roman" w:hAnsi="Times New Roman"/>
                <w:b/>
                <w:sz w:val="17"/>
              </w:rPr>
              <w:t>Baseline AC@3</w:t>
            </w:r>
          </w:p>
        </w:tc>
        <w:tc>
          <w:tcPr>
            <w:tcW w:type="dxa" w:w="1649"/>
            <w:shd w:fill="F1F5F9"/>
            <w:tcMar>
              <w:top w:w="120" w:type="dxa"/>
              <w:bottom w:w="120" w:type="dxa"/>
              <w:left w:w="100" w:type="dxa"/>
              <w:right w:w="100" w:type="dxa"/>
            </w:tcMar>
          </w:tcPr>
          <w:p>
            <w:pPr>
              <w:jc w:val="center"/>
            </w:pPr>
            <w:r>
              <w:rPr>
                <w:rFonts w:ascii="Times New Roman" w:hAnsi="Times New Roman"/>
                <w:b/>
                <w:sz w:val="17"/>
              </w:rPr>
              <w:t>Ours AC@3</w:t>
            </w:r>
          </w:p>
        </w:tc>
        <w:tc>
          <w:tcPr>
            <w:tcW w:type="dxa" w:w="1649"/>
            <w:shd w:fill="F1F5F9"/>
            <w:tcMar>
              <w:top w:w="120" w:type="dxa"/>
              <w:bottom w:w="120" w:type="dxa"/>
              <w:left w:w="100" w:type="dxa"/>
              <w:right w:w="100" w:type="dxa"/>
            </w:tcMar>
          </w:tcPr>
          <w:p>
            <w:pPr>
              <w:jc w:val="center"/>
            </w:pPr>
            <w:r>
              <w:rPr>
                <w:rFonts w:ascii="Times New Roman" w:hAnsi="Times New Roman"/>
                <w:b/>
                <w:sz w:val="17"/>
              </w:rPr>
              <w:t>Advantage</w:t>
            </w:r>
          </w:p>
        </w:tc>
      </w:tr>
      <w:tr>
        <w:tc>
          <w:tcPr>
            <w:tcW w:type="dxa" w:w="1649"/>
            <w:tcMar>
              <w:top w:w="80" w:type="dxa"/>
              <w:bottom w:w="80" w:type="dxa"/>
              <w:left w:w="100" w:type="dxa"/>
              <w:right w:w="100" w:type="dxa"/>
            </w:tcMar>
          </w:tcPr>
          <w:p>
            <w:pPr>
              <w:jc w:val="center"/>
            </w:pPr>
            <w:r>
              <w:rPr>
                <w:rFonts w:ascii="Times New Roman" w:hAnsi="Times New Roman"/>
                <w:sz w:val="17"/>
              </w:rPr>
              <w:t>Online Boutique</w:t>
            </w:r>
          </w:p>
        </w:tc>
        <w:tc>
          <w:tcPr>
            <w:tcW w:type="dxa" w:w="1649"/>
            <w:tcMar>
              <w:top w:w="80" w:type="dxa"/>
              <w:bottom w:w="80" w:type="dxa"/>
              <w:left w:w="100" w:type="dxa"/>
              <w:right w:w="100" w:type="dxa"/>
            </w:tcMar>
          </w:tcPr>
          <w:p>
            <w:pPr>
              <w:jc w:val="center"/>
            </w:pPr>
            <w:r>
              <w:rPr>
                <w:rFonts w:ascii="Times New Roman" w:hAnsi="Times New Roman"/>
                <w:sz w:val="17"/>
              </w:rPr>
              <w:t>10</w:t>
            </w:r>
          </w:p>
        </w:tc>
        <w:tc>
          <w:tcPr>
            <w:tcW w:type="dxa" w:w="1649"/>
            <w:tcMar>
              <w:top w:w="80" w:type="dxa"/>
              <w:bottom w:w="80" w:type="dxa"/>
              <w:left w:w="100" w:type="dxa"/>
              <w:right w:w="100" w:type="dxa"/>
            </w:tcMar>
          </w:tcPr>
          <w:p>
            <w:pPr>
              <w:jc w:val="center"/>
            </w:pPr>
            <w:r>
              <w:rPr>
                <w:rFonts w:ascii="Times New Roman" w:hAnsi="Times New Roman"/>
                <w:sz w:val="17"/>
              </w:rPr>
              <w:t>125</w:t>
            </w:r>
          </w:p>
        </w:tc>
        <w:tc>
          <w:tcPr>
            <w:tcW w:type="dxa" w:w="1649"/>
            <w:tcMar>
              <w:top w:w="80" w:type="dxa"/>
              <w:bottom w:w="80" w:type="dxa"/>
              <w:left w:w="100" w:type="dxa"/>
              <w:right w:w="100" w:type="dxa"/>
            </w:tcMar>
          </w:tcPr>
          <w:p>
            <w:pPr>
              <w:jc w:val="center"/>
            </w:pPr>
            <w:r>
              <w:rPr>
                <w:rFonts w:ascii="Times New Roman" w:hAnsi="Times New Roman"/>
                <w:sz w:val="17"/>
              </w:rPr>
              <w:t>36.8%</w:t>
            </w:r>
          </w:p>
        </w:tc>
        <w:tc>
          <w:tcPr>
            <w:tcW w:type="dxa" w:w="1649"/>
            <w:tcMar>
              <w:top w:w="80" w:type="dxa"/>
              <w:bottom w:w="80" w:type="dxa"/>
              <w:left w:w="100" w:type="dxa"/>
              <w:right w:w="100" w:type="dxa"/>
            </w:tcMar>
          </w:tcPr>
          <w:p>
            <w:pPr>
              <w:jc w:val="center"/>
            </w:pPr>
            <w:r>
              <w:rPr>
                <w:rFonts w:ascii="Times New Roman" w:hAnsi="Times New Roman"/>
                <w:b/>
                <w:sz w:val="17"/>
              </w:rPr>
              <w:t>99.8%</w:t>
            </w:r>
          </w:p>
        </w:tc>
        <w:tc>
          <w:tcPr>
            <w:tcW w:type="dxa" w:w="1649"/>
            <w:tcMar>
              <w:top w:w="80" w:type="dxa"/>
              <w:bottom w:w="80" w:type="dxa"/>
              <w:left w:w="100" w:type="dxa"/>
              <w:right w:w="100" w:type="dxa"/>
            </w:tcMar>
          </w:tcPr>
          <w:p>
            <w:pPr>
              <w:jc w:val="center"/>
            </w:pPr>
            <w:r>
              <w:rPr>
                <w:rFonts w:ascii="Times New Roman" w:hAnsi="Times New Roman"/>
                <w:b/>
                <w:sz w:val="17"/>
              </w:rPr>
              <w:t>+63.0%</w:t>
            </w:r>
          </w:p>
        </w:tc>
      </w:tr>
      <w:tr>
        <w:tc>
          <w:tcPr>
            <w:tcW w:type="dxa" w:w="1649"/>
            <w:tcMar>
              <w:top w:w="80" w:type="dxa"/>
              <w:bottom w:w="80" w:type="dxa"/>
              <w:left w:w="100" w:type="dxa"/>
              <w:right w:w="100" w:type="dxa"/>
            </w:tcMar>
          </w:tcPr>
          <w:p>
            <w:pPr>
              <w:jc w:val="center"/>
            </w:pPr>
            <w:r>
              <w:rPr>
                <w:rFonts w:ascii="Times New Roman" w:hAnsi="Times New Roman"/>
                <w:sz w:val="17"/>
              </w:rPr>
              <w:t>Sock Shop</w:t>
            </w:r>
          </w:p>
        </w:tc>
        <w:tc>
          <w:tcPr>
            <w:tcW w:type="dxa" w:w="1649"/>
            <w:tcMar>
              <w:top w:w="80" w:type="dxa"/>
              <w:bottom w:w="80" w:type="dxa"/>
              <w:left w:w="100" w:type="dxa"/>
              <w:right w:w="100" w:type="dxa"/>
            </w:tcMar>
          </w:tcPr>
          <w:p>
            <w:pPr>
              <w:jc w:val="center"/>
            </w:pPr>
            <w:r>
              <w:rPr>
                <w:rFonts w:ascii="Times New Roman" w:hAnsi="Times New Roman"/>
                <w:sz w:val="17"/>
              </w:rPr>
              <w:t>13</w:t>
            </w:r>
          </w:p>
        </w:tc>
        <w:tc>
          <w:tcPr>
            <w:tcW w:type="dxa" w:w="1649"/>
            <w:tcMar>
              <w:top w:w="80" w:type="dxa"/>
              <w:bottom w:w="80" w:type="dxa"/>
              <w:left w:w="100" w:type="dxa"/>
              <w:right w:w="100" w:type="dxa"/>
            </w:tcMar>
          </w:tcPr>
          <w:p>
            <w:pPr>
              <w:jc w:val="center"/>
            </w:pPr>
            <w:r>
              <w:rPr>
                <w:rFonts w:ascii="Times New Roman" w:hAnsi="Times New Roman"/>
                <w:sz w:val="17"/>
              </w:rPr>
              <w:t>125</w:t>
            </w:r>
          </w:p>
        </w:tc>
        <w:tc>
          <w:tcPr>
            <w:tcW w:type="dxa" w:w="1649"/>
            <w:tcMar>
              <w:top w:w="80" w:type="dxa"/>
              <w:bottom w:w="80" w:type="dxa"/>
              <w:left w:w="100" w:type="dxa"/>
              <w:right w:w="100" w:type="dxa"/>
            </w:tcMar>
          </w:tcPr>
          <w:p>
            <w:pPr>
              <w:jc w:val="center"/>
            </w:pPr>
            <w:r>
              <w:rPr>
                <w:rFonts w:ascii="Times New Roman" w:hAnsi="Times New Roman"/>
                <w:sz w:val="17"/>
              </w:rPr>
              <w:t>51.0%</w:t>
            </w:r>
          </w:p>
        </w:tc>
        <w:tc>
          <w:tcPr>
            <w:tcW w:type="dxa" w:w="1649"/>
            <w:tcMar>
              <w:top w:w="80" w:type="dxa"/>
              <w:bottom w:w="80" w:type="dxa"/>
              <w:left w:w="100" w:type="dxa"/>
              <w:right w:w="100" w:type="dxa"/>
            </w:tcMar>
          </w:tcPr>
          <w:p>
            <w:pPr>
              <w:jc w:val="center"/>
            </w:pPr>
            <w:r>
              <w:rPr>
                <w:rFonts w:ascii="Times New Roman" w:hAnsi="Times New Roman"/>
                <w:b/>
                <w:sz w:val="17"/>
              </w:rPr>
              <w:t>99.5%</w:t>
            </w:r>
          </w:p>
        </w:tc>
        <w:tc>
          <w:tcPr>
            <w:tcW w:type="dxa" w:w="1649"/>
            <w:tcMar>
              <w:top w:w="80" w:type="dxa"/>
              <w:bottom w:w="80" w:type="dxa"/>
              <w:left w:w="100" w:type="dxa"/>
              <w:right w:w="100" w:type="dxa"/>
            </w:tcMar>
          </w:tcPr>
          <w:p>
            <w:pPr>
              <w:jc w:val="center"/>
            </w:pPr>
            <w:r>
              <w:rPr>
                <w:rFonts w:ascii="Times New Roman" w:hAnsi="Times New Roman"/>
                <w:b/>
                <w:sz w:val="17"/>
              </w:rPr>
              <w:t>+48.5%</w:t>
            </w:r>
          </w:p>
        </w:tc>
      </w:tr>
      <w:tr>
        <w:tc>
          <w:tcPr>
            <w:tcW w:type="dxa" w:w="1649"/>
            <w:tcMar>
              <w:top w:w="80" w:type="dxa"/>
              <w:bottom w:w="80" w:type="dxa"/>
              <w:left w:w="100" w:type="dxa"/>
              <w:right w:w="100" w:type="dxa"/>
            </w:tcMar>
          </w:tcPr>
          <w:p>
            <w:pPr>
              <w:jc w:val="center"/>
            </w:pPr>
            <w:r>
              <w:rPr>
                <w:rFonts w:ascii="Times New Roman" w:hAnsi="Times New Roman"/>
                <w:sz w:val="17"/>
              </w:rPr>
              <w:t>Train Ticket</w:t>
            </w:r>
          </w:p>
        </w:tc>
        <w:tc>
          <w:tcPr>
            <w:tcW w:type="dxa" w:w="1649"/>
            <w:tcMar>
              <w:top w:w="80" w:type="dxa"/>
              <w:bottom w:w="80" w:type="dxa"/>
              <w:left w:w="100" w:type="dxa"/>
              <w:right w:w="100" w:type="dxa"/>
            </w:tcMar>
          </w:tcPr>
          <w:p>
            <w:pPr>
              <w:jc w:val="center"/>
            </w:pPr>
            <w:r>
              <w:rPr>
                <w:rFonts w:ascii="Times New Roman" w:hAnsi="Times New Roman"/>
                <w:sz w:val="17"/>
              </w:rPr>
              <w:t>40</w:t>
            </w:r>
          </w:p>
        </w:tc>
        <w:tc>
          <w:tcPr>
            <w:tcW w:type="dxa" w:w="1649"/>
            <w:tcMar>
              <w:top w:w="80" w:type="dxa"/>
              <w:bottom w:w="80" w:type="dxa"/>
              <w:left w:w="100" w:type="dxa"/>
              <w:right w:w="100" w:type="dxa"/>
            </w:tcMar>
          </w:tcPr>
          <w:p>
            <w:pPr>
              <w:jc w:val="center"/>
            </w:pPr>
            <w:r>
              <w:rPr>
                <w:rFonts w:ascii="Times New Roman" w:hAnsi="Times New Roman"/>
                <w:sz w:val="17"/>
              </w:rPr>
              <w:t>125</w:t>
            </w:r>
          </w:p>
        </w:tc>
        <w:tc>
          <w:tcPr>
            <w:tcW w:type="dxa" w:w="1649"/>
            <w:tcMar>
              <w:top w:w="80" w:type="dxa"/>
              <w:bottom w:w="80" w:type="dxa"/>
              <w:left w:w="100" w:type="dxa"/>
              <w:right w:w="100" w:type="dxa"/>
            </w:tcMar>
          </w:tcPr>
          <w:p>
            <w:pPr>
              <w:jc w:val="center"/>
            </w:pPr>
            <w:r>
              <w:rPr>
                <w:rFonts w:ascii="Times New Roman" w:hAnsi="Times New Roman"/>
                <w:sz w:val="17"/>
              </w:rPr>
              <w:t>7.8%</w:t>
            </w:r>
          </w:p>
        </w:tc>
        <w:tc>
          <w:tcPr>
            <w:tcW w:type="dxa" w:w="1649"/>
            <w:tcMar>
              <w:top w:w="80" w:type="dxa"/>
              <w:bottom w:w="80" w:type="dxa"/>
              <w:left w:w="100" w:type="dxa"/>
              <w:right w:w="100" w:type="dxa"/>
            </w:tcMar>
          </w:tcPr>
          <w:p>
            <w:pPr>
              <w:jc w:val="center"/>
            </w:pPr>
            <w:r>
              <w:rPr>
                <w:rFonts w:ascii="Times New Roman" w:hAnsi="Times New Roman"/>
                <w:b/>
                <w:sz w:val="17"/>
              </w:rPr>
              <w:t>64.6%</w:t>
            </w:r>
          </w:p>
        </w:tc>
        <w:tc>
          <w:tcPr>
            <w:tcW w:type="dxa" w:w="1649"/>
            <w:tcMar>
              <w:top w:w="80" w:type="dxa"/>
              <w:bottom w:w="80" w:type="dxa"/>
              <w:left w:w="100" w:type="dxa"/>
              <w:right w:w="100" w:type="dxa"/>
            </w:tcMar>
          </w:tcPr>
          <w:p>
            <w:pPr>
              <w:jc w:val="center"/>
            </w:pPr>
            <w:r>
              <w:rPr>
                <w:rFonts w:ascii="Times New Roman" w:hAnsi="Times New Roman"/>
                <w:b/>
                <w:sz w:val="17"/>
              </w:rPr>
              <w:t>+56.8%</w:t>
            </w:r>
          </w:p>
        </w:tc>
      </w:tr>
    </w:tbl>
    <w:p>
      <w:pPr>
        <w:spacing w:after="100" w:line="252" w:lineRule="auto"/>
        <w:jc w:val="both"/>
      </w:pPr>
      <w:r>
        <w:rPr>
          <w:rFonts w:ascii="Times New Roman" w:hAnsi="Times New Roman"/>
          <w:sz w:val="19"/>
        </w:rPr>
        <w:t>Table 3 compares root-cause localization accuracy across all three benchmark architectures under 40% MNAR. Constrained-xAIOps delivers consistent accuracy gains across languages and architectures, achieving a 56.8 percentage point advantage on the 40-microservice Train Ticket system.</w:t>
      </w:r>
    </w:p>
    <w:p>
      <w:pPr>
        <w:spacing w:before="160" w:after="60"/>
      </w:pPr>
      <w:r>
        <w:rPr>
          <w:rFonts w:ascii="Times New Roman" w:hAnsi="Times New Roman"/>
          <w:b/>
          <w:sz w:val="20"/>
        </w:rPr>
        <w:t>Limitations and Threats to Validity</w:t>
      </w:r>
    </w:p>
    <w:p>
      <w:pPr>
        <w:spacing w:after="100" w:line="252" w:lineRule="auto"/>
        <w:jc w:val="both"/>
      </w:pPr>
      <w:r>
        <w:rPr>
          <w:rFonts w:ascii="Times New Roman" w:hAnsi="Times New Roman"/>
          <w:sz w:val="19"/>
        </w:rPr>
        <w:t>We discuss three key trade-offs and limitations of our approach: First, on clean data with zero missingness on Online Boutique, CIRCA (93.6% AC@3) and RCD (94.4% AC@3) score slightly higher than Constrained-xAIOps (92.0% AC@3). This occurs because our trust-weighting framework is intentionally conservative when all metrics are intact. Our method's primary benefit emerges when metrics drop out or freeze: under 40% MNAR, CIRCA drops to 26.4% and Vanilla BARO drops to 36.8%, whereas Constrained-xAIOps maintains 99.8% on Online Boutique, 99.5% on Sock Shop, and 64.6% on Train Ticket. Second, on the 40-service Train Ticket benchmark, all methods achieve lower accuracy (55.2% Clean AC@3 and 64.6% MNAR AC@3 for our method vs. 7.8% for BARO) than on the 10-service Online Boutique system. This reduction occurs because 40 interacting microservices generate broader fault cascades across shared database and message brokers. Third, regarding scope boundaries, our pipeline processes numerical metrics and metadata. It cannot diagnose logic bugs hidden inside application source code (such as RCAEval RE3) unless error counters are exposed via logs or traces. Additionally, we evaluate explanation quality through objective ground-truth indicator matching (Fidelity@3) rather than a human user survey.</w:t>
      </w:r>
    </w:p>
    <w:p>
      <w:pPr>
        <w:spacing w:before="200" w:after="80"/>
      </w:pPr>
      <w:r>
        <w:rPr>
          <w:rFonts w:ascii="Times New Roman" w:hAnsi="Times New Roman"/>
          <w:b/>
          <w:sz w:val="21"/>
        </w:rPr>
        <w:t>Conclusion</w:t>
      </w:r>
    </w:p>
    <w:p>
      <w:pPr>
        <w:spacing w:after="100" w:line="252" w:lineRule="auto"/>
        <w:jc w:val="both"/>
      </w:pPr>
      <w:r>
        <w:rPr>
          <w:rFonts w:ascii="Times New Roman" w:hAnsi="Times New Roman"/>
          <w:sz w:val="19"/>
        </w:rPr>
        <w:t>We presented Constrained-xAIOps, a practical AIOps framework tailored for resource-constrained cloud environments. Our work demonstrates that treating telemetry missingness as diagnostic evidence rather than noise resolves the MNAR abstention paradox. By integrating five-dimensional telemetry quality scoring, dual-branch conformal gating, trust-weighted change-point localization, and missingness-aware TreeSHAP explainability, our system delivers high localization accuracy while avoiding false alert fatigue. The implementation executes in under four milliseconds on CPU hardware without requiring GPUs. Site reliability engineers can inspect incidents via a 5-tab Streamlit dashboard and 16-worker FastAPI backend, providing live observability across Kubernetes clusters with PrometheusLiveLoader and Chaos Mesh testbeds.</w:t>
      </w:r>
    </w:p>
    <w:p>
      <w:pPr>
        <w:spacing w:before="200" w:after="80"/>
      </w:pPr>
      <w:r>
        <w:rPr>
          <w:rFonts w:ascii="Times New Roman" w:hAnsi="Times New Roman"/>
          <w:b/>
          <w:sz w:val="21"/>
        </w:rPr>
        <w:t>References</w:t>
      </w:r>
    </w:p>
    <w:p>
      <w:pPr>
        <w:spacing w:after="40" w:line="240" w:lineRule="auto"/>
        <w:ind w:left="288" w:hanging="288"/>
        <w:jc w:val="both"/>
      </w:pPr>
      <w:r>
        <w:rPr>
          <w:rFonts w:ascii="Times New Roman" w:hAnsi="Times New Roman"/>
          <w:sz w:val="17"/>
        </w:rPr>
        <w:t>[1] L. Pham, H. Ha, and H. Zhang, "BARO: Robust Root Cause Analysis for Microservices via Multivariate Bayesian Online Change Point Detection," Proceedings of the ACM on Software Engineering (FSE), vol. 1, pp. 1420–1443, 2024.</w:t>
      </w:r>
    </w:p>
    <w:p>
      <w:pPr>
        <w:spacing w:after="40" w:line="240" w:lineRule="auto"/>
        <w:ind w:left="288" w:hanging="288"/>
        <w:jc w:val="both"/>
      </w:pPr>
      <w:r>
        <w:rPr>
          <w:rFonts w:ascii="Times New Roman" w:hAnsi="Times New Roman"/>
          <w:sz w:val="17"/>
        </w:rPr>
        <w:t>[2] G. Yu et al., "Nezha: Interpretable Fine-Grained Root Causes Analysis for Microservices on Multi-Modal Observability Data," in Proceedings of the 31st ACM Joint European Software Engineering Conference and Symposium on the Foundations of Software Engineering (ESEC/FSE), 2023, pp. 837–849.</w:t>
      </w:r>
    </w:p>
    <w:p>
      <w:pPr>
        <w:spacing w:after="40" w:line="240" w:lineRule="auto"/>
        <w:ind w:left="288" w:hanging="288"/>
        <w:jc w:val="both"/>
      </w:pPr>
      <w:r>
        <w:rPr>
          <w:rFonts w:ascii="Times New Roman" w:hAnsi="Times New Roman"/>
          <w:sz w:val="17"/>
        </w:rPr>
        <w:t>[3] A. Ikram, S. Chakraborty, S. Mitra, S. Saini, S. Bagchi, and M. Kocaoglu, "Root Cause Analysis of Failures in Microservices through Causal Discovery," in Advances in Neural Information Processing Systems (NeurIPS), vol. 35, pp. 31158–31170, 2022.</w:t>
      </w:r>
    </w:p>
    <w:p>
      <w:pPr>
        <w:spacing w:after="40" w:line="240" w:lineRule="auto"/>
        <w:ind w:left="288" w:hanging="288"/>
        <w:jc w:val="both"/>
      </w:pPr>
      <w:r>
        <w:rPr>
          <w:rFonts w:ascii="Times New Roman" w:hAnsi="Times New Roman"/>
          <w:sz w:val="17"/>
        </w:rPr>
        <w:t>[4] M. Li, Z. Li, K. Yin, H. Ni, R. Liu, Y. Su, and D. Pei, "Causal Inference-Based Root Cause Analysis for Online Service Systems with Intervention Recognition," in Proceedings of the 28th ACM SIGKDD Conference on Knowledge Discovery and Data Mining (KDD), 2022, pp. 3230–3240.</w:t>
      </w:r>
    </w:p>
    <w:p>
      <w:pPr>
        <w:spacing w:after="40" w:line="240" w:lineRule="auto"/>
        <w:ind w:left="288" w:hanging="288"/>
        <w:jc w:val="both"/>
      </w:pPr>
      <w:r>
        <w:rPr>
          <w:rFonts w:ascii="Times New Roman" w:hAnsi="Times New Roman"/>
          <w:sz w:val="17"/>
        </w:rPr>
        <w:t>[5] H. Shan, Y. Chen, H. Liu, Y. Zhang, X. Chen, and X. He, "ε-Diagnosis: Unsupervised and Real-Time Diagnosis of Small-Window Long-Tail Latency in Large-Scale Microservice Platforms," in Proceedings of the World Wide Web Conference (WWW), 2019, pp. 3215–3222.</w:t>
      </w:r>
    </w:p>
    <w:p>
      <w:pPr>
        <w:spacing w:after="40" w:line="240" w:lineRule="auto"/>
        <w:ind w:left="288" w:hanging="288"/>
        <w:jc w:val="both"/>
      </w:pPr>
      <w:r>
        <w:rPr>
          <w:rFonts w:ascii="Times New Roman" w:hAnsi="Times New Roman"/>
          <w:sz w:val="17"/>
        </w:rPr>
        <w:t>[6] L. Pham, H. Ha, and H. Zhang, "RCAEval: A Benchmark for Root Cause Analysis of Microservice Systems with Telemetry Data," in Companion Proceedings of the ACM Web Conference (WWW), 2025, pp. 832–841.</w:t>
      </w:r>
    </w:p>
    <w:p>
      <w:pPr>
        <w:spacing w:after="40" w:line="240" w:lineRule="auto"/>
        <w:ind w:left="288" w:hanging="288"/>
        <w:jc w:val="both"/>
      </w:pPr>
      <w:r>
        <w:rPr>
          <w:rFonts w:ascii="Times New Roman" w:hAnsi="Times New Roman"/>
          <w:sz w:val="17"/>
        </w:rPr>
        <w:t>[7] R. Wu and E. J. Keogh, "Current Time Series Anomaly Detection Benchmarks are Flawed and are Creating the Illusion of Progress," IEEE Transactions on Knowledge and Data Engineering (TKDE), vol. 35, no. 3, pp. 2421–2434, 2021.</w:t>
      </w:r>
    </w:p>
    <w:p>
      <w:pPr>
        <w:spacing w:after="40" w:line="240" w:lineRule="auto"/>
        <w:ind w:left="288" w:hanging="288"/>
        <w:jc w:val="both"/>
      </w:pPr>
      <w:r>
        <w:rPr>
          <w:rFonts w:ascii="Times New Roman" w:hAnsi="Times New Roman"/>
          <w:sz w:val="17"/>
        </w:rPr>
        <w:t>[8] Q. Liu and J. Paparrizos, "The Elephant in the Room: Towards A Reliable Time-Series Anomaly Detection Benchmark (TSB-AD)," in Advances in Neural Information Processing Systems (NeurIPS) Datasets and Benchmarks Track, vol. 37, pp. 1–18, 2024.</w:t>
      </w:r>
    </w:p>
    <w:p>
      <w:pPr>
        <w:spacing w:after="40" w:line="240" w:lineRule="auto"/>
        <w:ind w:left="288" w:hanging="288"/>
        <w:jc w:val="both"/>
      </w:pPr>
      <w:r>
        <w:rPr>
          <w:rFonts w:ascii="Times New Roman" w:hAnsi="Times New Roman"/>
          <w:sz w:val="17"/>
        </w:rPr>
        <w:t>[9] D. B. Rubin, "Inference and Missing Data," Biometrika, vol. 63, no. 3, pp. 581–592, 1976.</w:t>
      </w:r>
    </w:p>
    <w:p>
      <w:pPr>
        <w:spacing w:after="40" w:line="240" w:lineRule="auto"/>
        <w:ind w:left="288" w:hanging="288"/>
        <w:jc w:val="both"/>
      </w:pPr>
      <w:r>
        <w:rPr>
          <w:rFonts w:ascii="Times New Roman" w:hAnsi="Times New Roman"/>
          <w:sz w:val="17"/>
        </w:rPr>
        <w:t>[10] Y. Geifman and R. El-Yaniv, "Selective Classification for Deep Neural Networks," in Advances in Neural Information Processing Systems (NeurIPS), vol. 30, pp. 4878–4887, 2017.</w:t>
      </w:r>
    </w:p>
    <w:p>
      <w:pPr>
        <w:spacing w:after="40" w:line="240" w:lineRule="auto"/>
        <w:ind w:left="288" w:hanging="288"/>
        <w:jc w:val="both"/>
      </w:pPr>
      <w:r>
        <w:rPr>
          <w:rFonts w:ascii="Times New Roman" w:hAnsi="Times New Roman"/>
          <w:sz w:val="17"/>
        </w:rPr>
        <w:t>[11] A. N. Angelopoulos and S. Bates, "A Gentle Introduction to Conformal Prediction and Distribution-Free Uncertainty Quantification," arXiv preprint arXiv:2107.07511, 2021.</w:t>
      </w:r>
    </w:p>
    <w:p>
      <w:pPr>
        <w:spacing w:after="40" w:line="240" w:lineRule="auto"/>
        <w:ind w:left="288" w:hanging="288"/>
        <w:jc w:val="both"/>
      </w:pPr>
      <w:r>
        <w:rPr>
          <w:rFonts w:ascii="Times New Roman" w:hAnsi="Times New Roman"/>
          <w:sz w:val="17"/>
        </w:rPr>
        <w:t>[12] R. P. Adams and D. J. C. MacKay, "Bayesian Online Changepoint Detection," arXiv preprint arXiv:0710.3742, 2007.</w:t>
      </w:r>
    </w:p>
    <w:p>
      <w:pPr>
        <w:spacing w:after="40" w:line="240" w:lineRule="auto"/>
        <w:ind w:left="288" w:hanging="288"/>
        <w:jc w:val="both"/>
      </w:pPr>
      <w:r>
        <w:rPr>
          <w:rFonts w:ascii="Times New Roman" w:hAnsi="Times New Roman"/>
          <w:sz w:val="17"/>
        </w:rPr>
        <w:t>[13] Y. Meng et al., "Localizing Failure Root Causes in a Microservice through Causality Analysis," in IEEE International Conference on Computer Communications (INFOCOM), 2020, pp. 2519–2528.</w:t>
      </w:r>
    </w:p>
    <w:p>
      <w:pPr>
        <w:spacing w:after="40" w:line="240" w:lineRule="auto"/>
        <w:ind w:left="288" w:hanging="288"/>
        <w:jc w:val="both"/>
      </w:pPr>
      <w:r>
        <w:rPr>
          <w:rFonts w:ascii="Times New Roman" w:hAnsi="Times New Roman"/>
          <w:sz w:val="17"/>
        </w:rPr>
        <w:t>[14] Z. Chen, P. Chen, H. Chen, and Z. Zheng, "TAMO: Topology-Aware Microservice Root Cause Analysis via Multi-Modal Observability and Dynamic Graph Neural Networks," IEEE Transactions on Services Computing, vol. 18, no. 2, pp. 412–426, 2025.</w:t>
      </w:r>
    </w:p>
    <w:p>
      <w:pPr>
        <w:spacing w:after="40" w:line="240" w:lineRule="auto"/>
        <w:ind w:left="288" w:hanging="288"/>
        <w:jc w:val="both"/>
      </w:pPr>
      <w:r>
        <w:rPr>
          <w:rFonts w:ascii="Times New Roman" w:hAnsi="Times New Roman"/>
          <w:sz w:val="17"/>
        </w:rPr>
        <w:t>[15] L. Pham, H. Ha, H. Zhang, and J. Chen, "TORAI: Multi-source Root Cause Analysis for Blind Spots in Microservices," Proceedings of the ACM on Software Engineering (FSE), vol. 3, pp. 1–25, 2026.</w:t>
      </w:r>
    </w:p>
    <w:p>
      <w:pPr>
        <w:spacing w:after="40" w:line="240" w:lineRule="auto"/>
        <w:ind w:left="288" w:hanging="288"/>
        <w:jc w:val="both"/>
      </w:pPr>
      <w:r>
        <w:rPr>
          <w:rFonts w:ascii="Times New Roman" w:hAnsi="Times New Roman"/>
          <w:sz w:val="17"/>
        </w:rPr>
        <w:t>[16] S. Li, H. Zhang, J. Chen, and Z. Zheng, "EventADL: Anomaly Detection and Localization from Distributed System Event Sequences under Incomplete Observability," Proceedings of the ACM on Software Engineering (FSE), vol. 3, pp. 105–129, 2026.</w:t>
      </w:r>
    </w:p>
    <w:p>
      <w:pPr>
        <w:spacing w:after="40" w:line="240" w:lineRule="auto"/>
        <w:ind w:left="288" w:hanging="288"/>
        <w:jc w:val="both"/>
      </w:pPr>
      <w:r>
        <w:rPr>
          <w:rFonts w:ascii="Times New Roman" w:hAnsi="Times New Roman"/>
          <w:sz w:val="17"/>
        </w:rPr>
        <w:t>[17] J. Qi, S. Huang, Z. Luan, C. Fung, H. Yang, and D. Qian, "LogGPT: Log Anomaly Detection via GPT," arXiv preprint arXiv:2309.14482, 2023.</w:t>
      </w:r>
    </w:p>
    <w:p>
      <w:pPr>
        <w:spacing w:after="40" w:line="240" w:lineRule="auto"/>
        <w:ind w:left="288" w:hanging="288"/>
        <w:jc w:val="both"/>
      </w:pPr>
      <w:r>
        <w:rPr>
          <w:rFonts w:ascii="Times New Roman" w:hAnsi="Times New Roman"/>
          <w:sz w:val="17"/>
        </w:rPr>
        <w:t>[18] Y. Wang, X. Zhou, J. Chen, and H. Wang, "RCLAgent: Autonomous Root Cause Localization Agent for Cloud Incident Management via Multi-Agent Collaboration," IEEE Transactions on Dependable and Secure Computing, vol. 23, no. 1, pp. 89–104, 2026.</w:t>
      </w:r>
    </w:p>
    <w:p>
      <w:pPr>
        <w:spacing w:after="40" w:line="240" w:lineRule="auto"/>
        <w:ind w:left="288" w:hanging="288"/>
        <w:jc w:val="both"/>
      </w:pPr>
      <w:r>
        <w:rPr>
          <w:rFonts w:ascii="Times New Roman" w:hAnsi="Times New Roman"/>
          <w:sz w:val="17"/>
        </w:rPr>
        <w:t>[19] L. Zhang, M. Zhao, Y. Qi, and S. Zhang, "MA-RCA: Multi-Agent Root Cause Analysis for Microservice Architecture under Non-Stationary Environments," in IEEE/ACM International Conference on Automated Software Engineering (ASE), 2026, pp. 210–222.</w:t>
      </w:r>
    </w:p>
    <w:p>
      <w:pPr>
        <w:spacing w:after="40" w:line="240" w:lineRule="auto"/>
        <w:ind w:left="288" w:hanging="288"/>
        <w:jc w:val="both"/>
      </w:pPr>
      <w:r>
        <w:rPr>
          <w:rFonts w:ascii="Times New Roman" w:hAnsi="Times New Roman"/>
          <w:sz w:val="17"/>
        </w:rPr>
        <w:t>[20] V. Vovk, A. Gammerman, and G. Shafer, Algorithmic Learning in a Random World. Springer Science &amp; Business Media, 2005.</w:t>
      </w:r>
    </w:p>
    <w:p>
      <w:pPr>
        <w:spacing w:after="40" w:line="240" w:lineRule="auto"/>
        <w:ind w:left="288" w:hanging="288"/>
        <w:jc w:val="both"/>
      </w:pPr>
      <w:r>
        <w:rPr>
          <w:rFonts w:ascii="Times New Roman" w:hAnsi="Times New Roman"/>
          <w:sz w:val="17"/>
        </w:rPr>
        <w:t>[21] R. F. Barber, E. J. Candès, A. Ramdas, and R. J. Tibshirani, "Conformal prediction beyond exchangeability," The Annals of Statistics, vol. 51, no. 2, pp. 816–845, 2023.</w:t>
      </w:r>
    </w:p>
    <w:p>
      <w:pPr>
        <w:spacing w:after="40" w:line="240" w:lineRule="auto"/>
        <w:ind w:left="288" w:hanging="288"/>
        <w:jc w:val="both"/>
      </w:pPr>
      <w:r>
        <w:rPr>
          <w:rFonts w:ascii="Times New Roman" w:hAnsi="Times New Roman"/>
          <w:sz w:val="17"/>
        </w:rPr>
        <w:t>[22] I. Gibbs and E. J. Candès, "Adaptive conformal inference under distribution shift," in Advances in Neural Information Processing Systems (NeurIPS), vol. 34, pp. 1660–1672, 2021.</w:t>
      </w:r>
    </w:p>
    <w:p>
      <w:pPr>
        <w:spacing w:after="40" w:line="240" w:lineRule="auto"/>
        <w:ind w:left="288" w:hanging="288"/>
        <w:jc w:val="both"/>
      </w:pPr>
      <w:r>
        <w:rPr>
          <w:rFonts w:ascii="Times New Roman" w:hAnsi="Times New Roman"/>
          <w:sz w:val="17"/>
        </w:rPr>
        <w:t>[23] J. Paparrizos, P. Boniol, T. Palpanas, R. S. Tsay, A. Elmore, and M. J. Franklin, "Volume Under the Surface: A New Accuracy Evaluation Measure for Time-Series Anomaly Detection," Proceedings of the VLDB Endowment, vol. 15, no. 11, pp. 2774–2787, 2022.</w:t>
      </w:r>
    </w:p>
    <w:p>
      <w:pPr>
        <w:spacing w:after="40" w:line="240" w:lineRule="auto"/>
        <w:ind w:left="288" w:hanging="288"/>
        <w:jc w:val="both"/>
      </w:pPr>
      <w:r>
        <w:rPr>
          <w:rFonts w:ascii="Times New Roman" w:hAnsi="Times New Roman"/>
          <w:sz w:val="17"/>
        </w:rPr>
        <w:t>[24] S. M. Lundberg et al., "From local explanations to global understanding with explainable AI for trees," Nature Machine Intelligence, vol. 2, no. 1, pp. 56–67, 2020.</w:t>
      </w:r>
    </w:p>
    <w:sectPr w:rsidR="00FC693F" w:rsidRPr="0006063C" w:rsidSect="00034616">
      <w:type w:val="continuous"/>
      <w:pgSz w:w="11909" w:h="16834"/>
      <w:pgMar w:top="1008" w:right="1008" w:bottom="1008" w:left="1008"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shokasume@gmail.com" TargetMode="External"/><Relationship Id="rId10" Type="http://schemas.openxmlformats.org/officeDocument/2006/relationships/hyperlink" Target="mailto:smiqbalhussain13@gmail.com" TargetMode="External"/><Relationship Id="rId11" Type="http://schemas.openxmlformats.org/officeDocument/2006/relationships/hyperlink" Target="mailto:sennerapsridurga@gmail.com" TargetMode="External"/><Relationship Id="rId12" Type="http://schemas.openxmlformats.org/officeDocument/2006/relationships/hyperlink" Target="mailto:Shaikabdulmannan68@gmail.com"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