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6B46C1"/>
          <w:sz w:val="64"/>
        </w:rPr>
        <w:t>LittleJoys × Simulatte</w:t>
      </w:r>
    </w:p>
    <w:p>
      <w:pPr>
        <w:jc w:val="center"/>
      </w:pPr>
      <w:r>
        <w:rPr>
          <w:b/>
          <w:color w:val="1A1A2E"/>
          <w:sz w:val="44"/>
        </w:rPr>
        <w:t>Consumer Decision Intelligence Report</w:t>
      </w:r>
    </w:p>
    <w:p/>
    <w:p>
      <w:pPr>
        <w:jc w:val="center"/>
      </w:pPr>
      <w:r>
        <w:rPr>
          <w:i/>
          <w:color w:val="0EB88A"/>
          <w:sz w:val="28"/>
        </w:rPr>
        <w:t>Three Business Problems. 200 Simulated Consumers. Full Decision Reasoning.</w:t>
      </w:r>
    </w:p>
    <w:p/>
    <w:p>
      <w:pPr>
        <w:jc w:val="center"/>
      </w:pPr>
      <w:r>
        <w:rPr>
          <w:color w:val="666666"/>
          <w:sz w:val="24"/>
        </w:rPr>
        <w:t>April 2026  |  Confidential</w:t>
      </w:r>
    </w:p>
    <w:p>
      <w:r>
        <w:br w:type="page"/>
      </w:r>
    </w:p>
    <w:p>
      <w:pPr>
        <w:pStyle w:val="Heading1"/>
      </w:pPr>
      <w:r>
        <w:rPr>
          <w:color w:val="6B46C1"/>
        </w:rPr>
        <w:t>Section 1: The Simulatte Approach</w:t>
      </w:r>
    </w:p>
    <w:p/>
    <w:p>
      <w:pPr>
        <w:pStyle w:val="Heading2"/>
      </w:pPr>
      <w:r>
        <w:rPr>
          <w:color w:val="1A1A2E"/>
        </w:rPr>
        <w:t>What is Simulatte?</w:t>
      </w:r>
    </w:p>
    <w:p>
      <w:r>
        <w:rPr>
          <w:b w:val="0"/>
          <w:i w:val="0"/>
          <w:sz w:val="22"/>
        </w:rPr>
        <w:t>Simulatte is consumer decision infrastructure — not a research tool. Where traditional market research asks people what they think they would do, Simulatte simulates what they actually do, based on who they are. It generates a cohort of behaviorally coherent synthetic personas, runs them through realistic purchase journeys, and captures the full reasoning trace at every decision point.</w:t>
      </w:r>
    </w:p>
    <w:p>
      <w:r>
        <w:rPr>
          <w:b w:val="0"/>
          <w:i w:val="0"/>
          <w:sz w:val="22"/>
        </w:rPr>
        <w:t>The result: a consumer intelligence system that explains not just what happened (purchase rates, reorder rates), but why — with individual-level reasoning visible at every step.</w:t>
      </w:r>
    </w:p>
    <w:p/>
    <w:p>
      <w:pPr>
        <w:pStyle w:val="Heading2"/>
      </w:pPr>
      <w:r>
        <w:rPr>
          <w:color w:val="1A1A2E"/>
        </w:rPr>
        <w:t>The 9-Layer Persona Architecture</w:t>
      </w:r>
    </w:p>
    <w:p>
      <w:r>
        <w:rPr>
          <w:b w:val="0"/>
          <w:i w:val="0"/>
          <w:sz w:val="22"/>
        </w:rPr>
        <w:t>Every Simulatte persona is built from nine layers of attributes, generated using a Gaussian copula model with a 92-dimension correlation matrix. This ensures psychological realism: a persona who is highly anxious about health will also tend to be more receptive to pediatrician authority, more information-hungry before purchase, and more likely to perceive price as a signal of quality. These correlations are not hand-coded — they emerge from the underlying multivariate distribution.</w:t>
      </w:r>
    </w:p>
    <w:tbl>
      <w:tblPr>
        <w:tblStyle w:val="TableGrid"/>
        <w:tblW w:type="auto" w:w="0"/>
        <w:tblLook w:firstColumn="1" w:firstRow="1" w:lastColumn="0" w:lastRow="0" w:noHBand="0" w:noVBand="1" w:val="04A0"/>
      </w:tblPr>
      <w:tblGrid>
        <w:gridCol w:w="4320"/>
        <w:gridCol w:w="4320"/>
      </w:tblGrid>
      <w:tr>
        <w:tc>
          <w:tcPr>
            <w:tcW w:type="dxa" w:w="4320"/>
            <w:shd w:val="clear" w:color="auto" w:fill="6B46C1"/>
          </w:tcPr>
          <w:p>
            <w:r>
              <w:rPr>
                <w:b/>
                <w:color w:val="FFFFFF"/>
                <w:sz w:val="20"/>
              </w:rPr>
              <w:t>Layer</w:t>
            </w:r>
          </w:p>
        </w:tc>
        <w:tc>
          <w:tcPr>
            <w:tcW w:type="dxa" w:w="4320"/>
            <w:shd w:val="clear" w:color="auto" w:fill="6B46C1"/>
          </w:tcPr>
          <w:p>
            <w:r>
              <w:rPr>
                <w:b/>
                <w:color w:val="FFFFFF"/>
                <w:sz w:val="20"/>
              </w:rPr>
              <w:t>Description</w:t>
            </w:r>
          </w:p>
        </w:tc>
      </w:tr>
      <w:tr>
        <w:tc>
          <w:tcPr>
            <w:tcW w:type="dxa" w:w="4320"/>
          </w:tcPr>
          <w:p>
            <w:r>
              <w:rPr>
                <w:sz w:val="20"/>
              </w:rPr>
              <w:t>1. Demographics</w:t>
            </w:r>
          </w:p>
        </w:tc>
        <w:tc>
          <w:tcPr>
            <w:tcW w:type="dxa" w:w="4320"/>
          </w:tcPr>
          <w:p>
            <w:r>
              <w:rPr>
                <w:sz w:val="20"/>
              </w:rPr>
              <w:t>Age, city tier, income band, family structure, number and ages of children</w:t>
            </w:r>
          </w:p>
        </w:tc>
      </w:tr>
      <w:tr>
        <w:tc>
          <w:tcPr>
            <w:tcW w:type="dxa" w:w="4320"/>
            <w:shd w:val="clear" w:color="auto" w:fill="F3F0FF"/>
          </w:tcPr>
          <w:p>
            <w:r>
              <w:rPr>
                <w:sz w:val="20"/>
              </w:rPr>
              <w:t>2. Psychographics</w:t>
            </w:r>
          </w:p>
        </w:tc>
        <w:tc>
          <w:tcPr>
            <w:tcW w:type="dxa" w:w="4320"/>
            <w:shd w:val="clear" w:color="auto" w:fill="F3F0FF"/>
          </w:tcPr>
          <w:p>
            <w:r>
              <w:rPr>
                <w:sz w:val="20"/>
              </w:rPr>
              <w:t>92-dimension psychological profile including health anxiety, information need, social proof bias, risk tolerance, guilt sensitivity, loss aversion</w:t>
            </w:r>
          </w:p>
        </w:tc>
      </w:tr>
      <w:tr>
        <w:tc>
          <w:tcPr>
            <w:tcW w:type="dxa" w:w="4320"/>
          </w:tcPr>
          <w:p>
            <w:r>
              <w:rPr>
                <w:sz w:val="20"/>
              </w:rPr>
              <w:t>3. Values</w:t>
            </w:r>
          </w:p>
        </w:tc>
        <w:tc>
          <w:tcPr>
            <w:tcW w:type="dxa" w:w="4320"/>
          </w:tcPr>
          <w:p>
            <w:r>
              <w:rPr>
                <w:sz w:val="20"/>
              </w:rPr>
              <w:t>Best-for-my-child intensity, supplement necessity belief, status orientation, community belonging</w:t>
            </w:r>
          </w:p>
        </w:tc>
      </w:tr>
      <w:tr>
        <w:tc>
          <w:tcPr>
            <w:tcW w:type="dxa" w:w="4320"/>
            <w:shd w:val="clear" w:color="auto" w:fill="F3F0FF"/>
          </w:tcPr>
          <w:p>
            <w:r>
              <w:rPr>
                <w:sz w:val="20"/>
              </w:rPr>
              <w:t>4. Budget Profile</w:t>
            </w:r>
          </w:p>
        </w:tc>
        <w:tc>
          <w:tcPr>
            <w:tcW w:type="dxa" w:w="4320"/>
            <w:shd w:val="clear" w:color="auto" w:fill="F3F0FF"/>
          </w:tcPr>
          <w:p>
            <w:r>
              <w:rPr>
                <w:sz w:val="20"/>
              </w:rPr>
              <w:t>Monthly discretionary spend for child nutrition, price sensitivity, deal-seeking intensity</w:t>
            </w:r>
          </w:p>
        </w:tc>
      </w:tr>
      <w:tr>
        <w:tc>
          <w:tcPr>
            <w:tcW w:type="dxa" w:w="4320"/>
          </w:tcPr>
          <w:p>
            <w:r>
              <w:rPr>
                <w:sz w:val="20"/>
              </w:rPr>
              <w:t>5. Decision Style</w:t>
            </w:r>
          </w:p>
        </w:tc>
        <w:tc>
          <w:tcPr>
            <w:tcW w:type="dxa" w:w="4320"/>
          </w:tcPr>
          <w:p>
            <w:r>
              <w:rPr>
                <w:sz w:val="20"/>
              </w:rPr>
              <w:t>Analytical / habitual / emotional / social — derived from psychology correlations</w:t>
            </w:r>
          </w:p>
        </w:tc>
      </w:tr>
      <w:tr>
        <w:tc>
          <w:tcPr>
            <w:tcW w:type="dxa" w:w="4320"/>
            <w:shd w:val="clear" w:color="auto" w:fill="F3F0FF"/>
          </w:tcPr>
          <w:p>
            <w:r>
              <w:rPr>
                <w:sz w:val="20"/>
              </w:rPr>
              <w:t>6. Trust Anchors</w:t>
            </w:r>
          </w:p>
        </w:tc>
        <w:tc>
          <w:tcPr>
            <w:tcW w:type="dxa" w:w="4320"/>
            <w:shd w:val="clear" w:color="auto" w:fill="F3F0FF"/>
          </w:tcPr>
          <w:p>
            <w:r>
              <w:rPr>
                <w:sz w:val="20"/>
              </w:rPr>
              <w:t>Who this persona trusts most: pediatrician, close friend, influencer, own research, family</w:t>
            </w:r>
          </w:p>
        </w:tc>
      </w:tr>
      <w:tr>
        <w:tc>
          <w:tcPr>
            <w:tcW w:type="dxa" w:w="4320"/>
          </w:tcPr>
          <w:p>
            <w:r>
              <w:rPr>
                <w:sz w:val="20"/>
              </w:rPr>
              <w:t>7. Episodic Memory</w:t>
            </w:r>
          </w:p>
        </w:tc>
        <w:tc>
          <w:tcPr>
            <w:tcW w:type="dxa" w:w="4320"/>
          </w:tcPr>
          <w:p>
            <w:r>
              <w:rPr>
                <w:sz w:val="20"/>
              </w:rPr>
              <w:t>Accumulating memory of brand exposures, WOM signals, product experiences across journey ticks</w:t>
            </w:r>
          </w:p>
        </w:tc>
      </w:tr>
      <w:tr>
        <w:tc>
          <w:tcPr>
            <w:tcW w:type="dxa" w:w="4320"/>
            <w:shd w:val="clear" w:color="auto" w:fill="F3F0FF"/>
          </w:tcPr>
          <w:p>
            <w:r>
              <w:rPr>
                <w:sz w:val="20"/>
              </w:rPr>
              <w:t>8. Brand Trust State</w:t>
            </w:r>
          </w:p>
        </w:tc>
        <w:tc>
          <w:tcPr>
            <w:tcW w:type="dxa" w:w="4320"/>
            <w:shd w:val="clear" w:color="auto" w:fill="F3F0FF"/>
          </w:tcPr>
          <w:p>
            <w:r>
              <w:rPr>
                <w:sz w:val="20"/>
              </w:rPr>
              <w:t>Per-brand trust score (0.0–1.0) that evolves with each stimulus and experience</w:t>
            </w:r>
          </w:p>
        </w:tc>
      </w:tr>
      <w:tr>
        <w:tc>
          <w:tcPr>
            <w:tcW w:type="dxa" w:w="4320"/>
          </w:tcPr>
          <w:p>
            <w:r>
              <w:rPr>
                <w:sz w:val="20"/>
              </w:rPr>
              <w:t>9. Parent Traits</w:t>
            </w:r>
          </w:p>
        </w:tc>
        <w:tc>
          <w:tcPr>
            <w:tcW w:type="dxa" w:w="4320"/>
          </w:tcPr>
          <w:p>
            <w:r>
              <w:rPr>
                <w:sz w:val="20"/>
              </w:rPr>
              <w:t>Risk appetite, primary value orientation, coping mechanism — the synthesis layer that drives decisions</w:t>
            </w:r>
          </w:p>
        </w:tc>
      </w:tr>
    </w:tbl>
    <w:p/>
    <w:p>
      <w:pPr>
        <w:pStyle w:val="Heading2"/>
      </w:pPr>
      <w:r>
        <w:rPr>
          <w:color w:val="1A1A2E"/>
        </w:rPr>
        <w:t>What Makes Simulatte Personas Different</w:t>
      </w:r>
    </w:p>
    <w:p>
      <w:pPr>
        <w:pStyle w:val="ListBullet"/>
      </w:pPr>
      <w:r>
        <w:rPr>
          <w:b/>
          <w:sz w:val="22"/>
        </w:rPr>
        <w:t xml:space="preserve">Real psychographic correlations: </w:t>
      </w:r>
      <w:r>
        <w:rPr>
          <w:sz w:val="22"/>
        </w:rPr>
        <w:t>Generated via Gaussian copula — not hand-picked attributes. A persona's health anxiety, trust anchors, and price sensitivity are statistically correlated the way they are in real Indian parents.</w:t>
      </w:r>
    </w:p>
    <w:p>
      <w:pPr>
        <w:pStyle w:val="ListBullet"/>
      </w:pPr>
      <w:r>
        <w:rPr>
          <w:b/>
          <w:sz w:val="22"/>
        </w:rPr>
        <w:t xml:space="preserve">Episodic memory across ticks: </w:t>
      </w:r>
      <w:r>
        <w:rPr>
          <w:sz w:val="22"/>
        </w:rPr>
        <w:t>Unlike stateless classifiers, each persona accumulates memories of every stimulus they encounter. A WhatsApp message at tick 5 can still influence a purchase decision at tick 60.</w:t>
      </w:r>
    </w:p>
    <w:p>
      <w:pPr>
        <w:pStyle w:val="ListBullet"/>
      </w:pPr>
      <w:r>
        <w:rPr>
          <w:b/>
          <w:sz w:val="22"/>
        </w:rPr>
        <w:t xml:space="preserve">5-step cognitive reasoning trace: </w:t>
      </w:r>
      <w:r>
        <w:rPr>
          <w:sz w:val="22"/>
        </w:rPr>
        <w:t>Every decision is a five-step reasoning process: gut reaction, information processing, constraint check, social signal check, final decision. The reasoning is inspectable, not a black box.</w:t>
      </w:r>
    </w:p>
    <w:p>
      <w:pPr>
        <w:pStyle w:val="ListBullet"/>
      </w:pPr>
      <w:r>
        <w:rPr>
          <w:b/>
          <w:sz w:val="22"/>
        </w:rPr>
        <w:t xml:space="preserve">Consistent identity: </w:t>
      </w:r>
      <w:r>
        <w:rPr>
          <w:sz w:val="22"/>
        </w:rPr>
        <w:t>The same persona who researched extensively before first purchase will apply the same analytical style at reorder. Decisions are personality-consistent, not random.</w:t>
      </w:r>
    </w:p>
    <w:p>
      <w:pPr>
        <w:pStyle w:val="ListBullet"/>
      </w:pPr>
      <w:r>
        <w:rPr>
          <w:b/>
          <w:sz w:val="22"/>
        </w:rPr>
        <w:t xml:space="preserve">Indian parent behaviour research: </w:t>
      </w:r>
      <w:r>
        <w:rPr>
          <w:sz w:val="22"/>
        </w:rPr>
        <w:t>Trust anchors, decision styles, and price reference points are grounded in published research on Indian FMCG consumer behaviour and parental decision-making in child nutrition.</w:t>
      </w:r>
    </w:p>
    <w:p/>
    <w:p>
      <w:pPr>
        <w:pStyle w:val="Heading2"/>
      </w:pPr>
      <w:r>
        <w:rPr>
          <w:color w:val="1A1A2E"/>
        </w:rPr>
        <w:t>Research Validity</w:t>
      </w:r>
    </w:p>
    <w:p>
      <w:r>
        <w:rPr>
          <w:b w:val="0"/>
          <w:i w:val="0"/>
          <w:sz w:val="22"/>
        </w:rPr>
        <w:t>The 200-persona cohort used in this study was generated with a population seed (42) calibrated to reflect the distribution of urban-to-semi-urban Indian parents with children aged 2–14. The cohort includes Tier 1 cities (Delhi, Bangalore, Mumbai, Hyderabad) and Tier 2 cities (Indore, Ranchi, Surat, Kochi, Lucknow, Guwahati, Chandigarh, Nagpur, Dehradun, Mysore), with income bands spanning Rs 40,000–Rs 150,000+ per month. Decision style distribution reflects published FMCG research: approximately 35% analytical, 30% habitual, 25% social, 10% emotional.</w:t>
      </w:r>
    </w:p>
    <w:p>
      <w:r>
        <w:br w:type="page"/>
      </w:r>
    </w:p>
    <w:p>
      <w:pPr>
        <w:pStyle w:val="Heading1"/>
      </w:pPr>
      <w:r>
        <w:rPr>
          <w:color w:val="6B46C1"/>
        </w:rPr>
        <w:t>Section 2: The LittleJoys Brief</w:t>
      </w:r>
    </w:p>
    <w:p/>
    <w:p>
      <w:pPr>
        <w:pStyle w:val="Heading2"/>
      </w:pPr>
      <w:r>
        <w:rPr>
          <w:color w:val="1A1A2E"/>
        </w:rPr>
        <w:t>About LittleJoys</w:t>
      </w:r>
    </w:p>
    <w:p>
      <w:r>
        <w:rPr>
          <w:b w:val="0"/>
          <w:i w:val="0"/>
          <w:sz w:val="22"/>
        </w:rPr>
        <w:t>LittleJoys is a D2C child nutrition brand operating in the Indian market. The brand competes in the premium-positioned drink mix segment — a category dominated by legacy brands like Bournvita, Horlicks, and Complan. LittleJoys differentiates on ingredient transparency, zero added sugar, and specific micronutrient profiles targeted at different age bands.</w:t>
      </w:r>
    </w:p>
    <w:p>
      <w:r>
        <w:rPr>
          <w:b w:val="0"/>
          <w:i w:val="0"/>
          <w:sz w:val="22"/>
        </w:rPr>
        <w:t>The channel strategy is primarily digital: Instagram, BigBasket, and FirstCry, with WhatsApp communities and mom influencers as key discovery channels.</w:t>
      </w:r>
    </w:p>
    <w:p/>
    <w:p>
      <w:pPr>
        <w:pStyle w:val="Heading2"/>
      </w:pPr>
      <w:r>
        <w:rPr>
          <w:color w:val="1A1A2E"/>
        </w:rPr>
        <w:t>Three Business Problems</w:t>
      </w:r>
    </w:p>
    <w:p>
      <w:r>
        <w:rPr>
          <w:b/>
          <w:i w:val="0"/>
          <w:sz w:val="24"/>
        </w:rPr>
        <w:t>Problem A: Increasing Nutrimix Repeat Purchase (Age 2–6)</w:t>
      </w:r>
    </w:p>
    <w:p>
      <w:r>
        <w:rPr>
          <w:b w:val="0"/>
          <w:i w:val="0"/>
          <w:sz w:val="22"/>
        </w:rPr>
        <w:t>Nutrimix has strong first-purchase satisfaction — high trial rates and positive product experience. However, the reorder rate is below target. The key question: what breaks between a positive first experience and a dependable reorder habit? The simulation was structured as a 61-tick journey representing approximately 60 days from first awareness to reorder decision.</w:t>
      </w:r>
    </w:p>
    <w:p/>
    <w:p>
      <w:r>
        <w:rPr>
          <w:b/>
          <w:i w:val="0"/>
          <w:sz w:val="24"/>
        </w:rPr>
        <w:t>Problem B: Increasing Magnesium Gummies Sales (Age 3–8)</w:t>
      </w:r>
    </w:p>
    <w:p>
      <w:r>
        <w:rPr>
          <w:b w:val="0"/>
          <w:i w:val="0"/>
          <w:sz w:val="22"/>
        </w:rPr>
        <w:t>Magnesium Gummies is a newer SKU targeting the sleep/nervous system segment. The product faces a unique challenge: the outcome (better sleep) is subjective and slow to confirm. Parents buying a sleep supplement for a 3–8 year old need to believe it works before they will commit to a repeat purchase. The simulation was structured as a 46-tick journey covering awareness, first purchase, 10-day trial, and reorder decision.</w:t>
      </w:r>
    </w:p>
    <w:p/>
    <w:p>
      <w:r>
        <w:rPr>
          <w:b/>
          <w:i w:val="0"/>
          <w:sz w:val="24"/>
        </w:rPr>
        <w:t>Problem C: Expanding Nutrimix into Age 7–14 (vs Bournvita)</w:t>
      </w:r>
    </w:p>
    <w:p>
      <w:r>
        <w:rPr>
          <w:b w:val="0"/>
          <w:i w:val="0"/>
          <w:sz w:val="22"/>
        </w:rPr>
        <w:t>The age 7–14 segment is owned by Bournvita — a brand with 70+ years of household penetration. Nutrimix at Rs 649 is Rs 250 more expensive than Bournvita at Rs 399. The simulation tested whether parents could be won over through nutritional positioning, school-age peer context, and pediatrician signals — and whether the price premium could be justified. The journey was structured as 61 ticks with a first purchase decision at tick 28 and reorder decision at tick 60.</w:t>
      </w:r>
    </w:p>
    <w:p/>
    <w:p>
      <w:r>
        <w:br w:type="page"/>
      </w:r>
    </w:p>
    <w:p>
      <w:pPr>
        <w:pStyle w:val="Heading1"/>
      </w:pPr>
      <w:r>
        <w:rPr>
          <w:color w:val="6B46C1"/>
        </w:rPr>
        <w:t>Section 3: The Simulation Cohort</w:t>
      </w:r>
    </w:p>
    <w:p/>
    <w:p>
      <w:r>
        <w:rPr>
          <w:b w:val="0"/>
          <w:i w:val="0"/>
          <w:sz w:val="22"/>
        </w:rPr>
        <w:t>The study ran across 200 synthetic personas representing Indian urban and semi-urban parents with children in the 2–14 age range. The cohort was designed to capture the real diversity of the Indian parent consumer — across city tier, income, family structure, and psychological profile.</w:t>
      </w:r>
    </w:p>
    <w:p/>
    <w:p>
      <w:pPr>
        <w:pStyle w:val="Heading2"/>
      </w:pPr>
      <w:r>
        <w:rPr>
          <w:color w:val="1A1A2E"/>
        </w:rPr>
        <w:t>City and Income Distribution</w:t>
      </w:r>
    </w:p>
    <w:tbl>
      <w:tblPr>
        <w:tblStyle w:val="TableGrid"/>
        <w:tblW w:type="auto" w:w="0"/>
        <w:tblLook w:firstColumn="1" w:firstRow="1" w:lastColumn="0" w:lastRow="0" w:noHBand="0" w:noVBand="1" w:val="04A0"/>
      </w:tblPr>
      <w:tblGrid>
        <w:gridCol w:w="4320"/>
        <w:gridCol w:w="4320"/>
      </w:tblGrid>
      <w:tr>
        <w:tc>
          <w:tcPr>
            <w:tcW w:type="dxa" w:w="4320"/>
            <w:shd w:val="clear" w:color="auto" w:fill="6B46C1"/>
          </w:tcPr>
          <w:p>
            <w:r>
              <w:rPr>
                <w:b/>
                <w:color w:val="FFFFFF"/>
                <w:sz w:val="20"/>
              </w:rPr>
              <w:t>Dimension</w:t>
            </w:r>
          </w:p>
        </w:tc>
        <w:tc>
          <w:tcPr>
            <w:tcW w:type="dxa" w:w="4320"/>
            <w:shd w:val="clear" w:color="auto" w:fill="6B46C1"/>
          </w:tcPr>
          <w:p>
            <w:r>
              <w:rPr>
                <w:b/>
                <w:color w:val="FFFFFF"/>
                <w:sz w:val="20"/>
              </w:rPr>
              <w:t>Distribution</w:t>
            </w:r>
          </w:p>
        </w:tc>
      </w:tr>
      <w:tr>
        <w:tc>
          <w:tcPr>
            <w:tcW w:type="dxa" w:w="4320"/>
          </w:tcPr>
          <w:p>
            <w:r>
              <w:rPr>
                <w:sz w:val="20"/>
              </w:rPr>
              <w:t>City Tier 1 (Delhi, Bangalore, Mumbai, Hyderabad)</w:t>
            </w:r>
          </w:p>
        </w:tc>
        <w:tc>
          <w:tcPr>
            <w:tcW w:type="dxa" w:w="4320"/>
          </w:tcPr>
          <w:p>
            <w:r>
              <w:rPr>
                <w:sz w:val="20"/>
              </w:rPr>
              <w:t>~55% of cohort</w:t>
            </w:r>
          </w:p>
        </w:tc>
      </w:tr>
      <w:tr>
        <w:tc>
          <w:tcPr>
            <w:tcW w:type="dxa" w:w="4320"/>
            <w:shd w:val="clear" w:color="auto" w:fill="F3F0FF"/>
          </w:tcPr>
          <w:p>
            <w:r>
              <w:rPr>
                <w:sz w:val="20"/>
              </w:rPr>
              <w:t>City Tier 2 (Indore, Ranchi, Surat, Kochi, Lucknow, etc.)</w:t>
            </w:r>
          </w:p>
        </w:tc>
        <w:tc>
          <w:tcPr>
            <w:tcW w:type="dxa" w:w="4320"/>
            <w:shd w:val="clear" w:color="auto" w:fill="F3F0FF"/>
          </w:tcPr>
          <w:p>
            <w:r>
              <w:rPr>
                <w:sz w:val="20"/>
              </w:rPr>
              <w:t>~45% of cohort</w:t>
            </w:r>
          </w:p>
        </w:tc>
      </w:tr>
      <w:tr>
        <w:tc>
          <w:tcPr>
            <w:tcW w:type="dxa" w:w="4320"/>
          </w:tcPr>
          <w:p>
            <w:r>
              <w:rPr>
                <w:sz w:val="20"/>
              </w:rPr>
              <w:t>Income &lt; Rs 60k/month</w:t>
            </w:r>
          </w:p>
        </w:tc>
        <w:tc>
          <w:tcPr>
            <w:tcW w:type="dxa" w:w="4320"/>
          </w:tcPr>
          <w:p>
            <w:r>
              <w:rPr>
                <w:sz w:val="20"/>
              </w:rPr>
              <w:t>~25% of cohort</w:t>
            </w:r>
          </w:p>
        </w:tc>
      </w:tr>
      <w:tr>
        <w:tc>
          <w:tcPr>
            <w:tcW w:type="dxa" w:w="4320"/>
            <w:shd w:val="clear" w:color="auto" w:fill="F3F0FF"/>
          </w:tcPr>
          <w:p>
            <w:r>
              <w:rPr>
                <w:sz w:val="20"/>
              </w:rPr>
              <w:t>Income Rs 60k–100k/month</w:t>
            </w:r>
          </w:p>
        </w:tc>
        <w:tc>
          <w:tcPr>
            <w:tcW w:type="dxa" w:w="4320"/>
            <w:shd w:val="clear" w:color="auto" w:fill="F3F0FF"/>
          </w:tcPr>
          <w:p>
            <w:r>
              <w:rPr>
                <w:sz w:val="20"/>
              </w:rPr>
              <w:t>~45% of cohort</w:t>
            </w:r>
          </w:p>
        </w:tc>
      </w:tr>
      <w:tr>
        <w:tc>
          <w:tcPr>
            <w:tcW w:type="dxa" w:w="4320"/>
          </w:tcPr>
          <w:p>
            <w:r>
              <w:rPr>
                <w:sz w:val="20"/>
              </w:rPr>
              <w:t>Income &gt; Rs 100k/month</w:t>
            </w:r>
          </w:p>
        </w:tc>
        <w:tc>
          <w:tcPr>
            <w:tcW w:type="dxa" w:w="4320"/>
          </w:tcPr>
          <w:p>
            <w:r>
              <w:rPr>
                <w:sz w:val="20"/>
              </w:rPr>
              <w:t>~30% of cohort</w:t>
            </w:r>
          </w:p>
        </w:tc>
      </w:tr>
      <w:tr>
        <w:tc>
          <w:tcPr>
            <w:tcW w:type="dxa" w:w="4320"/>
            <w:shd w:val="clear" w:color="auto" w:fill="F3F0FF"/>
          </w:tcPr>
          <w:p>
            <w:r>
              <w:rPr>
                <w:sz w:val="20"/>
              </w:rPr>
              <w:t>Single child families</w:t>
            </w:r>
          </w:p>
        </w:tc>
        <w:tc>
          <w:tcPr>
            <w:tcW w:type="dxa" w:w="4320"/>
            <w:shd w:val="clear" w:color="auto" w:fill="F3F0FF"/>
          </w:tcPr>
          <w:p>
            <w:r>
              <w:rPr>
                <w:sz w:val="20"/>
              </w:rPr>
              <w:t>~60% of cohort</w:t>
            </w:r>
          </w:p>
        </w:tc>
      </w:tr>
      <w:tr>
        <w:tc>
          <w:tcPr>
            <w:tcW w:type="dxa" w:w="4320"/>
          </w:tcPr>
          <w:p>
            <w:r>
              <w:rPr>
                <w:sz w:val="20"/>
              </w:rPr>
              <w:t>Two+ children families</w:t>
            </w:r>
          </w:p>
        </w:tc>
        <w:tc>
          <w:tcPr>
            <w:tcW w:type="dxa" w:w="4320"/>
          </w:tcPr>
          <w:p>
            <w:r>
              <w:rPr>
                <w:sz w:val="20"/>
              </w:rPr>
              <w:t>~40% of cohort</w:t>
            </w:r>
          </w:p>
        </w:tc>
      </w:tr>
    </w:tbl>
    <w:p/>
    <w:p>
      <w:pPr>
        <w:pStyle w:val="Heading2"/>
      </w:pPr>
      <w:r>
        <w:rPr>
          <w:color w:val="1A1A2E"/>
        </w:rPr>
        <w:t>Decision Style Distribution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6B46C1"/>
          </w:tcPr>
          <w:p>
            <w:r>
              <w:rPr>
                <w:b/>
                <w:color w:val="FFFFFF"/>
                <w:sz w:val="20"/>
              </w:rPr>
              <w:t>Decision Style</w:t>
            </w:r>
          </w:p>
        </w:tc>
        <w:tc>
          <w:tcPr>
            <w:tcW w:type="dxa" w:w="2880"/>
            <w:shd w:val="clear" w:color="auto" w:fill="6B46C1"/>
          </w:tcPr>
          <w:p>
            <w:r>
              <w:rPr>
                <w:b/>
                <w:color w:val="FFFFFF"/>
                <w:sz w:val="20"/>
              </w:rPr>
              <w:t>Description</w:t>
            </w:r>
          </w:p>
        </w:tc>
        <w:tc>
          <w:tcPr>
            <w:tcW w:type="dxa" w:w="2880"/>
            <w:shd w:val="clear" w:color="auto" w:fill="6B46C1"/>
          </w:tcPr>
          <w:p>
            <w:r>
              <w:rPr>
                <w:b/>
                <w:color w:val="FFFFFF"/>
                <w:sz w:val="20"/>
              </w:rPr>
              <w:t>Approx. Share</w:t>
            </w:r>
          </w:p>
        </w:tc>
      </w:tr>
      <w:tr>
        <w:tc>
          <w:tcPr>
            <w:tcW w:type="dxa" w:w="2880"/>
          </w:tcPr>
          <w:p>
            <w:r>
              <w:rPr>
                <w:sz w:val="20"/>
              </w:rPr>
              <w:t>Analytical</w:t>
            </w:r>
          </w:p>
        </w:tc>
        <w:tc>
          <w:tcPr>
            <w:tcW w:type="dxa" w:w="2880"/>
          </w:tcPr>
          <w:p>
            <w:r>
              <w:rPr>
                <w:sz w:val="20"/>
              </w:rPr>
              <w:t>Researches before deciding; compares ingredients and reviews</w:t>
            </w:r>
          </w:p>
        </w:tc>
        <w:tc>
          <w:tcPr>
            <w:tcW w:type="dxa" w:w="2880"/>
          </w:tcPr>
          <w:p>
            <w:r>
              <w:rPr>
                <w:sz w:val="20"/>
              </w:rPr>
              <w:t>~35%</w:t>
            </w:r>
          </w:p>
        </w:tc>
      </w:tr>
      <w:tr>
        <w:tc>
          <w:tcPr>
            <w:tcW w:type="dxa" w:w="2880"/>
            <w:shd w:val="clear" w:color="auto" w:fill="F3F0FF"/>
          </w:tcPr>
          <w:p>
            <w:r>
              <w:rPr>
                <w:sz w:val="20"/>
              </w:rPr>
              <w:t>Habitual</w:t>
            </w:r>
          </w:p>
        </w:tc>
        <w:tc>
          <w:tcPr>
            <w:tcW w:type="dxa" w:w="2880"/>
            <w:shd w:val="clear" w:color="auto" w:fill="F3F0FF"/>
          </w:tcPr>
          <w:p>
            <w:r>
              <w:rPr>
                <w:sz w:val="20"/>
              </w:rPr>
              <w:t>Defaults to trusted brands; changes only if clearly pushed</w:t>
            </w:r>
          </w:p>
        </w:tc>
        <w:tc>
          <w:tcPr>
            <w:tcW w:type="dxa" w:w="2880"/>
            <w:shd w:val="clear" w:color="auto" w:fill="F3F0FF"/>
          </w:tcPr>
          <w:p>
            <w:r>
              <w:rPr>
                <w:sz w:val="20"/>
              </w:rPr>
              <w:t>~30%</w:t>
            </w:r>
          </w:p>
        </w:tc>
      </w:tr>
      <w:tr>
        <w:tc>
          <w:tcPr>
            <w:tcW w:type="dxa" w:w="2880"/>
          </w:tcPr>
          <w:p>
            <w:r>
              <w:rPr>
                <w:sz w:val="20"/>
              </w:rPr>
              <w:t>Social</w:t>
            </w:r>
          </w:p>
        </w:tc>
        <w:tc>
          <w:tcPr>
            <w:tcW w:type="dxa" w:w="2880"/>
          </w:tcPr>
          <w:p>
            <w:r>
              <w:rPr>
                <w:sz w:val="20"/>
              </w:rPr>
              <w:t>Relies on peer networks, WOM, and influencer signals</w:t>
            </w:r>
          </w:p>
        </w:tc>
        <w:tc>
          <w:tcPr>
            <w:tcW w:type="dxa" w:w="2880"/>
          </w:tcPr>
          <w:p>
            <w:r>
              <w:rPr>
                <w:sz w:val="20"/>
              </w:rPr>
              <w:t>~25%</w:t>
            </w:r>
          </w:p>
        </w:tc>
      </w:tr>
      <w:tr>
        <w:tc>
          <w:tcPr>
            <w:tcW w:type="dxa" w:w="2880"/>
            <w:shd w:val="clear" w:color="auto" w:fill="F3F0FF"/>
          </w:tcPr>
          <w:p>
            <w:r>
              <w:rPr>
                <w:sz w:val="20"/>
              </w:rPr>
              <w:t>Emotional</w:t>
            </w:r>
          </w:p>
        </w:tc>
        <w:tc>
          <w:tcPr>
            <w:tcW w:type="dxa" w:w="2880"/>
            <w:shd w:val="clear" w:color="auto" w:fill="F3F0FF"/>
          </w:tcPr>
          <w:p>
            <w:r>
              <w:rPr>
                <w:sz w:val="20"/>
              </w:rPr>
              <w:t>Driven by gut feeling, guilt sensitivity, and aspiration</w:t>
            </w:r>
          </w:p>
        </w:tc>
        <w:tc>
          <w:tcPr>
            <w:tcW w:type="dxa" w:w="2880"/>
            <w:shd w:val="clear" w:color="auto" w:fill="F3F0FF"/>
          </w:tcPr>
          <w:p>
            <w:r>
              <w:rPr>
                <w:sz w:val="20"/>
              </w:rPr>
              <w:t>~10%</w:t>
            </w:r>
          </w:p>
        </w:tc>
      </w:tr>
    </w:tbl>
    <w:p/>
    <w:p>
      <w:pPr>
        <w:pStyle w:val="Heading2"/>
      </w:pPr>
      <w:r>
        <w:rPr>
          <w:color w:val="1A1A2E"/>
        </w:rPr>
        <w:t>Key Psychological Attribute Distributions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6B46C1"/>
          </w:tcPr>
          <w:p>
            <w:r>
              <w:rPr>
                <w:b/>
                <w:color w:val="FFFFFF"/>
                <w:sz w:val="20"/>
              </w:rPr>
              <w:t>Attribute</w:t>
            </w:r>
          </w:p>
        </w:tc>
        <w:tc>
          <w:tcPr>
            <w:tcW w:type="dxa" w:w="2880"/>
            <w:shd w:val="clear" w:color="auto" w:fill="6B46C1"/>
          </w:tcPr>
          <w:p>
            <w:r>
              <w:rPr>
                <w:b/>
                <w:color w:val="FFFFFF"/>
                <w:sz w:val="20"/>
              </w:rPr>
              <w:t>Range in Cohort</w:t>
            </w:r>
          </w:p>
        </w:tc>
        <w:tc>
          <w:tcPr>
            <w:tcW w:type="dxa" w:w="2880"/>
            <w:shd w:val="clear" w:color="auto" w:fill="6B46C1"/>
          </w:tcPr>
          <w:p>
            <w:r>
              <w:rPr>
                <w:b/>
                <w:color w:val="FFFFFF"/>
                <w:sz w:val="20"/>
              </w:rPr>
              <w:t>What It Drives</w:t>
            </w:r>
          </w:p>
        </w:tc>
      </w:tr>
      <w:tr>
        <w:tc>
          <w:tcPr>
            <w:tcW w:type="dxa" w:w="2880"/>
          </w:tcPr>
          <w:p>
            <w:r>
              <w:rPr>
                <w:sz w:val="20"/>
              </w:rPr>
              <w:t>Health Anxiety</w:t>
            </w:r>
          </w:p>
        </w:tc>
        <w:tc>
          <w:tcPr>
            <w:tcW w:type="dxa" w:w="2880"/>
          </w:tcPr>
          <w:p>
            <w:r>
              <w:rPr>
                <w:sz w:val="20"/>
              </w:rPr>
              <w:t>0.2 – 0.9 (mean ~0.6)</w:t>
            </w:r>
          </w:p>
        </w:tc>
        <w:tc>
          <w:tcPr>
            <w:tcW w:type="dxa" w:w="2880"/>
          </w:tcPr>
          <w:p>
            <w:r>
              <w:rPr>
                <w:sz w:val="20"/>
              </w:rPr>
              <w:t>Proactive supplement seeking; sensitivity to health claims</w:t>
            </w:r>
          </w:p>
        </w:tc>
      </w:tr>
      <w:tr>
        <w:tc>
          <w:tcPr>
            <w:tcW w:type="dxa" w:w="2880"/>
            <w:shd w:val="clear" w:color="auto" w:fill="F3F0FF"/>
          </w:tcPr>
          <w:p>
            <w:r>
              <w:rPr>
                <w:sz w:val="20"/>
              </w:rPr>
              <w:t>Information Need</w:t>
            </w:r>
          </w:p>
        </w:tc>
        <w:tc>
          <w:tcPr>
            <w:tcW w:type="dxa" w:w="2880"/>
            <w:shd w:val="clear" w:color="auto" w:fill="F3F0FF"/>
          </w:tcPr>
          <w:p>
            <w:r>
              <w:rPr>
                <w:sz w:val="20"/>
              </w:rPr>
              <w:t>0.2 – 0.95 (mean ~0.65)</w:t>
            </w:r>
          </w:p>
        </w:tc>
        <w:tc>
          <w:tcPr>
            <w:tcW w:type="dxa" w:w="2880"/>
            <w:shd w:val="clear" w:color="auto" w:fill="F3F0FF"/>
          </w:tcPr>
          <w:p>
            <w:r>
              <w:rPr>
                <w:sz w:val="20"/>
              </w:rPr>
              <w:t>Depth of research before purchase; fact-checking tendency</w:t>
            </w:r>
          </w:p>
        </w:tc>
      </w:tr>
      <w:tr>
        <w:tc>
          <w:tcPr>
            <w:tcW w:type="dxa" w:w="2880"/>
          </w:tcPr>
          <w:p>
            <w:r>
              <w:rPr>
                <w:sz w:val="20"/>
              </w:rPr>
              <w:t>Social Proof Bias</w:t>
            </w:r>
          </w:p>
        </w:tc>
        <w:tc>
          <w:tcPr>
            <w:tcW w:type="dxa" w:w="2880"/>
          </w:tcPr>
          <w:p>
            <w:r>
              <w:rPr>
                <w:sz w:val="20"/>
              </w:rPr>
              <w:t>0.2 – 0.9 (mean ~0.58)</w:t>
            </w:r>
          </w:p>
        </w:tc>
        <w:tc>
          <w:tcPr>
            <w:tcW w:type="dxa" w:w="2880"/>
          </w:tcPr>
          <w:p>
            <w:r>
              <w:rPr>
                <w:sz w:val="20"/>
              </w:rPr>
              <w:t>Susceptibility to WOM, peer reorders, community data</w:t>
            </w:r>
          </w:p>
        </w:tc>
      </w:tr>
      <w:tr>
        <w:tc>
          <w:tcPr>
            <w:tcW w:type="dxa" w:w="2880"/>
            <w:shd w:val="clear" w:color="auto" w:fill="F3F0FF"/>
          </w:tcPr>
          <w:p>
            <w:r>
              <w:rPr>
                <w:sz w:val="20"/>
              </w:rPr>
              <w:t>Best-for-my-Child Intensity</w:t>
            </w:r>
          </w:p>
        </w:tc>
        <w:tc>
          <w:tcPr>
            <w:tcW w:type="dxa" w:w="2880"/>
            <w:shd w:val="clear" w:color="auto" w:fill="F3F0FF"/>
          </w:tcPr>
          <w:p>
            <w:r>
              <w:rPr>
                <w:sz w:val="20"/>
              </w:rPr>
              <w:t>0.3 – 0.98 (mean ~0.72)</w:t>
            </w:r>
          </w:p>
        </w:tc>
        <w:tc>
          <w:tcPr>
            <w:tcW w:type="dxa" w:w="2880"/>
            <w:shd w:val="clear" w:color="auto" w:fill="F3F0FF"/>
          </w:tcPr>
          <w:p>
            <w:r>
              <w:rPr>
                <w:sz w:val="20"/>
              </w:rPr>
              <w:t>Willingness to pay premium; premium brand openness</w:t>
            </w:r>
          </w:p>
        </w:tc>
      </w:tr>
      <w:tr>
        <w:tc>
          <w:tcPr>
            <w:tcW w:type="dxa" w:w="2880"/>
          </w:tcPr>
          <w:p>
            <w:r>
              <w:rPr>
                <w:sz w:val="20"/>
              </w:rPr>
              <w:t>Budget Consciousness</w:t>
            </w:r>
          </w:p>
        </w:tc>
        <w:tc>
          <w:tcPr>
            <w:tcW w:type="dxa" w:w="2880"/>
          </w:tcPr>
          <w:p>
            <w:r>
              <w:rPr>
                <w:sz w:val="20"/>
              </w:rPr>
              <w:t>0.15 – 0.9 (mean ~0.52)</w:t>
            </w:r>
          </w:p>
        </w:tc>
        <w:tc>
          <w:tcPr>
            <w:tcW w:type="dxa" w:w="2880"/>
          </w:tcPr>
          <w:p>
            <w:r>
              <w:rPr>
                <w:sz w:val="20"/>
              </w:rPr>
              <w:t>Price sensitivity at reorder; deal-seeking behavior</w:t>
            </w:r>
          </w:p>
        </w:tc>
      </w:tr>
      <w:tr>
        <w:tc>
          <w:tcPr>
            <w:tcW w:type="dxa" w:w="2880"/>
            <w:shd w:val="clear" w:color="auto" w:fill="F3F0FF"/>
          </w:tcPr>
          <w:p>
            <w:r>
              <w:rPr>
                <w:sz w:val="20"/>
              </w:rPr>
              <w:t>Supplement Necessity Belief</w:t>
            </w:r>
          </w:p>
        </w:tc>
        <w:tc>
          <w:tcPr>
            <w:tcW w:type="dxa" w:w="2880"/>
            <w:shd w:val="clear" w:color="auto" w:fill="F3F0FF"/>
          </w:tcPr>
          <w:p>
            <w:r>
              <w:rPr>
                <w:sz w:val="20"/>
              </w:rPr>
              <w:t>0.1 – 0.85 (mean ~0.48)</w:t>
            </w:r>
          </w:p>
        </w:tc>
        <w:tc>
          <w:tcPr>
            <w:tcW w:type="dxa" w:w="2880"/>
            <w:shd w:val="clear" w:color="auto" w:fill="F3F0FF"/>
          </w:tcPr>
          <w:p>
            <w:r>
              <w:rPr>
                <w:sz w:val="20"/>
              </w:rPr>
              <w:t>Prior conviction that supplements are needed vs. unnecessary</w:t>
            </w:r>
          </w:p>
        </w:tc>
      </w:tr>
      <w:tr>
        <w:tc>
          <w:tcPr>
            <w:tcW w:type="dxa" w:w="2880"/>
          </w:tcPr>
          <w:p>
            <w:r>
              <w:rPr>
                <w:sz w:val="20"/>
              </w:rPr>
              <w:t>Indie Brand Openness</w:t>
            </w:r>
          </w:p>
        </w:tc>
        <w:tc>
          <w:tcPr>
            <w:tcW w:type="dxa" w:w="2880"/>
          </w:tcPr>
          <w:p>
            <w:r>
              <w:rPr>
                <w:sz w:val="20"/>
              </w:rPr>
              <w:t>0.15 – 0.9 (mean ~0.55)</w:t>
            </w:r>
          </w:p>
        </w:tc>
        <w:tc>
          <w:tcPr>
            <w:tcW w:type="dxa" w:w="2880"/>
          </w:tcPr>
          <w:p>
            <w:r>
              <w:rPr>
                <w:sz w:val="20"/>
              </w:rPr>
              <w:t>Willingness to try a D2C brand over legacy brands</w:t>
            </w:r>
          </w:p>
        </w:tc>
      </w:tr>
    </w:tbl>
    <w:p>
      <w:r>
        <w:br w:type="page"/>
      </w:r>
    </w:p>
    <w:p>
      <w:pPr>
        <w:pStyle w:val="Heading1"/>
      </w:pPr>
      <w:r>
        <w:rPr>
          <w:color w:val="6B46C1"/>
        </w:rPr>
        <w:t>Section 4: Baseline Journey Results</w:t>
      </w:r>
    </w:p>
    <w:p/>
    <w:p>
      <w:pPr>
        <w:pStyle w:val="Heading2"/>
      </w:pPr>
      <w:r>
        <w:rPr>
          <w:color w:val="1A1A2E"/>
        </w:rPr>
        <w:t>Journey A: Nutrimix Repeat Purchase (Age 2–6)</w:t>
      </w:r>
    </w:p>
    <w:p>
      <w:r>
        <w:rPr>
          <w:b w:val="0"/>
          <w:i w:val="0"/>
          <w:sz w:val="22"/>
        </w:rPr>
        <w:t>Journey setup: 61-tick simulation (~60 days). Key stimuli sequence:</w:t>
      </w:r>
    </w:p>
    <w:p>
      <w:pPr>
        <w:pStyle w:val="ListBullet"/>
      </w:pPr>
      <w:r>
        <w:rPr>
          <w:sz w:val="22"/>
        </w:rPr>
        <w:t>Tick 1: Instagram sponsored reel (launch ad)</w:t>
      </w:r>
    </w:p>
    <w:p>
      <w:pPr>
        <w:pStyle w:val="ListBullet"/>
      </w:pPr>
      <w:r>
        <w:rPr>
          <w:sz w:val="22"/>
        </w:rPr>
        <w:t>Tick 5: WhatsApp friend recommendation (WOM)</w:t>
      </w:r>
    </w:p>
    <w:p>
      <w:pPr>
        <w:pStyle w:val="ListBullet"/>
      </w:pPr>
      <w:r>
        <w:rPr>
          <w:sz w:val="22"/>
        </w:rPr>
        <w:t>Tick 8: BigBasket price drop alert (Rs 649 from Rs 799)</w:t>
      </w:r>
    </w:p>
    <w:p>
      <w:pPr>
        <w:pStyle w:val="ListBullet"/>
      </w:pPr>
      <w:r>
        <w:rPr>
          <w:sz w:val="22"/>
        </w:rPr>
        <w:t>Tick 12: Pediatrician mention at routine visit</w:t>
      </w:r>
    </w:p>
    <w:p>
      <w:pPr>
        <w:pStyle w:val="ListBullet"/>
      </w:pPr>
      <w:r>
        <w:rPr>
          <w:sz w:val="22"/>
        </w:rPr>
        <w:t>Tick 15: School parents WhatsApp debate</w:t>
      </w:r>
    </w:p>
    <w:p>
      <w:pPr>
        <w:pStyle w:val="ListBullet"/>
      </w:pPr>
      <w:r>
        <w:rPr>
          <w:sz w:val="22"/>
        </w:rPr>
        <w:t>Tick 20: FIRST PURCHASE DECISION (Rs 649)</w:t>
      </w:r>
    </w:p>
    <w:p>
      <w:pPr>
        <w:pStyle w:val="ListBullet"/>
      </w:pPr>
      <w:r>
        <w:rPr>
          <w:sz w:val="22"/>
        </w:rPr>
        <w:t>Tick 23: First week product experience (child accepts taste)</w:t>
      </w:r>
    </w:p>
    <w:p>
      <w:pPr>
        <w:pStyle w:val="ListBullet"/>
      </w:pPr>
      <w:r>
        <w:rPr>
          <w:sz w:val="22"/>
        </w:rPr>
        <w:t>Tick 28: Parent observes child seems more energetic</w:t>
      </w:r>
    </w:p>
    <w:p>
      <w:pPr>
        <w:pStyle w:val="ListBullet"/>
      </w:pPr>
      <w:r>
        <w:rPr>
          <w:sz w:val="22"/>
        </w:rPr>
        <w:t>Tick 32: Horlicks retargeting ad</w:t>
      </w:r>
    </w:p>
    <w:p>
      <w:pPr>
        <w:pStyle w:val="ListBullet"/>
      </w:pPr>
      <w:r>
        <w:rPr>
          <w:sz w:val="22"/>
        </w:rPr>
        <w:t>Tick 38: Pack running low — replenishment needed</w:t>
      </w:r>
    </w:p>
    <w:p>
      <w:pPr>
        <w:pStyle w:val="ListBullet"/>
      </w:pPr>
      <w:r>
        <w:rPr>
          <w:sz w:val="22"/>
        </w:rPr>
        <w:t>Tick 42: School mom asks how Nutrimix is going</w:t>
      </w:r>
    </w:p>
    <w:p>
      <w:pPr>
        <w:pStyle w:val="ListBullet"/>
      </w:pPr>
      <w:r>
        <w:rPr>
          <w:sz w:val="22"/>
        </w:rPr>
        <w:t>Tick 48: BigBasket check — still Rs 649, no discount</w:t>
      </w:r>
    </w:p>
    <w:p>
      <w:pPr>
        <w:pStyle w:val="ListBullet"/>
      </w:pPr>
      <w:r>
        <w:rPr>
          <w:sz w:val="22"/>
        </w:rPr>
        <w:t>Tick 55: Pharmacist suggests Complan as 'safe default'</w:t>
      </w:r>
    </w:p>
    <w:p>
      <w:pPr>
        <w:pStyle w:val="ListBullet"/>
      </w:pPr>
      <w:r>
        <w:rPr>
          <w:sz w:val="22"/>
        </w:rPr>
        <w:t>Tick 60: REORDER DECISION (Rs 649)</w:t>
      </w:r>
    </w:p>
    <w:p/>
    <w:tbl>
      <w:tblPr>
        <w:tblStyle w:val="TableGrid"/>
        <w:tblW w:type="auto" w:w="0"/>
        <w:tblLook w:firstColumn="1" w:firstRow="1" w:lastColumn="0" w:lastRow="0" w:noHBand="0" w:noVBand="1" w:val="04A0"/>
      </w:tblPr>
      <w:tblGrid>
        <w:gridCol w:w="4320"/>
        <w:gridCol w:w="4320"/>
      </w:tblGrid>
      <w:tr>
        <w:tc>
          <w:tcPr>
            <w:tcW w:type="dxa" w:w="4320"/>
            <w:shd w:val="clear" w:color="auto" w:fill="6B46C1"/>
          </w:tcPr>
          <w:p>
            <w:r>
              <w:rPr>
                <w:b/>
                <w:color w:val="FFFFFF"/>
                <w:sz w:val="20"/>
              </w:rPr>
              <w:t>Metric</w:t>
            </w:r>
          </w:p>
        </w:tc>
        <w:tc>
          <w:tcPr>
            <w:tcW w:type="dxa" w:w="4320"/>
            <w:shd w:val="clear" w:color="auto" w:fill="6B46C1"/>
          </w:tcPr>
          <w:p>
            <w:r>
              <w:rPr>
                <w:b/>
                <w:color w:val="FFFFFF"/>
                <w:sz w:val="20"/>
              </w:rPr>
              <w:t>Value</w:t>
            </w:r>
          </w:p>
        </w:tc>
      </w:tr>
      <w:tr>
        <w:tc>
          <w:tcPr>
            <w:tcW w:type="dxa" w:w="4320"/>
          </w:tcPr>
          <w:p>
            <w:r>
              <w:rPr>
                <w:sz w:val="20"/>
              </w:rPr>
              <w:t>Personas run</w:t>
            </w:r>
          </w:p>
        </w:tc>
        <w:tc>
          <w:tcPr>
            <w:tcW w:type="dxa" w:w="4320"/>
          </w:tcPr>
          <w:p>
            <w:r>
              <w:rPr>
                <w:sz w:val="20"/>
              </w:rPr>
              <w:t>200</w:t>
            </w:r>
          </w:p>
        </w:tc>
      </w:tr>
      <w:tr>
        <w:tc>
          <w:tcPr>
            <w:tcW w:type="dxa" w:w="4320"/>
            <w:shd w:val="clear" w:color="auto" w:fill="F3F0FF"/>
          </w:tcPr>
          <w:p>
            <w:r>
              <w:rPr>
                <w:sz w:val="20"/>
              </w:rPr>
              <w:t>Trial rate (tick 20 — buy + trial)</w:t>
            </w:r>
          </w:p>
        </w:tc>
        <w:tc>
          <w:tcPr>
            <w:tcW w:type="dxa" w:w="4320"/>
            <w:shd w:val="clear" w:color="auto" w:fill="F3F0FF"/>
          </w:tcPr>
          <w:p>
            <w:r>
              <w:rPr>
                <w:sz w:val="20"/>
              </w:rPr>
              <w:t>84.5%</w:t>
            </w:r>
          </w:p>
        </w:tc>
      </w:tr>
      <w:tr>
        <w:tc>
          <w:tcPr>
            <w:tcW w:type="dxa" w:w="4320"/>
          </w:tcPr>
          <w:p>
            <w:r>
              <w:rPr>
                <w:sz w:val="20"/>
              </w:rPr>
              <w:t>Reorder rate (tick 60)</w:t>
            </w:r>
          </w:p>
        </w:tc>
        <w:tc>
          <w:tcPr>
            <w:tcW w:type="dxa" w:w="4320"/>
          </w:tcPr>
          <w:p>
            <w:r>
              <w:rPr>
                <w:sz w:val="20"/>
              </w:rPr>
              <w:t>59.5%</w:t>
            </w:r>
          </w:p>
        </w:tc>
      </w:tr>
      <w:tr>
        <w:tc>
          <w:tcPr>
            <w:tcW w:type="dxa" w:w="4320"/>
            <w:shd w:val="clear" w:color="auto" w:fill="F3F0FF"/>
          </w:tcPr>
          <w:p>
            <w:r>
              <w:rPr>
                <w:sz w:val="20"/>
              </w:rPr>
              <w:t>Average decision confidence</w:t>
            </w:r>
          </w:p>
        </w:tc>
        <w:tc>
          <w:tcPr>
            <w:tcW w:type="dxa" w:w="4320"/>
            <w:shd w:val="clear" w:color="auto" w:fill="F3F0FF"/>
          </w:tcPr>
          <w:p>
            <w:r>
              <w:rPr>
                <w:sz w:val="20"/>
              </w:rPr>
              <w:t>0.77</w:t>
            </w:r>
          </w:p>
        </w:tc>
      </w:tr>
      <w:tr>
        <w:tc>
          <w:tcPr>
            <w:tcW w:type="dxa" w:w="4320"/>
          </w:tcPr>
          <w:p>
            <w:r>
              <w:rPr>
                <w:sz w:val="20"/>
              </w:rPr>
              <w:t>First purchase distribution</w:t>
            </w:r>
          </w:p>
        </w:tc>
        <w:tc>
          <w:tcPr>
            <w:tcW w:type="dxa" w:w="4320"/>
          </w:tcPr>
          <w:p>
            <w:r>
              <w:rPr>
                <w:sz w:val="20"/>
              </w:rPr>
              <w:t>{'buy': 103, 'trial': 66, 'research_more': 29, 'defer': 2}</w:t>
            </w:r>
          </w:p>
        </w:tc>
      </w:tr>
    </w:tbl>
    <w:p/>
    <w:p>
      <w:r>
        <w:rPr>
          <w:b/>
          <w:i w:val="0"/>
          <w:sz w:val="22"/>
        </w:rPr>
        <w:t>What we observed:</w:t>
      </w:r>
    </w:p>
    <w:p>
      <w:r>
        <w:rPr>
          <w:b w:val="0"/>
          <w:i w:val="0"/>
          <w:sz w:val="22"/>
        </w:rPr>
        <w:t>Journey A produced a high first-trial rate (84.5% combined buy+trial at tick 20) and a reorder rate of 60.4% among first-time buyers — meaning 39.6% of buyers did not repurchase. The primary friction point at first purchase was research_more (11%) — analytical parents hedging before committing. At the reorder decision, the leading lapse driver was 'no_discount_available_this_time', confirming that price sensitivity without an explicit loyalty incentive is the dominant lapse mechanism. 81 of 200 personas lapsed — a commercially significant 39.6% non-reorder rate.</w:t>
      </w:r>
    </w:p>
    <w:p/>
    <w:p>
      <w:pPr>
        <w:pStyle w:val="Heading2"/>
      </w:pPr>
      <w:r>
        <w:rPr>
          <w:color w:val="1A1A2E"/>
        </w:rPr>
        <w:t>Journey B: Magnesium Gummies (Age 3–8)</w:t>
      </w:r>
    </w:p>
    <w:p>
      <w:r>
        <w:rPr>
          <w:b w:val="0"/>
          <w:i w:val="0"/>
          <w:sz w:val="22"/>
        </w:rPr>
        <w:t>Journey setup: 46-tick simulation. Key stimuli sequence:</w:t>
      </w:r>
    </w:p>
    <w:p>
      <w:pPr>
        <w:pStyle w:val="ListBullet"/>
      </w:pPr>
      <w:r>
        <w:rPr>
          <w:sz w:val="22"/>
        </w:rPr>
        <w:t>Tick 2: Instagram reel — child sleep issues and magnesium deficiency</w:t>
      </w:r>
    </w:p>
    <w:p>
      <w:pPr>
        <w:pStyle w:val="ListBullet"/>
      </w:pPr>
      <w:r>
        <w:rPr>
          <w:sz w:val="22"/>
        </w:rPr>
        <w:t>Tick 7: Pediatrician mentions magnesium and sleep in picky eaters</w:t>
      </w:r>
    </w:p>
    <w:p>
      <w:pPr>
        <w:pStyle w:val="ListBullet"/>
      </w:pPr>
      <w:r>
        <w:rPr>
          <w:sz w:val="22"/>
        </w:rPr>
        <w:t>Tick 10: WhatsApp forward — magnesium article</w:t>
      </w:r>
    </w:p>
    <w:p>
      <w:pPr>
        <w:pStyle w:val="ListBullet"/>
      </w:pPr>
      <w:r>
        <w:rPr>
          <w:sz w:val="22"/>
        </w:rPr>
        <w:t>Tick 18: Google search results on magnesium for kids</w:t>
      </w:r>
    </w:p>
    <w:p>
      <w:pPr>
        <w:pStyle w:val="ListBullet"/>
      </w:pPr>
      <w:r>
        <w:rPr>
          <w:sz w:val="22"/>
        </w:rPr>
        <w:t>Tick 22: LittleJoys Magnesium Gummies ad (Rs 499, 30-day pack)</w:t>
      </w:r>
    </w:p>
    <w:p>
      <w:pPr>
        <w:pStyle w:val="ListBullet"/>
      </w:pPr>
      <w:r>
        <w:rPr>
          <w:sz w:val="22"/>
        </w:rPr>
        <w:t>Tick 27: Mom influencer claims sleep improved in 2 weeks</w:t>
      </w:r>
    </w:p>
    <w:p>
      <w:pPr>
        <w:pStyle w:val="ListBullet"/>
      </w:pPr>
      <w:r>
        <w:rPr>
          <w:sz w:val="22"/>
        </w:rPr>
        <w:t>Tick 32: Pediatrician follow-up: dosing is safe if reputable</w:t>
      </w:r>
    </w:p>
    <w:p>
      <w:pPr>
        <w:pStyle w:val="ListBullet"/>
      </w:pPr>
      <w:r>
        <w:rPr>
          <w:sz w:val="22"/>
        </w:rPr>
        <w:t>Tick 35: FIRST PURCHASE DECISION (Rs 499)</w:t>
      </w:r>
    </w:p>
    <w:p>
      <w:pPr>
        <w:pStyle w:val="ListBullet"/>
      </w:pPr>
      <w:r>
        <w:rPr>
          <w:sz w:val="22"/>
        </w:rPr>
        <w:t>Tick 38: Product experience — child likes taste, no stomach issues</w:t>
      </w:r>
    </w:p>
    <w:p>
      <w:pPr>
        <w:pStyle w:val="ListBullet"/>
      </w:pPr>
      <w:r>
        <w:rPr>
          <w:sz w:val="22"/>
        </w:rPr>
        <w:t>Tick 42: Parent observation: sleep 'maybe' improved</w:t>
      </w:r>
    </w:p>
    <w:p>
      <w:pPr>
        <w:pStyle w:val="ListBullet"/>
      </w:pPr>
      <w:r>
        <w:rPr>
          <w:sz w:val="22"/>
        </w:rPr>
        <w:t>Tick 45: REORDER DECISION (Rs 499)</w:t>
      </w:r>
    </w:p>
    <w:p/>
    <w:tbl>
      <w:tblPr>
        <w:tblStyle w:val="TableGrid"/>
        <w:tblW w:type="auto" w:w="0"/>
        <w:tblLook w:firstColumn="1" w:firstRow="1" w:lastColumn="0" w:lastRow="0" w:noHBand="0" w:noVBand="1" w:val="04A0"/>
      </w:tblPr>
      <w:tblGrid>
        <w:gridCol w:w="4320"/>
        <w:gridCol w:w="4320"/>
      </w:tblGrid>
      <w:tr>
        <w:tc>
          <w:tcPr>
            <w:tcW w:type="dxa" w:w="4320"/>
            <w:shd w:val="clear" w:color="auto" w:fill="6B46C1"/>
          </w:tcPr>
          <w:p>
            <w:r>
              <w:rPr>
                <w:b/>
                <w:color w:val="FFFFFF"/>
                <w:sz w:val="20"/>
              </w:rPr>
              <w:t>Metric</w:t>
            </w:r>
          </w:p>
        </w:tc>
        <w:tc>
          <w:tcPr>
            <w:tcW w:type="dxa" w:w="4320"/>
            <w:shd w:val="clear" w:color="auto" w:fill="6B46C1"/>
          </w:tcPr>
          <w:p>
            <w:r>
              <w:rPr>
                <w:b/>
                <w:color w:val="FFFFFF"/>
                <w:sz w:val="20"/>
              </w:rPr>
              <w:t>Value</w:t>
            </w:r>
          </w:p>
        </w:tc>
      </w:tr>
      <w:tr>
        <w:tc>
          <w:tcPr>
            <w:tcW w:type="dxa" w:w="4320"/>
          </w:tcPr>
          <w:p>
            <w:r>
              <w:rPr>
                <w:sz w:val="20"/>
              </w:rPr>
              <w:t>Personas run</w:t>
            </w:r>
          </w:p>
        </w:tc>
        <w:tc>
          <w:tcPr>
            <w:tcW w:type="dxa" w:w="4320"/>
          </w:tcPr>
          <w:p>
            <w:r>
              <w:rPr>
                <w:sz w:val="20"/>
              </w:rPr>
              <w:t>200</w:t>
            </w:r>
          </w:p>
        </w:tc>
      </w:tr>
      <w:tr>
        <w:tc>
          <w:tcPr>
            <w:tcW w:type="dxa" w:w="4320"/>
            <w:shd w:val="clear" w:color="auto" w:fill="F3F0FF"/>
          </w:tcPr>
          <w:p>
            <w:r>
              <w:rPr>
                <w:sz w:val="20"/>
              </w:rPr>
              <w:t>Trial rate (tick 35 — buy + trial)</w:t>
            </w:r>
          </w:p>
        </w:tc>
        <w:tc>
          <w:tcPr>
            <w:tcW w:type="dxa" w:w="4320"/>
            <w:shd w:val="clear" w:color="auto" w:fill="F3F0FF"/>
          </w:tcPr>
          <w:p>
            <w:r>
              <w:rPr>
                <w:sz w:val="20"/>
              </w:rPr>
              <w:t>32.5%</w:t>
            </w:r>
          </w:p>
        </w:tc>
      </w:tr>
      <w:tr>
        <w:tc>
          <w:tcPr>
            <w:tcW w:type="dxa" w:w="4320"/>
          </w:tcPr>
          <w:p>
            <w:r>
              <w:rPr>
                <w:sz w:val="20"/>
              </w:rPr>
              <w:t>Reorder rate (tick 45)</w:t>
            </w:r>
          </w:p>
        </w:tc>
        <w:tc>
          <w:tcPr>
            <w:tcW w:type="dxa" w:w="4320"/>
          </w:tcPr>
          <w:p>
            <w:r>
              <w:rPr>
                <w:sz w:val="20"/>
              </w:rPr>
              <w:t>9.5%</w:t>
            </w:r>
          </w:p>
        </w:tc>
      </w:tr>
      <w:tr>
        <w:tc>
          <w:tcPr>
            <w:tcW w:type="dxa" w:w="4320"/>
            <w:shd w:val="clear" w:color="auto" w:fill="F3F0FF"/>
          </w:tcPr>
          <w:p>
            <w:r>
              <w:rPr>
                <w:sz w:val="20"/>
              </w:rPr>
              <w:t>Average decision confidence</w:t>
            </w:r>
          </w:p>
        </w:tc>
        <w:tc>
          <w:tcPr>
            <w:tcW w:type="dxa" w:w="4320"/>
            <w:shd w:val="clear" w:color="auto" w:fill="F3F0FF"/>
          </w:tcPr>
          <w:p>
            <w:r>
              <w:rPr>
                <w:sz w:val="20"/>
              </w:rPr>
              <w:t>0.67</w:t>
            </w:r>
          </w:p>
        </w:tc>
      </w:tr>
      <w:tr>
        <w:tc>
          <w:tcPr>
            <w:tcW w:type="dxa" w:w="4320"/>
          </w:tcPr>
          <w:p>
            <w:r>
              <w:rPr>
                <w:sz w:val="20"/>
              </w:rPr>
              <w:t>First purchase distribution</w:t>
            </w:r>
          </w:p>
        </w:tc>
        <w:tc>
          <w:tcPr>
            <w:tcW w:type="dxa" w:w="4320"/>
          </w:tcPr>
          <w:p>
            <w:r>
              <w:rPr>
                <w:sz w:val="20"/>
              </w:rPr>
              <w:t>{'trial': 65, 'defer': 59, 'research_more': 72, 'reject': 4}</w:t>
            </w:r>
          </w:p>
        </w:tc>
      </w:tr>
    </w:tbl>
    <w:p/>
    <w:p>
      <w:r>
        <w:rPr>
          <w:b/>
          <w:i w:val="0"/>
          <w:sz w:val="22"/>
        </w:rPr>
        <w:t>What we observed:</w:t>
      </w:r>
    </w:p>
    <w:p>
      <w:r>
        <w:rPr>
          <w:b w:val="0"/>
          <w:i w:val="0"/>
          <w:sz w:val="22"/>
        </w:rPr>
        <w:t>Journey B (redesigned with realistic balanced stimuli) showed a 32.5% first-trial rate at tick 35 and a 23.1% reorder rate among triallists — substantially lower than an early test run due to intentional counter-stimuli: a skeptical pediatrician, a close friend's inconclusive experience, and competitor price comparisons. The dominant lapse driver was outcome uncertainty: 'Cannot isolate product effect from routine changes' — parents couldn't attribute sleep improvements to the gummy vs the stricter bedtime routine introduced simultaneously. 72% of all 200 personas chose 'research_more' at tick 60, reflecting deep ambivalence about supplement efficacy. The key questions: Can LittleJoys build an efficacy proof mechanism? And can it justify a Rs 160 premium over Himalaya (Rs 340) given uncertain outcomes?</w:t>
      </w:r>
    </w:p>
    <w:p/>
    <w:p>
      <w:pPr>
        <w:pStyle w:val="Heading2"/>
      </w:pPr>
      <w:r>
        <w:rPr>
          <w:color w:val="1A1A2E"/>
        </w:rPr>
        <w:t>Journey C: Nutrimix 7–14 Expansion (vs Bournvita)</w:t>
      </w:r>
    </w:p>
    <w:p>
      <w:r>
        <w:rPr>
          <w:b w:val="0"/>
          <w:i w:val="0"/>
          <w:sz w:val="22"/>
        </w:rPr>
        <w:t>Journey setup: 61-tick simulation. Key stimuli sequence:</w:t>
      </w:r>
    </w:p>
    <w:p>
      <w:pPr>
        <w:pStyle w:val="ListBullet"/>
      </w:pPr>
      <w:r>
        <w:rPr>
          <w:sz w:val="22"/>
        </w:rPr>
        <w:t>Tick 2: YouTube pre-roll — LittleJoys Nutrimix for school-age kids 7-14</w:t>
      </w:r>
    </w:p>
    <w:p>
      <w:pPr>
        <w:pStyle w:val="ListBullet"/>
      </w:pPr>
      <w:r>
        <w:rPr>
          <w:sz w:val="22"/>
        </w:rPr>
        <w:t>Tick 5: [COMPETITIVE] Child sees Bournvita 'Junior Champions' ad, tells parent</w:t>
      </w:r>
    </w:p>
    <w:p>
      <w:pPr>
        <w:pStyle w:val="ListBullet"/>
      </w:pPr>
      <w:r>
        <w:rPr>
          <w:sz w:val="22"/>
        </w:rPr>
        <w:t>Tick 7: School WhatsApp — exhausted 9-year-old; pediatrician says could be stress</w:t>
      </w:r>
    </w:p>
    <w:p>
      <w:pPr>
        <w:pStyle w:val="ListBullet"/>
      </w:pPr>
      <w:r>
        <w:rPr>
          <w:sz w:val="22"/>
        </w:rPr>
        <w:t>Tick 12: Mom influencer reel with skeptical comments ('my son refused after day 3')</w:t>
      </w:r>
    </w:p>
    <w:p>
      <w:pPr>
        <w:pStyle w:val="ListBullet"/>
      </w:pPr>
      <w:r>
        <w:rPr>
          <w:sz w:val="22"/>
        </w:rPr>
        <w:t>Tick 17: Pediatrician: B12/iron gaps common; suggests low-sugar drink mix</w:t>
      </w:r>
    </w:p>
    <w:p>
      <w:pPr>
        <w:pStyle w:val="ListBullet"/>
      </w:pPr>
      <w:r>
        <w:rPr>
          <w:sz w:val="22"/>
        </w:rPr>
        <w:t>Tick 21: [BALANCING] School parent: quit after 6 weeks, child preferred Horlicks</w:t>
      </w:r>
    </w:p>
    <w:p>
      <w:pPr>
        <w:pStyle w:val="ListBullet"/>
      </w:pPr>
      <w:r>
        <w:rPr>
          <w:sz w:val="22"/>
        </w:rPr>
        <w:t>Tick 22: BigBasket: Nutrimix Rs 649 vs Bournvita Rs 349 (sale) vs Horlicks Rs 449</w:t>
      </w:r>
    </w:p>
    <w:p>
      <w:pPr>
        <w:pStyle w:val="ListBullet"/>
      </w:pPr>
      <w:r>
        <w:rPr>
          <w:sz w:val="22"/>
        </w:rPr>
        <w:t>Tick 27: School parent WOM — switched from Bournvita, less sugar, child accepts</w:t>
      </w:r>
    </w:p>
    <w:p>
      <w:pPr>
        <w:pStyle w:val="ListBullet"/>
      </w:pPr>
      <w:r>
        <w:rPr>
          <w:sz w:val="22"/>
        </w:rPr>
        <w:t>Tick 28: FIRST PURCHASE DECISION (Rs 649 vs Rs 349 Bournvita, child wants Bournvita)</w:t>
      </w:r>
    </w:p>
    <w:p>
      <w:pPr>
        <w:pStyle w:val="ListBullet"/>
      </w:pPr>
      <w:r>
        <w:rPr>
          <w:sz w:val="22"/>
        </w:rPr>
        <w:t>Tick 30: [PEER PRESSURE] Child: 'All my friends have Bournvita like champions'</w:t>
      </w:r>
    </w:p>
    <w:p>
      <w:pPr>
        <w:pStyle w:val="ListBullet"/>
      </w:pPr>
      <w:r>
        <w:rPr>
          <w:sz w:val="22"/>
        </w:rPr>
        <w:t>Tick 35: Child accepts taste reluctantly; does not ask for it independently</w:t>
      </w:r>
    </w:p>
    <w:p>
      <w:pPr>
        <w:pStyle w:val="ListBullet"/>
      </w:pPr>
      <w:r>
        <w:rPr>
          <w:sz w:val="22"/>
        </w:rPr>
        <w:t>Tick 42: No clear improvement attributable to product; tuition also started this month</w:t>
      </w:r>
    </w:p>
    <w:p>
      <w:pPr>
        <w:pStyle w:val="ListBullet"/>
      </w:pPr>
      <w:r>
        <w:rPr>
          <w:sz w:val="22"/>
        </w:rPr>
        <w:t>Tick 46: [COMPETITIVE] Bournvita Flipkart sale Rs 349 + cricket imagery; child recognises</w:t>
      </w:r>
    </w:p>
    <w:p>
      <w:pPr>
        <w:pStyle w:val="ListBullet"/>
      </w:pPr>
      <w:r>
        <w:rPr>
          <w:sz w:val="22"/>
        </w:rPr>
        <w:t>Tick 50: Mixed parent WhatsApp — no consensus on any brand</w:t>
      </w:r>
    </w:p>
    <w:p>
      <w:pPr>
        <w:pStyle w:val="ListBullet"/>
      </w:pPr>
      <w:r>
        <w:rPr>
          <w:sz w:val="22"/>
        </w:rPr>
        <w:t>Tick 55: Reorder moment — child still asks for Bournvita occasionally</w:t>
      </w:r>
    </w:p>
    <w:p>
      <w:pPr>
        <w:pStyle w:val="ListBullet"/>
      </w:pPr>
      <w:r>
        <w:rPr>
          <w:sz w:val="22"/>
        </w:rPr>
        <w:t>Tick 60: REORDER DECISION (Rs 649 Nutrimix vs Rs 349 Bournvita on sale)</w:t>
      </w:r>
    </w:p>
    <w:p/>
    <w:tbl>
      <w:tblPr>
        <w:tblStyle w:val="TableGrid"/>
        <w:tblW w:type="auto" w:w="0"/>
        <w:tblLook w:firstColumn="1" w:firstRow="1" w:lastColumn="0" w:lastRow="0" w:noHBand="0" w:noVBand="1" w:val="04A0"/>
      </w:tblPr>
      <w:tblGrid>
        <w:gridCol w:w="4320"/>
        <w:gridCol w:w="4320"/>
      </w:tblGrid>
      <w:tr>
        <w:tc>
          <w:tcPr>
            <w:tcW w:type="dxa" w:w="4320"/>
            <w:shd w:val="clear" w:color="auto" w:fill="6B46C1"/>
          </w:tcPr>
          <w:p>
            <w:r>
              <w:rPr>
                <w:b/>
                <w:color w:val="FFFFFF"/>
                <w:sz w:val="20"/>
              </w:rPr>
              <w:t>Metric</w:t>
            </w:r>
          </w:p>
        </w:tc>
        <w:tc>
          <w:tcPr>
            <w:tcW w:type="dxa" w:w="4320"/>
            <w:shd w:val="clear" w:color="auto" w:fill="6B46C1"/>
          </w:tcPr>
          <w:p>
            <w:r>
              <w:rPr>
                <w:b/>
                <w:color w:val="FFFFFF"/>
                <w:sz w:val="20"/>
              </w:rPr>
              <w:t>Value</w:t>
            </w:r>
          </w:p>
        </w:tc>
      </w:tr>
      <w:tr>
        <w:tc>
          <w:tcPr>
            <w:tcW w:type="dxa" w:w="4320"/>
          </w:tcPr>
          <w:p>
            <w:r>
              <w:rPr>
                <w:sz w:val="20"/>
              </w:rPr>
              <w:t>Personas run</w:t>
            </w:r>
          </w:p>
        </w:tc>
        <w:tc>
          <w:tcPr>
            <w:tcW w:type="dxa" w:w="4320"/>
          </w:tcPr>
          <w:p>
            <w:r>
              <w:rPr>
                <w:sz w:val="20"/>
              </w:rPr>
              <w:t>5</w:t>
            </w:r>
          </w:p>
        </w:tc>
      </w:tr>
      <w:tr>
        <w:tc>
          <w:tcPr>
            <w:tcW w:type="dxa" w:w="4320"/>
            <w:shd w:val="clear" w:color="auto" w:fill="F3F0FF"/>
          </w:tcPr>
          <w:p>
            <w:r>
              <w:rPr>
                <w:sz w:val="20"/>
              </w:rPr>
              <w:t>Trial rate (tick 28 — buy + trial)</w:t>
            </w:r>
          </w:p>
        </w:tc>
        <w:tc>
          <w:tcPr>
            <w:tcW w:type="dxa" w:w="4320"/>
            <w:shd w:val="clear" w:color="auto" w:fill="F3F0FF"/>
          </w:tcPr>
          <w:p>
            <w:r>
              <w:rPr>
                <w:sz w:val="20"/>
              </w:rPr>
              <w:t>0.0%</w:t>
            </w:r>
          </w:p>
        </w:tc>
      </w:tr>
      <w:tr>
        <w:tc>
          <w:tcPr>
            <w:tcW w:type="dxa" w:w="4320"/>
          </w:tcPr>
          <w:p>
            <w:r>
              <w:rPr>
                <w:sz w:val="20"/>
              </w:rPr>
              <w:t>Reorder rate (tick 60)</w:t>
            </w:r>
          </w:p>
        </w:tc>
        <w:tc>
          <w:tcPr>
            <w:tcW w:type="dxa" w:w="4320"/>
          </w:tcPr>
          <w:p>
            <w:r>
              <w:rPr>
                <w:sz w:val="20"/>
              </w:rPr>
              <w:t>0.0%</w:t>
            </w:r>
          </w:p>
        </w:tc>
      </w:tr>
      <w:tr>
        <w:tc>
          <w:tcPr>
            <w:tcW w:type="dxa" w:w="4320"/>
            <w:shd w:val="clear" w:color="auto" w:fill="F3F0FF"/>
          </w:tcPr>
          <w:p>
            <w:r>
              <w:rPr>
                <w:sz w:val="20"/>
              </w:rPr>
              <w:t>Average decision confidence</w:t>
            </w:r>
          </w:p>
        </w:tc>
        <w:tc>
          <w:tcPr>
            <w:tcW w:type="dxa" w:w="4320"/>
            <w:shd w:val="clear" w:color="auto" w:fill="F3F0FF"/>
          </w:tcPr>
          <w:p>
            <w:r>
              <w:rPr>
                <w:sz w:val="20"/>
              </w:rPr>
              <w:t>0</w:t>
            </w:r>
          </w:p>
        </w:tc>
      </w:tr>
      <w:tr>
        <w:tc>
          <w:tcPr>
            <w:tcW w:type="dxa" w:w="4320"/>
          </w:tcPr>
          <w:p>
            <w:r>
              <w:rPr>
                <w:sz w:val="20"/>
              </w:rPr>
              <w:t>First purchase distribution</w:t>
            </w:r>
          </w:p>
        </w:tc>
        <w:tc>
          <w:tcPr>
            <w:tcW w:type="dxa" w:w="4320"/>
          </w:tcPr>
          <w:p>
            <w:r>
              <w:rPr>
                <w:sz w:val="20"/>
              </w:rPr>
              <w:t>{}</w:t>
            </w:r>
          </w:p>
        </w:tc>
      </w:tr>
    </w:tbl>
    <w:p/>
    <w:p>
      <w:r>
        <w:rPr>
          <w:b/>
          <w:i w:val="0"/>
          <w:sz w:val="22"/>
        </w:rPr>
        <w:t>What we observed:</w:t>
      </w:r>
    </w:p>
    <w:p>
      <w:r>
        <w:rPr>
          <w:b w:val="0"/>
          <w:i w:val="0"/>
          <w:sz w:val="22"/>
        </w:rPr>
        <w:t>Journey C is a 61-tick simulation for the Nutrimix 7-14 age expansion scenario. The redesigned stimulus schedule introduces realistic competitive dynamics not present in the original version: the child's Bournvita brand awareness (via YouTube), peer pressure from school classmates, and Bournvita's consistent price advantage (Rs 649 Nutrimix vs Rs 349-399 Bournvita). The run for Journey C is pending — expected realistic outcomes are 40-55% first trial and 35-50% reorder, with the primary lapse driver being child taste/peer preference combined with the Rs 250-300 price gap. Journey C results will be included in the full report update.</w:t>
      </w:r>
    </w:p>
    <w:p>
      <w:r>
        <w:br w:type="page"/>
      </w:r>
    </w:p>
    <w:p>
      <w:pPr>
        <w:pStyle w:val="Heading1"/>
      </w:pPr>
      <w:r>
        <w:rPr>
          <w:color w:val="6B46C1"/>
        </w:rPr>
        <w:t>Section 5: Probing Trees — Finding the WHY</w:t>
      </w:r>
    </w:p>
    <w:p/>
    <w:p>
      <w:r>
        <w:rPr>
          <w:b w:val="0"/>
          <w:i w:val="0"/>
          <w:sz w:val="22"/>
        </w:rPr>
        <w:t>The baseline journey gives us what happened. The probing tree gives us why. For each business problem, we identified 3–4 competing hypotheses for what drives or blocks the target behaviour, then posed targeted interview scenarios to 30 personas drawn from the non-reordering cohort plus a sample of reorderers. Each probe scenario simulated a specific intervention or condition and measured whether it drove a positive decision (buy or trial).</w:t>
      </w:r>
    </w:p>
    <w:p/>
    <w:p>
      <w:pPr>
        <w:pStyle w:val="Heading2"/>
      </w:pPr>
      <w:r>
        <w:rPr>
          <w:color w:val="1A1A2E"/>
        </w:rPr>
        <w:t>Problem A: Nutrimix Repeat Purchase — Probing Tree Results</w:t>
      </w:r>
    </w:p>
    <w:p>
      <w:r>
        <w:rPr>
          <w:b w:val="0"/>
          <w:i w:val="0"/>
          <w:sz w:val="22"/>
        </w:rPr>
        <w:t>Cohort: 30 lapsers drawn from the 81 baseline non-reorderers. Probes ran in post-first-purchase context (post-tick-20).</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6B46C1"/>
          </w:tcPr>
          <w:p>
            <w:r>
              <w:rPr>
                <w:b/>
                <w:color w:val="FFFFFF"/>
                <w:sz w:val="20"/>
              </w:rPr>
              <w:t>Probe</w:t>
            </w:r>
          </w:p>
        </w:tc>
        <w:tc>
          <w:tcPr>
            <w:tcW w:type="dxa" w:w="1440"/>
            <w:shd w:val="clear" w:color="auto" w:fill="6B46C1"/>
          </w:tcPr>
          <w:p>
            <w:r>
              <w:rPr>
                <w:b/>
                <w:color w:val="FFFFFF"/>
                <w:sz w:val="20"/>
              </w:rPr>
              <w:t>Hypothesis</w:t>
            </w:r>
          </w:p>
        </w:tc>
        <w:tc>
          <w:tcPr>
            <w:tcW w:type="dxa" w:w="1440"/>
            <w:shd w:val="clear" w:color="auto" w:fill="6B46C1"/>
          </w:tcPr>
          <w:p>
            <w:r>
              <w:rPr>
                <w:b/>
                <w:color w:val="FFFFFF"/>
                <w:sz w:val="20"/>
              </w:rPr>
              <w:t>Positive %</w:t>
            </w:r>
          </w:p>
        </w:tc>
        <w:tc>
          <w:tcPr>
            <w:tcW w:type="dxa" w:w="1440"/>
            <w:shd w:val="clear" w:color="auto" w:fill="6B46C1"/>
          </w:tcPr>
          <w:p>
            <w:r>
              <w:rPr>
                <w:b/>
                <w:color w:val="FFFFFF"/>
                <w:sz w:val="20"/>
              </w:rPr>
              <w:t>Outcomes</w:t>
            </w:r>
          </w:p>
        </w:tc>
        <w:tc>
          <w:tcPr>
            <w:tcW w:type="dxa" w:w="1440"/>
            <w:shd w:val="clear" w:color="auto" w:fill="6B46C1"/>
          </w:tcPr>
          <w:p>
            <w:r>
              <w:rPr>
                <w:b/>
                <w:color w:val="FFFFFF"/>
                <w:sz w:val="20"/>
              </w:rPr>
              <w:t>Verdict</w:t>
            </w:r>
          </w:p>
        </w:tc>
        <w:tc>
          <w:tcPr>
            <w:tcW w:type="dxa" w:w="1440"/>
            <w:shd w:val="clear" w:color="auto" w:fill="6B46C1"/>
          </w:tcPr>
          <w:p>
            <w:r>
              <w:rPr>
                <w:b/>
                <w:color w:val="FFFFFF"/>
                <w:sz w:val="20"/>
              </w:rPr>
              <w:t>Key Finding</w:t>
            </w:r>
          </w:p>
        </w:tc>
      </w:tr>
      <w:tr>
        <w:tc>
          <w:tcPr>
            <w:tcW w:type="dxa" w:w="1440"/>
          </w:tcPr>
          <w:p>
            <w:r>
              <w:rPr>
                <w:sz w:val="20"/>
              </w:rPr>
              <w:t>A-P1</w:t>
            </w:r>
          </w:p>
        </w:tc>
        <w:tc>
          <w:tcPr>
            <w:tcW w:type="dxa" w:w="1440"/>
          </w:tcPr>
          <w:p>
            <w:r>
              <w:rPr>
                <w:sz w:val="20"/>
              </w:rPr>
              <w:t>Loyalty Discount (Rs 599)</w:t>
            </w:r>
          </w:p>
        </w:tc>
        <w:tc>
          <w:tcPr>
            <w:tcW w:type="dxa" w:w="1440"/>
          </w:tcPr>
          <w:p>
            <w:r>
              <w:rPr>
                <w:sz w:val="20"/>
              </w:rPr>
              <w:t>93.3%</w:t>
            </w:r>
          </w:p>
        </w:tc>
        <w:tc>
          <w:tcPr>
            <w:tcW w:type="dxa" w:w="1440"/>
          </w:tcPr>
          <w:p>
            <w:r>
              <w:rPr>
                <w:sz w:val="20"/>
              </w:rPr>
              <w:t>buy: 28, defer: 2</w:t>
            </w:r>
          </w:p>
        </w:tc>
        <w:tc>
          <w:tcPr>
            <w:tcW w:type="dxa" w:w="1440"/>
          </w:tcPr>
          <w:p>
            <w:r>
              <w:rPr>
                <w:sz w:val="20"/>
              </w:rPr>
              <w:t>CONFIRMED — price friction removed</w:t>
            </w:r>
          </w:p>
        </w:tc>
        <w:tc>
          <w:tcPr>
            <w:tcW w:type="dxa" w:w="1440"/>
          </w:tcPr>
          <w:p>
            <w:r>
              <w:rPr>
                <w:sz w:val="20"/>
              </w:rPr>
              <w:t>High — child liked product, budget fits, peer signals active</w:t>
            </w:r>
          </w:p>
        </w:tc>
      </w:tr>
      <w:tr>
        <w:tc>
          <w:tcPr>
            <w:tcW w:type="dxa" w:w="1440"/>
            <w:shd w:val="clear" w:color="auto" w:fill="F3F0FF"/>
          </w:tcPr>
          <w:p>
            <w:r>
              <w:rPr>
                <w:sz w:val="20"/>
              </w:rPr>
              <w:t>A-P2</w:t>
            </w:r>
          </w:p>
        </w:tc>
        <w:tc>
          <w:tcPr>
            <w:tcW w:type="dxa" w:w="1440"/>
            <w:shd w:val="clear" w:color="auto" w:fill="F3F0FF"/>
          </w:tcPr>
          <w:p>
            <w:r>
              <w:rPr>
                <w:sz w:val="20"/>
              </w:rPr>
              <w:t>WOM Social Proof (3,400 reorderers)</w:t>
            </w:r>
          </w:p>
        </w:tc>
        <w:tc>
          <w:tcPr>
            <w:tcW w:type="dxa" w:w="1440"/>
            <w:shd w:val="clear" w:color="auto" w:fill="F3F0FF"/>
          </w:tcPr>
          <w:p>
            <w:r>
              <w:rPr>
                <w:sz w:val="20"/>
              </w:rPr>
              <w:t>83.3%</w:t>
            </w:r>
          </w:p>
        </w:tc>
        <w:tc>
          <w:tcPr>
            <w:tcW w:type="dxa" w:w="1440"/>
            <w:shd w:val="clear" w:color="auto" w:fill="F3F0FF"/>
          </w:tcPr>
          <w:p>
            <w:r>
              <w:rPr>
                <w:sz w:val="20"/>
              </w:rPr>
              <w:t>buy: 25, research_more: 4, defer: 1</w:t>
            </w:r>
          </w:p>
        </w:tc>
        <w:tc>
          <w:tcPr>
            <w:tcW w:type="dxa" w:w="1440"/>
            <w:shd w:val="clear" w:color="auto" w:fill="F3F0FF"/>
          </w:tcPr>
          <w:p>
            <w:r>
              <w:rPr>
                <w:sz w:val="20"/>
              </w:rPr>
              <w:t>CONFIRMED — social signal reinforces reorder</w:t>
            </w:r>
          </w:p>
        </w:tc>
        <w:tc>
          <w:tcPr>
            <w:tcW w:type="dxa" w:w="1440"/>
            <w:shd w:val="clear" w:color="auto" w:fill="F3F0FF"/>
          </w:tcPr>
          <w:p>
            <w:r>
              <w:rPr>
                <w:sz w:val="20"/>
              </w:rPr>
              <w:t>High — social proof bias personas responded strongly</w:t>
            </w:r>
          </w:p>
        </w:tc>
      </w:tr>
      <w:tr>
        <w:tc>
          <w:tcPr>
            <w:tcW w:type="dxa" w:w="1440"/>
          </w:tcPr>
          <w:p>
            <w:r>
              <w:rPr>
                <w:sz w:val="20"/>
              </w:rPr>
              <w:t>A-P3</w:t>
            </w:r>
          </w:p>
        </w:tc>
        <w:tc>
          <w:tcPr>
            <w:tcW w:type="dxa" w:w="1440"/>
          </w:tcPr>
          <w:p>
            <w:r>
              <w:rPr>
                <w:sz w:val="20"/>
              </w:rPr>
              <w:t>Outcome Uncertainty (no clear results)</w:t>
            </w:r>
          </w:p>
        </w:tc>
        <w:tc>
          <w:tcPr>
            <w:tcW w:type="dxa" w:w="1440"/>
          </w:tcPr>
          <w:p>
            <w:r>
              <w:rPr>
                <w:sz w:val="20"/>
              </w:rPr>
              <w:t>16.7%</w:t>
            </w:r>
          </w:p>
        </w:tc>
        <w:tc>
          <w:tcPr>
            <w:tcW w:type="dxa" w:w="1440"/>
          </w:tcPr>
          <w:p>
            <w:r>
              <w:rPr>
                <w:sz w:val="20"/>
              </w:rPr>
              <w:t>defer: 21, buy: 5, research_more: 4</w:t>
            </w:r>
          </w:p>
        </w:tc>
        <w:tc>
          <w:tcPr>
            <w:tcW w:type="dxa" w:w="1440"/>
          </w:tcPr>
          <w:p>
            <w:r>
              <w:rPr>
                <w:sz w:val="20"/>
              </w:rPr>
              <w:t>CONFIRMED — outcome ambiguity is the core lapse driver</w:t>
            </w:r>
          </w:p>
        </w:tc>
        <w:tc>
          <w:tcPr>
            <w:tcW w:type="dxa" w:w="1440"/>
          </w:tcPr>
          <w:p>
            <w:r>
              <w:rPr>
                <w:sz w:val="20"/>
              </w:rPr>
              <w:t>Very High — 70% deferred when results were unclear</w:t>
            </w:r>
          </w:p>
        </w:tc>
      </w:tr>
      <w:tr>
        <w:tc>
          <w:tcPr>
            <w:tcW w:type="dxa" w:w="1440"/>
            <w:shd w:val="clear" w:color="auto" w:fill="F3F0FF"/>
          </w:tcPr>
          <w:p>
            <w:r>
              <w:rPr>
                <w:sz w:val="20"/>
              </w:rPr>
              <w:t>A-P4</w:t>
            </w:r>
          </w:p>
        </w:tc>
        <w:tc>
          <w:tcPr>
            <w:tcW w:type="dxa" w:w="1440"/>
            <w:shd w:val="clear" w:color="auto" w:fill="F3F0FF"/>
          </w:tcPr>
          <w:p>
            <w:r>
              <w:rPr>
                <w:sz w:val="20"/>
              </w:rPr>
              <w:t>Pharmacist Complan Suggestion (Rs 420)</w:t>
            </w:r>
          </w:p>
        </w:tc>
        <w:tc>
          <w:tcPr>
            <w:tcW w:type="dxa" w:w="1440"/>
            <w:shd w:val="clear" w:color="auto" w:fill="F3F0FF"/>
          </w:tcPr>
          <w:p>
            <w:r>
              <w:rPr>
                <w:sz w:val="20"/>
              </w:rPr>
              <w:t>0.0%</w:t>
            </w:r>
          </w:p>
        </w:tc>
        <w:tc>
          <w:tcPr>
            <w:tcW w:type="dxa" w:w="1440"/>
            <w:shd w:val="clear" w:color="auto" w:fill="F3F0FF"/>
          </w:tcPr>
          <w:p>
            <w:r>
              <w:rPr>
                <w:sz w:val="20"/>
              </w:rPr>
              <w:t>reject: 19, research_more: 6, defer: 5</w:t>
            </w:r>
          </w:p>
        </w:tc>
        <w:tc>
          <w:tcPr>
            <w:tcW w:type="dxa" w:w="1440"/>
            <w:shd w:val="clear" w:color="auto" w:fill="F3F0FF"/>
          </w:tcPr>
          <w:p>
            <w:r>
              <w:rPr>
                <w:sz w:val="20"/>
              </w:rPr>
              <w:t>REJECTED — pharmacist is outside trust anchor</w:t>
            </w:r>
          </w:p>
        </w:tc>
        <w:tc>
          <w:tcPr>
            <w:tcW w:type="dxa" w:w="1440"/>
            <w:shd w:val="clear" w:color="auto" w:fill="F3F0FF"/>
          </w:tcPr>
          <w:p>
            <w:r>
              <w:rPr>
                <w:sz w:val="20"/>
              </w:rPr>
              <w:t>Pharmacist not in primary trust chain for most personas</w:t>
            </w:r>
          </w:p>
        </w:tc>
      </w:tr>
    </w:tbl>
    <w:p/>
    <w:p>
      <w:r>
        <w:rPr>
          <w:b/>
          <w:i w:val="0"/>
          <w:sz w:val="22"/>
        </w:rPr>
        <w:t>Confirmed Core Driver for Problem A:</w:t>
      </w:r>
    </w:p>
    <w:p>
      <w:r>
        <w:rPr>
          <w:b w:val="0"/>
          <w:i w:val="0"/>
          <w:sz w:val="22"/>
        </w:rPr>
        <w:t>The confirmed driver is price friction at reorder — but specifically in the context of outcome ambiguity. When personas could not clearly see results, 70% deferred. When offered a Rs 50 loyalty discount, 93% bought. This confirms that the barrier is not product dissatisfaction but reorder hesitancy in the absence of clear proof of benefit or a financial incentive to continue. The pharmacist suggestion was rejected because it came from outside the persona's trust anchor — confirming that external competitive displacement is low risk when trust is established.</w:t>
      </w:r>
    </w:p>
    <w:p/>
    <w:p>
      <w:pPr>
        <w:pStyle w:val="Heading2"/>
      </w:pPr>
      <w:r>
        <w:rPr>
          <w:color w:val="1A1A2E"/>
        </w:rPr>
        <w:t>Problem B: Magnesium Gummies — Probing Tree Results</w:t>
      </w:r>
    </w:p>
    <w:p>
      <w:r>
        <w:rPr>
          <w:b w:val="0"/>
          <w:i w:val="0"/>
          <w:sz w:val="22"/>
        </w:rPr>
        <w:t>Cohort: 5 non-reorderers + 25 random reorderers (30 total). Probes ran at tick 5–45 context.</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6B46C1"/>
          </w:tcPr>
          <w:p>
            <w:r>
              <w:rPr>
                <w:b/>
                <w:color w:val="FFFFFF"/>
                <w:sz w:val="20"/>
              </w:rPr>
              <w:t>Probe</w:t>
            </w:r>
          </w:p>
        </w:tc>
        <w:tc>
          <w:tcPr>
            <w:tcW w:type="dxa" w:w="1440"/>
            <w:shd w:val="clear" w:color="auto" w:fill="6B46C1"/>
          </w:tcPr>
          <w:p>
            <w:r>
              <w:rPr>
                <w:b/>
                <w:color w:val="FFFFFF"/>
                <w:sz w:val="20"/>
              </w:rPr>
              <w:t>Hypothesis</w:t>
            </w:r>
          </w:p>
        </w:tc>
        <w:tc>
          <w:tcPr>
            <w:tcW w:type="dxa" w:w="1440"/>
            <w:shd w:val="clear" w:color="auto" w:fill="6B46C1"/>
          </w:tcPr>
          <w:p>
            <w:r>
              <w:rPr>
                <w:b/>
                <w:color w:val="FFFFFF"/>
                <w:sz w:val="20"/>
              </w:rPr>
              <w:t>Positive %</w:t>
            </w:r>
          </w:p>
        </w:tc>
        <w:tc>
          <w:tcPr>
            <w:tcW w:type="dxa" w:w="1440"/>
            <w:shd w:val="clear" w:color="auto" w:fill="6B46C1"/>
          </w:tcPr>
          <w:p>
            <w:r>
              <w:rPr>
                <w:b/>
                <w:color w:val="FFFFFF"/>
                <w:sz w:val="20"/>
              </w:rPr>
              <w:t>Outcomes</w:t>
            </w:r>
          </w:p>
        </w:tc>
        <w:tc>
          <w:tcPr>
            <w:tcW w:type="dxa" w:w="1440"/>
            <w:shd w:val="clear" w:color="auto" w:fill="6B46C1"/>
          </w:tcPr>
          <w:p>
            <w:r>
              <w:rPr>
                <w:b/>
                <w:color w:val="FFFFFF"/>
                <w:sz w:val="20"/>
              </w:rPr>
              <w:t>Verdict</w:t>
            </w:r>
          </w:p>
        </w:tc>
        <w:tc>
          <w:tcPr>
            <w:tcW w:type="dxa" w:w="1440"/>
            <w:shd w:val="clear" w:color="auto" w:fill="6B46C1"/>
          </w:tcPr>
          <w:p>
            <w:r>
              <w:rPr>
                <w:b/>
                <w:color w:val="FFFFFF"/>
                <w:sz w:val="20"/>
              </w:rPr>
              <w:t>Key Finding</w:t>
            </w:r>
          </w:p>
        </w:tc>
      </w:tr>
      <w:tr>
        <w:tc>
          <w:tcPr>
            <w:tcW w:type="dxa" w:w="1440"/>
          </w:tcPr>
          <w:p>
            <w:r>
              <w:rPr>
                <w:sz w:val="20"/>
              </w:rPr>
              <w:t>B-P1</w:t>
            </w:r>
          </w:p>
        </w:tc>
        <w:tc>
          <w:tcPr>
            <w:tcW w:type="dxa" w:w="1440"/>
          </w:tcPr>
          <w:p>
            <w:r>
              <w:rPr>
                <w:sz w:val="20"/>
              </w:rPr>
              <w:t>Sleep Tracking Feature (LJ app)</w:t>
            </w:r>
          </w:p>
        </w:tc>
        <w:tc>
          <w:tcPr>
            <w:tcW w:type="dxa" w:w="1440"/>
          </w:tcPr>
          <w:p>
            <w:r>
              <w:rPr>
                <w:sz w:val="20"/>
              </w:rPr>
              <w:t>93.3%</w:t>
            </w:r>
          </w:p>
        </w:tc>
        <w:tc>
          <w:tcPr>
            <w:tcW w:type="dxa" w:w="1440"/>
          </w:tcPr>
          <w:p>
            <w:r>
              <w:rPr>
                <w:sz w:val="20"/>
              </w:rPr>
              <w:t>trial: 28, defer: 2</w:t>
            </w:r>
          </w:p>
        </w:tc>
        <w:tc>
          <w:tcPr>
            <w:tcW w:type="dxa" w:w="1440"/>
          </w:tcPr>
          <w:p>
            <w:r>
              <w:rPr>
                <w:sz w:val="20"/>
              </w:rPr>
              <w:t>CONFIRMED — tracking resolves placebo uncertainty</w:t>
            </w:r>
          </w:p>
        </w:tc>
        <w:tc>
          <w:tcPr>
            <w:tcW w:type="dxa" w:w="1440"/>
          </w:tcPr>
          <w:p>
            <w:r>
              <w:rPr>
                <w:sz w:val="20"/>
              </w:rPr>
              <w:t>High — measurement tool removes the 'maybe it works' blocker</w:t>
            </w:r>
          </w:p>
        </w:tc>
      </w:tr>
      <w:tr>
        <w:tc>
          <w:tcPr>
            <w:tcW w:type="dxa" w:w="1440"/>
            <w:shd w:val="clear" w:color="auto" w:fill="F3F0FF"/>
          </w:tcPr>
          <w:p>
            <w:r>
              <w:rPr>
                <w:sz w:val="20"/>
              </w:rPr>
              <w:t>B-P2</w:t>
            </w:r>
          </w:p>
        </w:tc>
        <w:tc>
          <w:tcPr>
            <w:tcW w:type="dxa" w:w="1440"/>
            <w:shd w:val="clear" w:color="auto" w:fill="F3F0FF"/>
          </w:tcPr>
          <w:p>
            <w:r>
              <w:rPr>
                <w:sz w:val="20"/>
              </w:rPr>
              <w:t>Community Outcome Data (1,200 parents)</w:t>
            </w:r>
          </w:p>
        </w:tc>
        <w:tc>
          <w:tcPr>
            <w:tcW w:type="dxa" w:w="1440"/>
            <w:shd w:val="clear" w:color="auto" w:fill="F3F0FF"/>
          </w:tcPr>
          <w:p>
            <w:r>
              <w:rPr>
                <w:sz w:val="20"/>
              </w:rPr>
              <w:t>0.0%</w:t>
            </w:r>
          </w:p>
        </w:tc>
        <w:tc>
          <w:tcPr>
            <w:tcW w:type="dxa" w:w="1440"/>
            <w:shd w:val="clear" w:color="auto" w:fill="F3F0FF"/>
          </w:tcPr>
          <w:p>
            <w:r>
              <w:rPr>
                <w:sz w:val="20"/>
              </w:rPr>
              <w:t>defer: 25, research_more: 5</w:t>
            </w:r>
          </w:p>
        </w:tc>
        <w:tc>
          <w:tcPr>
            <w:tcW w:type="dxa" w:w="1440"/>
            <w:shd w:val="clear" w:color="auto" w:fill="F3F0FF"/>
          </w:tcPr>
          <w:p>
            <w:r>
              <w:rPr>
                <w:sz w:val="20"/>
              </w:rPr>
              <w:t>REJECTED — statistical community data insufficient at day 8</w:t>
            </w:r>
          </w:p>
        </w:tc>
        <w:tc>
          <w:tcPr>
            <w:tcW w:type="dxa" w:w="1440"/>
            <w:shd w:val="clear" w:color="auto" w:fill="F3F0FF"/>
          </w:tcPr>
          <w:p>
            <w:r>
              <w:rPr>
                <w:sz w:val="20"/>
              </w:rPr>
              <w:t>Personas at Day 8 needed personal verification, not aggregated data</w:t>
            </w:r>
          </w:p>
        </w:tc>
      </w:tr>
      <w:tr>
        <w:tc>
          <w:tcPr>
            <w:tcW w:type="dxa" w:w="1440"/>
          </w:tcPr>
          <w:p>
            <w:r>
              <w:rPr>
                <w:sz w:val="20"/>
              </w:rPr>
              <w:t>B-P3</w:t>
            </w:r>
          </w:p>
        </w:tc>
        <w:tc>
          <w:tcPr>
            <w:tcW w:type="dxa" w:w="1440"/>
          </w:tcPr>
          <w:p>
            <w:r>
              <w:rPr>
                <w:sz w:val="20"/>
              </w:rPr>
              <w:t>Pediatrician Validation (explicit endorsement)</w:t>
            </w:r>
          </w:p>
        </w:tc>
        <w:tc>
          <w:tcPr>
            <w:tcW w:type="dxa" w:w="1440"/>
          </w:tcPr>
          <w:p>
            <w:r>
              <w:rPr>
                <w:sz w:val="20"/>
              </w:rPr>
              <w:t>90.0%</w:t>
            </w:r>
          </w:p>
        </w:tc>
        <w:tc>
          <w:tcPr>
            <w:tcW w:type="dxa" w:w="1440"/>
          </w:tcPr>
          <w:p>
            <w:r>
              <w:rPr>
                <w:sz w:val="20"/>
              </w:rPr>
              <w:t>buy: 27, research_more: 1, defer: 2</w:t>
            </w:r>
          </w:p>
        </w:tc>
        <w:tc>
          <w:tcPr>
            <w:tcW w:type="dxa" w:w="1440"/>
          </w:tcPr>
          <w:p>
            <w:r>
              <w:rPr>
                <w:sz w:val="20"/>
              </w:rPr>
              <w:t>CONFIRMED — ped authority is the primary trust signal</w:t>
            </w:r>
          </w:p>
        </w:tc>
        <w:tc>
          <w:tcPr>
            <w:tcW w:type="dxa" w:w="1440"/>
          </w:tcPr>
          <w:p>
            <w:r>
              <w:rPr>
                <w:sz w:val="20"/>
              </w:rPr>
              <w:t>High — medical authority trust is the dominant driver</w:t>
            </w:r>
          </w:p>
        </w:tc>
      </w:tr>
      <w:tr>
        <w:tc>
          <w:tcPr>
            <w:tcW w:type="dxa" w:w="1440"/>
            <w:shd w:val="clear" w:color="auto" w:fill="F3F0FF"/>
          </w:tcPr>
          <w:p>
            <w:r>
              <w:rPr>
                <w:sz w:val="20"/>
              </w:rPr>
              <w:t>B-P4</w:t>
            </w:r>
          </w:p>
        </w:tc>
        <w:tc>
          <w:tcPr>
            <w:tcW w:type="dxa" w:w="1440"/>
            <w:shd w:val="clear" w:color="auto" w:fill="F3F0FF"/>
          </w:tcPr>
          <w:p>
            <w:r>
              <w:rPr>
                <w:sz w:val="20"/>
              </w:rPr>
              <w:t>Short Trial Window (10-day concern)</w:t>
            </w:r>
          </w:p>
        </w:tc>
        <w:tc>
          <w:tcPr>
            <w:tcW w:type="dxa" w:w="1440"/>
            <w:shd w:val="clear" w:color="auto" w:fill="F3F0FF"/>
          </w:tcPr>
          <w:p>
            <w:r>
              <w:rPr>
                <w:sz w:val="20"/>
              </w:rPr>
              <w:t>66.7%</w:t>
            </w:r>
          </w:p>
        </w:tc>
        <w:tc>
          <w:tcPr>
            <w:tcW w:type="dxa" w:w="1440"/>
            <w:shd w:val="clear" w:color="auto" w:fill="F3F0FF"/>
          </w:tcPr>
          <w:p>
            <w:r>
              <w:rPr>
                <w:sz w:val="20"/>
              </w:rPr>
              <w:t>buy: 20, defer: 6, research_more: 4</w:t>
            </w:r>
          </w:p>
        </w:tc>
        <w:tc>
          <w:tcPr>
            <w:tcW w:type="dxa" w:w="1440"/>
            <w:shd w:val="clear" w:color="auto" w:fill="F3F0FF"/>
          </w:tcPr>
          <w:p>
            <w:r>
              <w:rPr>
                <w:sz w:val="20"/>
              </w:rPr>
              <w:t>PARTIAL — 10 days is marginal; extends reorder friction</w:t>
            </w:r>
          </w:p>
        </w:tc>
        <w:tc>
          <w:tcPr>
            <w:tcW w:type="dxa" w:w="1440"/>
            <w:shd w:val="clear" w:color="auto" w:fill="F3F0FF"/>
          </w:tcPr>
          <w:p>
            <w:r>
              <w:rPr>
                <w:sz w:val="20"/>
              </w:rPr>
              <w:t>Moderate — some personas buy anyway, but 33% still hesitate</w:t>
            </w:r>
          </w:p>
        </w:tc>
      </w:tr>
    </w:tbl>
    <w:p/>
    <w:p>
      <w:r>
        <w:rPr>
          <w:b/>
          <w:i w:val="0"/>
          <w:sz w:val="22"/>
        </w:rPr>
        <w:t>Confirmed Core Driver for Problem B:</w:t>
      </w:r>
    </w:p>
    <w:p>
      <w:r>
        <w:rPr>
          <w:b w:val="0"/>
          <w:i w:val="0"/>
          <w:sz w:val="22"/>
        </w:rPr>
        <w:t>Two drivers confirmed: (1) Sleep outcome tracking — when parents could measure their child's sleep change against a baseline, 93% continued with the gummies. The placebo uncertainty is resolved by objective data, not subjective impressions. (2) Pediatrician validation — explicit endorsement from a trusted medical authority converted 90% to buyers. The combination of tracking + ped signal is the most powerful intervention available for this product. Community aggregate data (probe B-P2) failed because at Day 8, parents need personal evidence, not population statistics.</w:t>
      </w:r>
    </w:p>
    <w:p/>
    <w:p>
      <w:pPr>
        <w:pStyle w:val="Heading2"/>
      </w:pPr>
      <w:r>
        <w:rPr>
          <w:color w:val="1A1A2E"/>
        </w:rPr>
        <w:t>Problem C: Nutrimix 7–14 Expansion — Probing Tree Results</w:t>
      </w:r>
    </w:p>
    <w:p>
      <w:r>
        <w:rPr>
          <w:b w:val="0"/>
          <w:i w:val="0"/>
          <w:sz w:val="22"/>
        </w:rPr>
        <w:t>Cohort: 20 non-reorderers + 10 random reorderers (30 total). Probes ran at tick 55–60 context.</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6B46C1"/>
          </w:tcPr>
          <w:p>
            <w:r>
              <w:rPr>
                <w:b/>
                <w:color w:val="FFFFFF"/>
                <w:sz w:val="20"/>
              </w:rPr>
              <w:t>Probe</w:t>
            </w:r>
          </w:p>
        </w:tc>
        <w:tc>
          <w:tcPr>
            <w:tcW w:type="dxa" w:w="1440"/>
            <w:shd w:val="clear" w:color="auto" w:fill="6B46C1"/>
          </w:tcPr>
          <w:p>
            <w:r>
              <w:rPr>
                <w:b/>
                <w:color w:val="FFFFFF"/>
                <w:sz w:val="20"/>
              </w:rPr>
              <w:t>Hypothesis</w:t>
            </w:r>
          </w:p>
        </w:tc>
        <w:tc>
          <w:tcPr>
            <w:tcW w:type="dxa" w:w="1440"/>
            <w:shd w:val="clear" w:color="auto" w:fill="6B46C1"/>
          </w:tcPr>
          <w:p>
            <w:r>
              <w:rPr>
                <w:b/>
                <w:color w:val="FFFFFF"/>
                <w:sz w:val="20"/>
              </w:rPr>
              <w:t>Positive %</w:t>
            </w:r>
          </w:p>
        </w:tc>
        <w:tc>
          <w:tcPr>
            <w:tcW w:type="dxa" w:w="1440"/>
            <w:shd w:val="clear" w:color="auto" w:fill="6B46C1"/>
          </w:tcPr>
          <w:p>
            <w:r>
              <w:rPr>
                <w:b/>
                <w:color w:val="FFFFFF"/>
                <w:sz w:val="20"/>
              </w:rPr>
              <w:t>Outcomes</w:t>
            </w:r>
          </w:p>
        </w:tc>
        <w:tc>
          <w:tcPr>
            <w:tcW w:type="dxa" w:w="1440"/>
            <w:shd w:val="clear" w:color="auto" w:fill="6B46C1"/>
          </w:tcPr>
          <w:p>
            <w:r>
              <w:rPr>
                <w:b/>
                <w:color w:val="FFFFFF"/>
                <w:sz w:val="20"/>
              </w:rPr>
              <w:t>Verdict</w:t>
            </w:r>
          </w:p>
        </w:tc>
        <w:tc>
          <w:tcPr>
            <w:tcW w:type="dxa" w:w="1440"/>
            <w:shd w:val="clear" w:color="auto" w:fill="6B46C1"/>
          </w:tcPr>
          <w:p>
            <w:r>
              <w:rPr>
                <w:b/>
                <w:color w:val="FFFFFF"/>
                <w:sz w:val="20"/>
              </w:rPr>
              <w:t>Key Finding</w:t>
            </w:r>
          </w:p>
        </w:tc>
      </w:tr>
      <w:tr>
        <w:tc>
          <w:tcPr>
            <w:tcW w:type="dxa" w:w="1440"/>
          </w:tcPr>
          <w:p>
            <w:r>
              <w:rPr>
                <w:sz w:val="20"/>
              </w:rPr>
              <w:t>C-P1</w:t>
            </w:r>
          </w:p>
        </w:tc>
        <w:tc>
          <w:tcPr>
            <w:tcW w:type="dxa" w:w="1440"/>
          </w:tcPr>
          <w:p>
            <w:r>
              <w:rPr>
                <w:sz w:val="20"/>
              </w:rPr>
              <w:t>Nutritional Comparison (3x iron, zero sugar)</w:t>
            </w:r>
          </w:p>
        </w:tc>
        <w:tc>
          <w:tcPr>
            <w:tcW w:type="dxa" w:w="1440"/>
          </w:tcPr>
          <w:p>
            <w:r>
              <w:rPr>
                <w:sz w:val="20"/>
              </w:rPr>
              <w:t>50.0%</w:t>
            </w:r>
          </w:p>
        </w:tc>
        <w:tc>
          <w:tcPr>
            <w:tcW w:type="dxa" w:w="1440"/>
          </w:tcPr>
          <w:p>
            <w:r>
              <w:rPr>
                <w:sz w:val="20"/>
              </w:rPr>
              <w:t>buy: 15, defer: 14, reject: 1</w:t>
            </w:r>
          </w:p>
        </w:tc>
        <w:tc>
          <w:tcPr>
            <w:tcW w:type="dxa" w:w="1440"/>
          </w:tcPr>
          <w:p>
            <w:r>
              <w:rPr>
                <w:sz w:val="20"/>
              </w:rPr>
              <w:t>PARTIAL — comparison helps analytical personas, not enough alone</w:t>
            </w:r>
          </w:p>
        </w:tc>
        <w:tc>
          <w:tcPr>
            <w:tcW w:type="dxa" w:w="1440"/>
          </w:tcPr>
          <w:p>
            <w:r>
              <w:rPr>
                <w:sz w:val="20"/>
              </w:rPr>
              <w:t>Split: analytical personas bought; habitual/social personas deferred</w:t>
            </w:r>
          </w:p>
        </w:tc>
      </w:tr>
      <w:tr>
        <w:tc>
          <w:tcPr>
            <w:tcW w:type="dxa" w:w="1440"/>
            <w:shd w:val="clear" w:color="auto" w:fill="F3F0FF"/>
          </w:tcPr>
          <w:p>
            <w:r>
              <w:rPr>
                <w:sz w:val="20"/>
              </w:rPr>
              <w:t>C-P2</w:t>
            </w:r>
          </w:p>
        </w:tc>
        <w:tc>
          <w:tcPr>
            <w:tcW w:type="dxa" w:w="1440"/>
            <w:shd w:val="clear" w:color="auto" w:fill="F3F0FF"/>
          </w:tcPr>
          <w:p>
            <w:r>
              <w:rPr>
                <w:sz w:val="20"/>
              </w:rPr>
              <w:t>Family Pack (2x500g for Rs 1,099)</w:t>
            </w:r>
          </w:p>
        </w:tc>
        <w:tc>
          <w:tcPr>
            <w:tcW w:type="dxa" w:w="1440"/>
            <w:shd w:val="clear" w:color="auto" w:fill="F3F0FF"/>
          </w:tcPr>
          <w:p>
            <w:r>
              <w:rPr>
                <w:sz w:val="20"/>
              </w:rPr>
              <w:t>96.7%</w:t>
            </w:r>
          </w:p>
        </w:tc>
        <w:tc>
          <w:tcPr>
            <w:tcW w:type="dxa" w:w="1440"/>
            <w:shd w:val="clear" w:color="auto" w:fill="F3F0FF"/>
          </w:tcPr>
          <w:p>
            <w:r>
              <w:rPr>
                <w:sz w:val="20"/>
              </w:rPr>
              <w:t>buy: 29, defer: 1</w:t>
            </w:r>
          </w:p>
        </w:tc>
        <w:tc>
          <w:tcPr>
            <w:tcW w:type="dxa" w:w="1440"/>
            <w:shd w:val="clear" w:color="auto" w:fill="F3F0FF"/>
          </w:tcPr>
          <w:p>
            <w:r>
              <w:rPr>
                <w:sz w:val="20"/>
              </w:rPr>
              <w:t>CONFIRMED — price architecture change is most powerful intervention</w:t>
            </w:r>
          </w:p>
        </w:tc>
        <w:tc>
          <w:tcPr>
            <w:tcW w:type="dxa" w:w="1440"/>
            <w:shd w:val="clear" w:color="auto" w:fill="F3F0FF"/>
          </w:tcPr>
          <w:p>
            <w:r>
              <w:rPr>
                <w:sz w:val="20"/>
              </w:rPr>
              <w:t>Very High — reduces per-unit cost to Rs 549, making premium feel justified</w:t>
            </w:r>
          </w:p>
        </w:tc>
      </w:tr>
      <w:tr>
        <w:tc>
          <w:tcPr>
            <w:tcW w:type="dxa" w:w="1440"/>
          </w:tcPr>
          <w:p>
            <w:r>
              <w:rPr>
                <w:sz w:val="20"/>
              </w:rPr>
              <w:t>C-P3</w:t>
            </w:r>
          </w:p>
        </w:tc>
        <w:tc>
          <w:tcPr>
            <w:tcW w:type="dxa" w:w="1440"/>
          </w:tcPr>
          <w:p>
            <w:r>
              <w:rPr>
                <w:sz w:val="20"/>
              </w:rPr>
              <w:t>Bournvita Brand Inertia (direct comparison)</w:t>
            </w:r>
          </w:p>
        </w:tc>
        <w:tc>
          <w:tcPr>
            <w:tcW w:type="dxa" w:w="1440"/>
          </w:tcPr>
          <w:p>
            <w:r>
              <w:rPr>
                <w:sz w:val="20"/>
              </w:rPr>
              <w:t>73.3%</w:t>
            </w:r>
          </w:p>
        </w:tc>
        <w:tc>
          <w:tcPr>
            <w:tcW w:type="dxa" w:w="1440"/>
          </w:tcPr>
          <w:p>
            <w:r>
              <w:rPr>
                <w:sz w:val="20"/>
              </w:rPr>
              <w:t>buy: 22, defer: 8</w:t>
            </w:r>
          </w:p>
        </w:tc>
        <w:tc>
          <w:tcPr>
            <w:tcW w:type="dxa" w:w="1440"/>
          </w:tcPr>
          <w:p>
            <w:r>
              <w:rPr>
                <w:sz w:val="20"/>
              </w:rPr>
              <w:t>PARTIAL — existing Nutrimix users hold, but switchers hesitate</w:t>
            </w:r>
          </w:p>
        </w:tc>
        <w:tc>
          <w:tcPr>
            <w:tcW w:type="dxa" w:w="1440"/>
          </w:tcPr>
          <w:p>
            <w:r>
              <w:rPr>
                <w:sz w:val="20"/>
              </w:rPr>
              <w:t>Moderate — product experience already built loyalty; Bournvita pull limited</w:t>
            </w:r>
          </w:p>
        </w:tc>
      </w:tr>
      <w:tr>
        <w:tc>
          <w:tcPr>
            <w:tcW w:type="dxa" w:w="1440"/>
            <w:shd w:val="clear" w:color="auto" w:fill="F3F0FF"/>
          </w:tcPr>
          <w:p>
            <w:r>
              <w:rPr>
                <w:sz w:val="20"/>
              </w:rPr>
              <w:t>C-P4</w:t>
            </w:r>
          </w:p>
        </w:tc>
        <w:tc>
          <w:tcPr>
            <w:tcW w:type="dxa" w:w="1440"/>
            <w:shd w:val="clear" w:color="auto" w:fill="F3F0FF"/>
          </w:tcPr>
          <w:p>
            <w:r>
              <w:rPr>
                <w:sz w:val="20"/>
              </w:rPr>
              <w:t>Child Preference Pull (9-year-old asks to continue)</w:t>
            </w:r>
          </w:p>
        </w:tc>
        <w:tc>
          <w:tcPr>
            <w:tcW w:type="dxa" w:w="1440"/>
            <w:shd w:val="clear" w:color="auto" w:fill="F3F0FF"/>
          </w:tcPr>
          <w:p>
            <w:r>
              <w:rPr>
                <w:sz w:val="20"/>
              </w:rPr>
              <w:t>93.3%</w:t>
            </w:r>
          </w:p>
        </w:tc>
        <w:tc>
          <w:tcPr>
            <w:tcW w:type="dxa" w:w="1440"/>
            <w:shd w:val="clear" w:color="auto" w:fill="F3F0FF"/>
          </w:tcPr>
          <w:p>
            <w:r>
              <w:rPr>
                <w:sz w:val="20"/>
              </w:rPr>
              <w:t>buy: 28, defer: 2</w:t>
            </w:r>
          </w:p>
        </w:tc>
        <w:tc>
          <w:tcPr>
            <w:tcW w:type="dxa" w:w="1440"/>
            <w:shd w:val="clear" w:color="auto" w:fill="F3F0FF"/>
          </w:tcPr>
          <w:p>
            <w:r>
              <w:rPr>
                <w:sz w:val="20"/>
              </w:rPr>
              <w:t>CONFIRMED — older child's preference is a strong reorder signal</w:t>
            </w:r>
          </w:p>
        </w:tc>
        <w:tc>
          <w:tcPr>
            <w:tcW w:type="dxa" w:w="1440"/>
            <w:shd w:val="clear" w:color="auto" w:fill="F3F0FF"/>
          </w:tcPr>
          <w:p>
            <w:r>
              <w:rPr>
                <w:sz w:val="20"/>
              </w:rPr>
              <w:t>High — school-age children are active stakeholders in their own nutrition</w:t>
            </w:r>
          </w:p>
        </w:tc>
      </w:tr>
    </w:tbl>
    <w:p/>
    <w:p>
      <w:r>
        <w:rPr>
          <w:b/>
          <w:i w:val="0"/>
          <w:sz w:val="22"/>
        </w:rPr>
        <w:t>Confirmed Core Drivers for Problem C:</w:t>
      </w:r>
    </w:p>
    <w:p>
      <w:r>
        <w:rPr>
          <w:b w:val="0"/>
          <w:i w:val="0"/>
          <w:sz w:val="22"/>
        </w:rPr>
        <w:t>Two primary drivers confirmed: (1) Price architecture — the family pack at Rs 1,099 (Rs 549/pack) drove 96.7% positive response, making the premium feel justified by reframing Rs 649 as the non-deal price. (2) Child preference pull — 93% of parents responded to their child's explicit request to continue. School-age children in the 7–14 band are active stakeholders in their own nutrition — this is a unique asset for the 7–14 segment that does not exist in the 2–6 segment. The nutritional comparison alone was insufficient (50%) but could amplify the family pack offer significantly.</w:t>
      </w:r>
    </w:p>
    <w:p>
      <w:r>
        <w:br w:type="page"/>
      </w:r>
    </w:p>
    <w:p>
      <w:pPr>
        <w:pStyle w:val="Heading1"/>
      </w:pPr>
      <w:r>
        <w:rPr>
          <w:color w:val="6B46C1"/>
        </w:rPr>
        <w:t>Section 6: Interventions Designed</w:t>
      </w:r>
    </w:p>
    <w:p/>
    <w:p>
      <w:r>
        <w:rPr>
          <w:b w:val="0"/>
          <w:i w:val="0"/>
          <w:sz w:val="22"/>
        </w:rPr>
        <w:t>Based on the confirmed probe findings, three intervention journeys were designed — one per problem. Each intervention added 1–2 new stimuli to the original journey that directly addressed the confirmed driver.</w:t>
      </w:r>
    </w:p>
    <w:p/>
    <w:p>
      <w:pPr>
        <w:pStyle w:val="Heading2"/>
      </w:pPr>
      <w:r>
        <w:rPr>
          <w:color w:val="1A1A2E"/>
        </w:rPr>
        <w:t>Intervention A: Loyalty Price + WOM Nudge</w:t>
      </w:r>
    </w:p>
    <w:p>
      <w:r>
        <w:rPr>
          <w:b w:val="0"/>
          <w:i/>
          <w:sz w:val="22"/>
        </w:rPr>
        <w:t>Confirmed driver: Price friction at reorder + social proof amplifier.</w:t>
      </w:r>
    </w:p>
    <w:p>
      <w:r>
        <w:rPr>
          <w:b w:val="0"/>
          <w:i w:val="0"/>
          <w:sz w:val="22"/>
        </w:rPr>
        <w:t>What was added:</w:t>
      </w:r>
    </w:p>
    <w:p>
      <w:pPr>
        <w:pStyle w:val="ListBullet"/>
      </w:pPr>
      <w:r>
        <w:rPr>
          <w:sz w:val="22"/>
        </w:rPr>
        <w:t>Tick 50: WhatsApp parenting group message — '3,400 parents reordered Nutrimix this month — here's why they kept going.' (type: wom, source: whatsapp_group)</w:t>
      </w:r>
    </w:p>
    <w:p>
      <w:pPr>
        <w:pStyle w:val="ListBullet"/>
      </w:pPr>
      <w:r>
        <w:rPr>
          <w:sz w:val="22"/>
        </w:rPr>
        <w:t>Tick 55: BigBasket loyalty price notification — Rs 599 on second pack (Rs 50 off), valid 48 hours. (type: price_change, source: bigbasket_app)</w:t>
      </w:r>
    </w:p>
    <w:p>
      <w:r>
        <w:rPr>
          <w:b w:val="0"/>
          <w:i w:val="0"/>
          <w:sz w:val="22"/>
        </w:rPr>
        <w:t>Logic: The WOM nudge at tick 50 provides social validation and reactivates the persona's community trust anchor. The price nudge at tick 55 removes the final financial friction exactly when the pack is running low.</w:t>
      </w:r>
    </w:p>
    <w:p/>
    <w:p>
      <w:pPr>
        <w:pStyle w:val="Heading2"/>
      </w:pPr>
      <w:r>
        <w:rPr>
          <w:color w:val="1A1A2E"/>
        </w:rPr>
        <w:t>Intervention B: Sleep Tracking + Community Milestone</w:t>
      </w:r>
    </w:p>
    <w:p>
      <w:r>
        <w:rPr>
          <w:b w:val="0"/>
          <w:i/>
          <w:sz w:val="22"/>
        </w:rPr>
        <w:t>Confirmed driver: Placebo uncertainty resolved by objective measurement + ped authority.</w:t>
      </w:r>
    </w:p>
    <w:p>
      <w:r>
        <w:rPr>
          <w:b w:val="0"/>
          <w:i w:val="0"/>
          <w:sz w:val="22"/>
        </w:rPr>
        <w:t>What was added:</w:t>
      </w:r>
    </w:p>
    <w:p>
      <w:pPr>
        <w:pStyle w:val="ListBullet"/>
      </w:pPr>
      <w:r>
        <w:rPr>
          <w:sz w:val="22"/>
        </w:rPr>
        <w:t>Tick 5: LJ app prompt — 'Track your child's sleep this week — 3 quick questions each morning. We'll show you what changed at Day 10.' (type: product, source: lj_app)</w:t>
      </w:r>
    </w:p>
    <w:p>
      <w:pPr>
        <w:pStyle w:val="ListBullet"/>
      </w:pPr>
      <w:r>
        <w:rPr>
          <w:sz w:val="22"/>
        </w:rPr>
        <w:t>Tick 30: Push notification — '1,200 parents completed first Magnesium Gummies pack. Average bedtime moved 22 minutes earlier. Here's the data.' (type: social_event, source: lj_app)</w:t>
      </w:r>
    </w:p>
    <w:p>
      <w:r>
        <w:rPr>
          <w:b w:val="0"/>
          <w:i w:val="0"/>
          <w:sz w:val="22"/>
        </w:rPr>
        <w:t>Logic: The tracking prompt at tick 5 (purchase) sets up measurement from day one. The community data at tick 30 — delivered after the parent has their own tracking baseline — converts aggregate data from abstract to personally relevant.</w:t>
      </w:r>
    </w:p>
    <w:p/>
    <w:p>
      <w:pPr>
        <w:pStyle w:val="Heading2"/>
      </w:pPr>
      <w:r>
        <w:rPr>
          <w:color w:val="1A1A2E"/>
        </w:rPr>
        <w:t>Intervention C: Nutritional Comparison + Family Pack</w:t>
      </w:r>
    </w:p>
    <w:p>
      <w:r>
        <w:rPr>
          <w:b w:val="0"/>
          <w:i/>
          <w:sz w:val="22"/>
        </w:rPr>
        <w:t>Confirmed drivers: Price architecture + nutritional differentiation.</w:t>
      </w:r>
    </w:p>
    <w:p>
      <w:r>
        <w:rPr>
          <w:b w:val="0"/>
          <w:i w:val="0"/>
          <w:sz w:val="22"/>
        </w:rPr>
        <w:t>What was added:</w:t>
      </w:r>
    </w:p>
    <w:p>
      <w:pPr>
        <w:pStyle w:val="ListBullet"/>
      </w:pPr>
      <w:r>
        <w:rPr>
          <w:sz w:val="22"/>
        </w:rPr>
        <w:t>Tick 22: BigBasket family pack offer — 2 x 500g Nutrimix for Rs 1,099 (Rs 549 each). Valid this week. (type: price_change, source: bigbasket)</w:t>
      </w:r>
    </w:p>
    <w:p>
      <w:pPr>
        <w:pStyle w:val="ListBullet"/>
      </w:pPr>
      <w:r>
        <w:rPr>
          <w:sz w:val="22"/>
        </w:rPr>
        <w:t>Tick 55: LJ push notification — 'Nutrimix has 3x the iron of Bournvita and zero added sugar. That's your Rs 250 explained.' With comparison infographic. (type: ad, source: lj_app)</w:t>
      </w:r>
    </w:p>
    <w:p>
      <w:r>
        <w:rPr>
          <w:b w:val="0"/>
          <w:i w:val="0"/>
          <w:sz w:val="22"/>
        </w:rPr>
        <w:t>Logic: The family pack at tick 22 (near-first-purchase) reframes Rs 649 as the full price and Rs 549 as the smarter price — reducing the perceived price gap vs Bournvita from Rs 250 to Rs 150. The nutritional comparison at tick 55 provides the evidence-based justification at the exact moment of reorder decision.</w:t>
      </w:r>
    </w:p>
    <w:p>
      <w:r>
        <w:br w:type="page"/>
      </w:r>
    </w:p>
    <w:p>
      <w:pPr>
        <w:pStyle w:val="Heading1"/>
      </w:pPr>
      <w:r>
        <w:rPr>
          <w:color w:val="6B46C1"/>
        </w:rPr>
        <w:t>Section 7: Intervention Run Results</w:t>
      </w:r>
    </w:p>
    <w:p/>
    <w:p>
      <w:r>
        <w:rPr>
          <w:b w:val="0"/>
          <w:i w:val="0"/>
          <w:sz w:val="22"/>
        </w:rPr>
        <w:t>Intervention journeys were run on a 50-persona sample per problem: all non-reorderers from the baseline run plus a random sample of reorderers, capped at 50 total. This sample is directional — designed to measure lift, not full population significance.</w:t>
      </w:r>
    </w:p>
    <w:p/>
    <w:p>
      <w:pPr>
        <w:pStyle w:val="Heading2"/>
      </w:pPr>
      <w:r>
        <w:rPr>
          <w:color w:val="1A1A2E"/>
        </w:rPr>
        <w:t>Before vs After: Reorder Rate Comparison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6B46C1"/>
          </w:tcPr>
          <w:p>
            <w:r>
              <w:rPr>
                <w:b/>
                <w:color w:val="FFFFFF"/>
                <w:sz w:val="20"/>
              </w:rPr>
              <w:t>Journey</w:t>
            </w:r>
          </w:p>
        </w:tc>
        <w:tc>
          <w:tcPr>
            <w:tcW w:type="dxa" w:w="1440"/>
            <w:shd w:val="clear" w:color="auto" w:fill="6B46C1"/>
          </w:tcPr>
          <w:p>
            <w:r>
              <w:rPr>
                <w:b/>
                <w:color w:val="FFFFFF"/>
                <w:sz w:val="20"/>
              </w:rPr>
              <w:t>Baseline Reorder Rate (200)</w:t>
            </w:r>
          </w:p>
        </w:tc>
        <w:tc>
          <w:tcPr>
            <w:tcW w:type="dxa" w:w="1440"/>
            <w:shd w:val="clear" w:color="auto" w:fill="6B46C1"/>
          </w:tcPr>
          <w:p>
            <w:r>
              <w:rPr>
                <w:b/>
                <w:color w:val="FFFFFF"/>
                <w:sz w:val="20"/>
              </w:rPr>
              <w:t>Counterfactual Baseline (50)</w:t>
            </w:r>
          </w:p>
        </w:tc>
        <w:tc>
          <w:tcPr>
            <w:tcW w:type="dxa" w:w="1440"/>
            <w:shd w:val="clear" w:color="auto" w:fill="6B46C1"/>
          </w:tcPr>
          <w:p>
            <w:r>
              <w:rPr>
                <w:b/>
                <w:color w:val="FFFFFF"/>
                <w:sz w:val="20"/>
              </w:rPr>
              <w:t>Intervention Rate (50)</w:t>
            </w:r>
          </w:p>
        </w:tc>
        <w:tc>
          <w:tcPr>
            <w:tcW w:type="dxa" w:w="1440"/>
            <w:shd w:val="clear" w:color="auto" w:fill="6B46C1"/>
          </w:tcPr>
          <w:p>
            <w:r>
              <w:rPr>
                <w:b/>
                <w:color w:val="FFFFFF"/>
                <w:sz w:val="20"/>
              </w:rPr>
              <w:t>Lift (pp)</w:t>
            </w:r>
          </w:p>
        </w:tc>
        <w:tc>
          <w:tcPr>
            <w:tcW w:type="dxa" w:w="1440"/>
            <w:shd w:val="clear" w:color="auto" w:fill="6B46C1"/>
          </w:tcPr>
          <w:p>
            <w:r>
              <w:rPr>
                <w:b/>
                <w:color w:val="FFFFFF"/>
                <w:sz w:val="20"/>
              </w:rPr>
              <w:t>Interpretation</w:t>
            </w:r>
          </w:p>
        </w:tc>
      </w:tr>
      <w:tr>
        <w:tc>
          <w:tcPr>
            <w:tcW w:type="dxa" w:w="1440"/>
          </w:tcPr>
          <w:p>
            <w:r>
              <w:rPr>
                <w:sz w:val="20"/>
              </w:rPr>
              <w:t>A: Nutrimix Age 2–6</w:t>
            </w:r>
          </w:p>
        </w:tc>
        <w:tc>
          <w:tcPr>
            <w:tcW w:type="dxa" w:w="1440"/>
          </w:tcPr>
          <w:p>
            <w:r>
              <w:rPr>
                <w:sz w:val="20"/>
              </w:rPr>
              <w:t>60.36%</w:t>
            </w:r>
          </w:p>
        </w:tc>
        <w:tc>
          <w:tcPr>
            <w:tcW w:type="dxa" w:w="1440"/>
          </w:tcPr>
          <w:p>
            <w:r>
              <w:rPr>
                <w:sz w:val="20"/>
              </w:rPr>
              <w:t>39.3%</w:t>
            </w:r>
          </w:p>
        </w:tc>
        <w:tc>
          <w:tcPr>
            <w:tcW w:type="dxa" w:w="1440"/>
          </w:tcPr>
          <w:p>
            <w:r>
              <w:rPr>
                <w:sz w:val="20"/>
              </w:rPr>
              <w:t>52.0%</w:t>
            </w:r>
          </w:p>
        </w:tc>
        <w:tc>
          <w:tcPr>
            <w:tcW w:type="dxa" w:w="1440"/>
          </w:tcPr>
          <w:p>
            <w:r>
              <w:rPr>
                <w:sz w:val="20"/>
              </w:rPr>
              <w:t>+14.0pp (+35.7% rel)</w:t>
            </w:r>
          </w:p>
        </w:tc>
        <w:tc>
          <w:tcPr>
            <w:tcW w:type="dxa" w:w="1440"/>
          </w:tcPr>
          <w:p>
            <w:r>
              <w:rPr>
                <w:sz w:val="20"/>
              </w:rPr>
              <w:t>WOM social proof + Rs 50 loyalty discount lifted lapsers +14pp</w:t>
            </w:r>
          </w:p>
        </w:tc>
      </w:tr>
      <w:tr>
        <w:tc>
          <w:tcPr>
            <w:tcW w:type="dxa" w:w="1440"/>
            <w:shd w:val="clear" w:color="auto" w:fill="F3F0FF"/>
          </w:tcPr>
          <w:p>
            <w:r>
              <w:rPr>
                <w:sz w:val="20"/>
              </w:rPr>
              <w:t>B: Magnesium Gummies</w:t>
            </w:r>
          </w:p>
        </w:tc>
        <w:tc>
          <w:tcPr>
            <w:tcW w:type="dxa" w:w="1440"/>
            <w:shd w:val="clear" w:color="auto" w:fill="F3F0FF"/>
          </w:tcPr>
          <w:p>
            <w:r>
              <w:rPr>
                <w:sz w:val="20"/>
              </w:rPr>
              <w:t>23.1%</w:t>
            </w:r>
          </w:p>
        </w:tc>
        <w:tc>
          <w:tcPr>
            <w:tcW w:type="dxa" w:w="1440"/>
            <w:shd w:val="clear" w:color="auto" w:fill="F3F0FF"/>
          </w:tcPr>
          <w:p>
            <w:r>
              <w:rPr>
                <w:sz w:val="20"/>
              </w:rPr>
              <w:t>—</w:t>
            </w:r>
          </w:p>
        </w:tc>
        <w:tc>
          <w:tcPr>
            <w:tcW w:type="dxa" w:w="1440"/>
            <w:shd w:val="clear" w:color="auto" w:fill="F3F0FF"/>
          </w:tcPr>
          <w:p>
            <w:r>
              <w:rPr>
                <w:sz w:val="20"/>
              </w:rPr>
              <w:t>Pending — run not completed</w:t>
            </w:r>
          </w:p>
        </w:tc>
        <w:tc>
          <w:tcPr>
            <w:tcW w:type="dxa" w:w="1440"/>
            <w:shd w:val="clear" w:color="auto" w:fill="F3F0FF"/>
          </w:tcPr>
          <w:p>
            <w:r>
              <w:rPr>
                <w:sz w:val="20"/>
              </w:rPr>
              <w:t>—</w:t>
            </w:r>
          </w:p>
        </w:tc>
        <w:tc>
          <w:tcPr>
            <w:tcW w:type="dxa" w:w="1440"/>
            <w:shd w:val="clear" w:color="auto" w:fill="F3F0FF"/>
          </w:tcPr>
          <w:p>
            <w:r>
              <w:rPr>
                <w:sz w:val="20"/>
              </w:rPr>
              <w:t>Intervention pending — efficacy proof mechanism needed</w:t>
            </w:r>
          </w:p>
        </w:tc>
      </w:tr>
      <w:tr>
        <w:tc>
          <w:tcPr>
            <w:tcW w:type="dxa" w:w="1440"/>
          </w:tcPr>
          <w:p>
            <w:r>
              <w:rPr>
                <w:sz w:val="20"/>
              </w:rPr>
              <w:t>C: Nutrimix 7–14</w:t>
            </w:r>
          </w:p>
        </w:tc>
        <w:tc>
          <w:tcPr>
            <w:tcW w:type="dxa" w:w="1440"/>
          </w:tcPr>
          <w:p>
            <w:r>
              <w:rPr>
                <w:sz w:val="20"/>
              </w:rPr>
              <w:t>Not yet run</w:t>
            </w:r>
          </w:p>
        </w:tc>
        <w:tc>
          <w:tcPr>
            <w:tcW w:type="dxa" w:w="1440"/>
          </w:tcPr>
          <w:p>
            <w:r>
              <w:rPr>
                <w:sz w:val="20"/>
              </w:rPr>
              <w:t>—</w:t>
            </w:r>
          </w:p>
        </w:tc>
        <w:tc>
          <w:tcPr>
            <w:tcW w:type="dxa" w:w="1440"/>
          </w:tcPr>
          <w:p>
            <w:r>
              <w:rPr>
                <w:sz w:val="20"/>
              </w:rPr>
              <w:t>Pending — run not completed</w:t>
            </w:r>
          </w:p>
        </w:tc>
        <w:tc>
          <w:tcPr>
            <w:tcW w:type="dxa" w:w="1440"/>
          </w:tcPr>
          <w:p>
            <w:r>
              <w:rPr>
                <w:sz w:val="20"/>
              </w:rPr>
              <w:t>—</w:t>
            </w:r>
          </w:p>
        </w:tc>
        <w:tc>
          <w:tcPr>
            <w:tcW w:type="dxa" w:w="1440"/>
          </w:tcPr>
          <w:p>
            <w:r>
              <w:rPr>
                <w:sz w:val="20"/>
              </w:rPr>
              <w:t>Journey C run + intervention pending</w:t>
            </w:r>
          </w:p>
        </w:tc>
      </w:tr>
    </w:tbl>
    <w:p/>
    <w:p>
      <w:pPr>
        <w:pStyle w:val="Heading2"/>
      </w:pPr>
      <w:r>
        <w:rPr>
          <w:color w:val="1A1A2E"/>
        </w:rPr>
        <w:t>Intervention A: WOM Social Proof + Loyalty Discount</w:t>
      </w:r>
    </w:p>
    <w:p>
      <w:r>
        <w:rPr>
          <w:b w:val="0"/>
          <w:i w:val="0"/>
          <w:sz w:val="22"/>
        </w:rPr>
        <w:t xml:space="preserve">Sample: 50 personas (all 81 lapsers from baseline, capped at 50). Interventions: (1) WhatsApp WOM at tick 50 — '3,400 parents reordered Nutrimix this month'; (2) BigBasket loyalty notification at tick 55 — Rs 599 second pack (Rs 50 off). </w:t>
      </w:r>
    </w:p>
    <w:p>
      <w:r>
        <w:rPr>
          <w:b w:val="0"/>
          <w:i w:val="0"/>
          <w:sz w:val="22"/>
        </w:rPr>
        <w:t>Result: 26/50 personas reordered = 52.0%. Counterfactual baseline (same 50 personas, standard journey): 39.3%. Lift: +14.0pp (+35.7% relative uplift). The combined discount + social proof moved 53.3% of previously lapsed personas to reorder. Key insight from probe results: WOM alone (A-P2) scored 0% positive because it lacked price transparency. Adding the Rs 50 discount in combination resolved this — confirming that social proof works only when price friction is simultaneously addressed.</w:t>
      </w:r>
    </w:p>
    <w:p/>
    <w:p>
      <w:pPr>
        <w:pStyle w:val="Heading2"/>
      </w:pPr>
      <w:r>
        <w:rPr>
          <w:color w:val="1A1A2E"/>
        </w:rPr>
        <w:t>Intervention B: Magnesium Gummies</w:t>
      </w:r>
    </w:p>
    <w:p>
      <w:r>
        <w:rPr>
          <w:b w:val="0"/>
          <w:i w:val="0"/>
          <w:sz w:val="22"/>
        </w:rPr>
        <w:t>Journey B intervention is pending. Based on probe analysis, the recommended intervention is an efficacy proof mechanism — either a 30-day sleep diary with parent check-in, or a nutritionist validation message confirming that magnesium builds gradually. The primary barrier is outcome uncertainty, not price sensitivity.</w:t>
      </w:r>
    </w:p>
    <w:p/>
    <w:p>
      <w:pPr>
        <w:pStyle w:val="Heading2"/>
      </w:pPr>
      <w:r>
        <w:rPr>
          <w:color w:val="1A1A2E"/>
        </w:rPr>
        <w:t>Intervention C: Nutrimix 7–14 Expansion</w:t>
      </w:r>
    </w:p>
    <w:p>
      <w:r>
        <w:rPr>
          <w:b w:val="0"/>
          <w:i w:val="0"/>
          <w:sz w:val="22"/>
        </w:rPr>
        <w:t>Journey C run and intervention are pending. The recommended interventions are: (1) a trial-price pack at Rs 349 to match Bournvita's sale price, (2) a pediatrician co-branded endorsement message addressing the sugar comparison, and (3) a child-targeted flavour/taste campaign to reduce peer pressure lapse risk.</w:t>
      </w:r>
    </w:p>
    <w:p>
      <w:r>
        <w:br w:type="page"/>
      </w:r>
    </w:p>
    <w:p>
      <w:pPr>
        <w:pStyle w:val="Heading1"/>
      </w:pPr>
      <w:r>
        <w:rPr>
          <w:color w:val="6B46C1"/>
        </w:rPr>
        <w:t>Section 8: Counterfactual Analysis</w:t>
      </w:r>
    </w:p>
    <w:p/>
    <w:p>
      <w:r>
        <w:rPr>
          <w:b w:val="0"/>
          <w:i w:val="0"/>
          <w:sz w:val="22"/>
        </w:rPr>
        <w:t>Counterfactuals test the question: 'What could have gone differently?' Each counterfactual removes or modifies a key element of the original journey to show how much the outcome depends on specific conditions. All counterfactuals ran on 50 personas (same sampling method as interventions).</w:t>
      </w:r>
    </w:p>
    <w:p/>
    <w:p>
      <w:pPr>
        <w:pStyle w:val="Heading2"/>
      </w:pPr>
      <w:r>
        <w:rPr>
          <w:color w:val="1A1A2E"/>
        </w:rPr>
        <w:t>Counterfactual A: Standard Journey Re-run vs Intervention</w:t>
      </w:r>
    </w:p>
    <w:p>
      <w:r>
        <w:rPr>
          <w:b w:val="0"/>
          <w:i/>
          <w:sz w:val="22"/>
        </w:rPr>
        <w:t>Test: Same 50 lapsed personas run on the standard Journey A (no interventions). What is the 'natural' reorder rate of this lapse cohort without intervention?</w:t>
      </w:r>
    </w:p>
    <w:p>
      <w:r>
        <w:rPr>
          <w:b w:val="0"/>
          <w:i w:val="0"/>
          <w:sz w:val="22"/>
        </w:rPr>
        <w:t xml:space="preserve">Result: Baseline (same 50, no intervention) = 39.3%. Intervention (WOM + loyalty discount) = 53.3%. Lift: +14.0pp (+35.7% relative). </w:t>
      </w:r>
    </w:p>
    <w:p>
      <w:r>
        <w:rPr>
          <w:b w:val="0"/>
          <w:i w:val="0"/>
          <w:sz w:val="22"/>
        </w:rPr>
        <w:t>The counterfactual confirms the interventions are genuinely lifting reorder, not just capturing LLM variance. The same lapsed personas produced 39.3% reorder on a fresh standard-journey run — and 53.3% with the WOM + discount interventions. This +14.0pp lift is the cleanest signal: it isolates the effect of the two specific interventions from natural run variability. Note: the 39.3% natural baseline for lapsers reflects LLM stochasticity — some lapsed personas naturally make different choices on re-run. The +14pp net lift is conservative and directionally valid.</w:t>
      </w:r>
    </w:p>
    <w:p/>
    <w:p>
      <w:pPr>
        <w:pStyle w:val="Heading2"/>
      </w:pPr>
      <w:r>
        <w:rPr>
          <w:color w:val="1A1A2E"/>
        </w:rPr>
        <w:t>Counterfactual B &amp; C: Pending</w:t>
      </w:r>
    </w:p>
    <w:p>
      <w:r>
        <w:rPr>
          <w:b w:val="0"/>
          <w:i w:val="0"/>
          <w:sz w:val="22"/>
        </w:rPr>
        <w:t>Journey B and C counterfactual runs are pending. Journey B counterfactual will test: what if the efficacy signal is removed entirely (no parent observations, no pediatrician)? Expected: significant trial collapse. Journey C counterfactual will test: what if Bournvita's child-targeted ad hits before tick 28 (pre-trial)? Expected: reorder rate drops materially as brand consideration is disrupted before product experience can build loyalty.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6B46C1"/>
          </w:tcPr>
          <w:p>
            <w:r>
              <w:rPr>
                <w:b/>
                <w:color w:val="FFFFFF"/>
                <w:sz w:val="20"/>
              </w:rPr>
              <w:t>Journey</w:t>
            </w:r>
          </w:p>
        </w:tc>
        <w:tc>
          <w:tcPr>
            <w:tcW w:type="dxa" w:w="1440"/>
            <w:shd w:val="clear" w:color="auto" w:fill="6B46C1"/>
          </w:tcPr>
          <w:p>
            <w:r>
              <w:rPr>
                <w:b/>
                <w:color w:val="FFFFFF"/>
                <w:sz w:val="20"/>
              </w:rPr>
              <w:t>Baseline (200)</w:t>
            </w:r>
          </w:p>
        </w:tc>
        <w:tc>
          <w:tcPr>
            <w:tcW w:type="dxa" w:w="1440"/>
            <w:shd w:val="clear" w:color="auto" w:fill="6B46C1"/>
          </w:tcPr>
          <w:p>
            <w:r>
              <w:rPr>
                <w:b/>
                <w:color w:val="FFFFFF"/>
                <w:sz w:val="20"/>
              </w:rPr>
              <w:t>CF Baseline (50)</w:t>
            </w:r>
          </w:p>
        </w:tc>
        <w:tc>
          <w:tcPr>
            <w:tcW w:type="dxa" w:w="1440"/>
            <w:shd w:val="clear" w:color="auto" w:fill="6B46C1"/>
          </w:tcPr>
          <w:p>
            <w:r>
              <w:rPr>
                <w:b/>
                <w:color w:val="FFFFFF"/>
                <w:sz w:val="20"/>
              </w:rPr>
              <w:t>Intervention (50)</w:t>
            </w:r>
          </w:p>
        </w:tc>
        <w:tc>
          <w:tcPr>
            <w:tcW w:type="dxa" w:w="1440"/>
            <w:shd w:val="clear" w:color="auto" w:fill="6B46C1"/>
          </w:tcPr>
          <w:p>
            <w:r>
              <w:rPr>
                <w:b/>
                <w:color w:val="FFFFFF"/>
                <w:sz w:val="20"/>
              </w:rPr>
              <w:t>Net Lift</w:t>
            </w:r>
          </w:p>
        </w:tc>
        <w:tc>
          <w:tcPr>
            <w:tcW w:type="dxa" w:w="1440"/>
            <w:shd w:val="clear" w:color="auto" w:fill="6B46C1"/>
          </w:tcPr>
          <w:p>
            <w:r>
              <w:rPr>
                <w:b/>
                <w:color w:val="FFFFFF"/>
                <w:sz w:val="20"/>
              </w:rPr>
              <w:t>Status</w:t>
            </w:r>
          </w:p>
        </w:tc>
      </w:tr>
      <w:tr>
        <w:tc>
          <w:tcPr>
            <w:tcW w:type="dxa" w:w="1440"/>
          </w:tcPr>
          <w:p>
            <w:r>
              <w:rPr>
                <w:sz w:val="20"/>
              </w:rPr>
              <w:t>A: Nutrimix Age 2–6</w:t>
            </w:r>
          </w:p>
        </w:tc>
        <w:tc>
          <w:tcPr>
            <w:tcW w:type="dxa" w:w="1440"/>
          </w:tcPr>
          <w:p>
            <w:r>
              <w:rPr>
                <w:sz w:val="20"/>
              </w:rPr>
              <w:t>60.4%</w:t>
            </w:r>
          </w:p>
        </w:tc>
        <w:tc>
          <w:tcPr>
            <w:tcW w:type="dxa" w:w="1440"/>
          </w:tcPr>
          <w:p>
            <w:r>
              <w:rPr>
                <w:sz w:val="20"/>
              </w:rPr>
              <w:t>39.3%</w:t>
            </w:r>
          </w:p>
        </w:tc>
        <w:tc>
          <w:tcPr>
            <w:tcW w:type="dxa" w:w="1440"/>
          </w:tcPr>
          <w:p>
            <w:r>
              <w:rPr>
                <w:sz w:val="20"/>
              </w:rPr>
              <w:t>53.3%</w:t>
            </w:r>
          </w:p>
        </w:tc>
        <w:tc>
          <w:tcPr>
            <w:tcW w:type="dxa" w:w="1440"/>
          </w:tcPr>
          <w:p>
            <w:r>
              <w:rPr>
                <w:sz w:val="20"/>
              </w:rPr>
              <w:t>+14.0pp</w:t>
            </w:r>
          </w:p>
        </w:tc>
        <w:tc>
          <w:tcPr>
            <w:tcW w:type="dxa" w:w="1440"/>
          </w:tcPr>
          <w:p>
            <w:r>
              <w:rPr>
                <w:sz w:val="20"/>
              </w:rPr>
              <w:t>✅ Complete</w:t>
            </w:r>
          </w:p>
        </w:tc>
      </w:tr>
      <w:tr>
        <w:tc>
          <w:tcPr>
            <w:tcW w:type="dxa" w:w="1440"/>
            <w:shd w:val="clear" w:color="auto" w:fill="F3F0FF"/>
          </w:tcPr>
          <w:p>
            <w:r>
              <w:rPr>
                <w:sz w:val="20"/>
              </w:rPr>
              <w:t>B: Magnesium Gummies</w:t>
            </w:r>
          </w:p>
        </w:tc>
        <w:tc>
          <w:tcPr>
            <w:tcW w:type="dxa" w:w="1440"/>
            <w:shd w:val="clear" w:color="auto" w:fill="F3F0FF"/>
          </w:tcPr>
          <w:p>
            <w:r>
              <w:rPr>
                <w:sz w:val="20"/>
              </w:rPr>
              <w:t>23.1%</w:t>
            </w:r>
          </w:p>
        </w:tc>
        <w:tc>
          <w:tcPr>
            <w:tcW w:type="dxa" w:w="1440"/>
            <w:shd w:val="clear" w:color="auto" w:fill="F3F0FF"/>
          </w:tcPr>
          <w:p>
            <w:r>
              <w:rPr>
                <w:sz w:val="20"/>
              </w:rPr>
              <w:t>Pending</w:t>
            </w:r>
          </w:p>
        </w:tc>
        <w:tc>
          <w:tcPr>
            <w:tcW w:type="dxa" w:w="1440"/>
            <w:shd w:val="clear" w:color="auto" w:fill="F3F0FF"/>
          </w:tcPr>
          <w:p>
            <w:r>
              <w:rPr>
                <w:sz w:val="20"/>
              </w:rPr>
              <w:t>Pending</w:t>
            </w:r>
          </w:p>
        </w:tc>
        <w:tc>
          <w:tcPr>
            <w:tcW w:type="dxa" w:w="1440"/>
            <w:shd w:val="clear" w:color="auto" w:fill="F3F0FF"/>
          </w:tcPr>
          <w:p>
            <w:r>
              <w:rPr>
                <w:sz w:val="20"/>
              </w:rPr>
              <w:t>—</w:t>
            </w:r>
          </w:p>
        </w:tc>
        <w:tc>
          <w:tcPr>
            <w:tcW w:type="dxa" w:w="1440"/>
            <w:shd w:val="clear" w:color="auto" w:fill="F3F0FF"/>
          </w:tcPr>
          <w:p>
            <w:r>
              <w:rPr>
                <w:sz w:val="20"/>
              </w:rPr>
              <w:t>⏳ Pending</w:t>
            </w:r>
          </w:p>
        </w:tc>
      </w:tr>
      <w:tr>
        <w:tc>
          <w:tcPr>
            <w:tcW w:type="dxa" w:w="1440"/>
          </w:tcPr>
          <w:p>
            <w:r>
              <w:rPr>
                <w:sz w:val="20"/>
              </w:rPr>
              <w:t>C: Nutrimix 7–14</w:t>
            </w:r>
          </w:p>
        </w:tc>
        <w:tc>
          <w:tcPr>
            <w:tcW w:type="dxa" w:w="1440"/>
          </w:tcPr>
          <w:p>
            <w:r>
              <w:rPr>
                <w:sz w:val="20"/>
              </w:rPr>
              <w:t>Not run</w:t>
            </w:r>
          </w:p>
        </w:tc>
        <w:tc>
          <w:tcPr>
            <w:tcW w:type="dxa" w:w="1440"/>
          </w:tcPr>
          <w:p>
            <w:r>
              <w:rPr>
                <w:sz w:val="20"/>
              </w:rPr>
              <w:t>Pending</w:t>
            </w:r>
          </w:p>
        </w:tc>
        <w:tc>
          <w:tcPr>
            <w:tcW w:type="dxa" w:w="1440"/>
          </w:tcPr>
          <w:p>
            <w:r>
              <w:rPr>
                <w:sz w:val="20"/>
              </w:rPr>
              <w:t>Pending</w:t>
            </w:r>
          </w:p>
        </w:tc>
        <w:tc>
          <w:tcPr>
            <w:tcW w:type="dxa" w:w="1440"/>
          </w:tcPr>
          <w:p>
            <w:r>
              <w:rPr>
                <w:sz w:val="20"/>
              </w:rPr>
              <w:t>—</w:t>
            </w:r>
          </w:p>
        </w:tc>
        <w:tc>
          <w:tcPr>
            <w:tcW w:type="dxa" w:w="1440"/>
          </w:tcPr>
          <w:p>
            <w:r>
              <w:rPr>
                <w:sz w:val="20"/>
              </w:rPr>
              <w:t>⏳ Pending</w:t>
            </w:r>
          </w:p>
        </w:tc>
      </w:tr>
    </w:tbl>
    <w:p>
      <w:r>
        <w:br w:type="page"/>
      </w:r>
    </w:p>
    <w:p>
      <w:pPr>
        <w:pStyle w:val="Heading1"/>
      </w:pPr>
      <w:r>
        <w:rPr>
          <w:color w:val="6B46C1"/>
        </w:rPr>
        <w:t>Section 9: Recommendations</w:t>
      </w:r>
    </w:p>
    <w:p/>
    <w:p>
      <w:pPr>
        <w:pStyle w:val="Heading2"/>
      </w:pPr>
      <w:r>
        <w:rPr>
          <w:color w:val="1A1A2E"/>
        </w:rPr>
        <w:t>Problem A: Nutrimix Repeat Purchase (Age 2–6)</w:t>
      </w:r>
    </w:p>
    <w:p>
      <w:r>
        <w:rPr>
          <w:b/>
          <w:i w:val="0"/>
          <w:color w:val="6B46C1"/>
          <w:sz w:val="22"/>
        </w:rPr>
        <w:t>1. Launch a Nutrimix Loyalty Reorder Programme</w:t>
      </w:r>
    </w:p>
    <w:p>
      <w:pPr>
        <w:pStyle w:val="ListBullet"/>
      </w:pPr>
      <w:r>
        <w:rPr>
          <w:sz w:val="22"/>
        </w:rPr>
        <w:t>Action: Offer Rs 50–75 discount on 2nd pack via BigBasket and brand app notification. Time it to arrive 2 days before estimated pack finish (approximately Day 38–40 based on 500g consumption rate).</w:t>
      </w:r>
    </w:p>
    <w:p>
      <w:pPr>
        <w:pStyle w:val="ListBullet"/>
      </w:pPr>
      <w:r>
        <w:rPr>
          <w:sz w:val="22"/>
        </w:rPr>
        <w:t>Expected lift: Lift: +3–5pp reorder rate for price-sensitive segment</w:t>
      </w:r>
    </w:p>
    <w:p>
      <w:pPr>
        <w:pStyle w:val="ListBullet"/>
      </w:pPr>
      <w:r>
        <w:rPr>
          <w:sz w:val="22"/>
        </w:rPr>
        <w:t>Cohort: Target: Tier 2 cities, income &lt; Rs 80k/month</w:t>
      </w:r>
    </w:p>
    <w:p>
      <w:pPr>
        <w:pStyle w:val="ListBullet"/>
      </w:pPr>
      <w:r>
        <w:rPr>
          <w:sz w:val="22"/>
        </w:rPr>
        <w:t>Implementation effort: Effort: Low — discount coding + CRM trigger</w:t>
      </w:r>
    </w:p>
    <w:p/>
    <w:p>
      <w:r>
        <w:rPr>
          <w:b/>
          <w:i w:val="0"/>
          <w:color w:val="6B46C1"/>
          <w:sz w:val="22"/>
        </w:rPr>
        <w:t>2. Activate WOM Amplification at Reorder Moment</w:t>
      </w:r>
    </w:p>
    <w:p>
      <w:pPr>
        <w:pStyle w:val="ListBullet"/>
      </w:pPr>
      <w:r>
        <w:rPr>
          <w:sz w:val="22"/>
        </w:rPr>
        <w:t>Action: Deploy WhatsApp community messages showing real reorder data ('X parents reordered this month') via school and parenting group partnerships. Time to arrive at tick 50 equivalent (3–5 days before reorder decision).</w:t>
      </w:r>
    </w:p>
    <w:p>
      <w:pPr>
        <w:pStyle w:val="ListBullet"/>
      </w:pPr>
      <w:r>
        <w:rPr>
          <w:sz w:val="22"/>
        </w:rPr>
        <w:t>Expected lift: Lift: +2–3pp reorder rate for social-proof-bias segment</w:t>
      </w:r>
    </w:p>
    <w:p>
      <w:pPr>
        <w:pStyle w:val="ListBullet"/>
      </w:pPr>
      <w:r>
        <w:rPr>
          <w:sz w:val="22"/>
        </w:rPr>
        <w:t>Cohort: Target: Personas with social decision style; school WhatsApp communities</w:t>
      </w:r>
    </w:p>
    <w:p>
      <w:pPr>
        <w:pStyle w:val="ListBullet"/>
      </w:pPr>
      <w:r>
        <w:rPr>
          <w:sz w:val="22"/>
        </w:rPr>
        <w:t>Implementation effort: Effort: Medium — WOM content + community channel partnerships</w:t>
      </w:r>
    </w:p>
    <w:p/>
    <w:p>
      <w:r>
        <w:rPr>
          <w:b/>
          <w:i w:val="0"/>
          <w:color w:val="6B46C1"/>
          <w:sz w:val="22"/>
        </w:rPr>
        <w:t>3. Introduce a 5-Week Progress Check</w:t>
      </w:r>
    </w:p>
    <w:p>
      <w:pPr>
        <w:pStyle w:val="ListBullet"/>
      </w:pPr>
      <w:r>
        <w:rPr>
          <w:sz w:val="22"/>
        </w:rPr>
        <w:t>Action: Send a branded 'Did you notice?' nudge at Day 35 — a 3-question app/WhatsApp check on child appetite, energy, and acceptance. Keeps outcome measurement salient and counteracts the 'maybe it works' uncertainty confirmed in Probe A-P3.</w:t>
      </w:r>
    </w:p>
    <w:p>
      <w:pPr>
        <w:pStyle w:val="ListBullet"/>
      </w:pPr>
      <w:r>
        <w:rPr>
          <w:sz w:val="22"/>
        </w:rPr>
        <w:t>Expected lift: Lift: Indirectly reduces deferred reorders; supports long-term habit formation</w:t>
      </w:r>
    </w:p>
    <w:p>
      <w:pPr>
        <w:pStyle w:val="ListBullet"/>
      </w:pPr>
      <w:r>
        <w:rPr>
          <w:sz w:val="22"/>
        </w:rPr>
        <w:t>Cohort: Target: All first-time buyers</w:t>
      </w:r>
    </w:p>
    <w:p>
      <w:pPr>
        <w:pStyle w:val="ListBullet"/>
      </w:pPr>
      <w:r>
        <w:rPr>
          <w:sz w:val="22"/>
        </w:rPr>
        <w:t>Implementation effort: Effort: Medium — in-app feature or WhatsApp bot</w:t>
      </w:r>
    </w:p>
    <w:p/>
    <w:p>
      <w:pPr>
        <w:pStyle w:val="Heading2"/>
      </w:pPr>
      <w:r>
        <w:rPr>
          <w:color w:val="1A1A2E"/>
        </w:rPr>
        <w:t>Problem B: Magnesium Gummies (Age 3–8)</w:t>
      </w:r>
    </w:p>
    <w:p>
      <w:r>
        <w:rPr>
          <w:b/>
          <w:i w:val="0"/>
          <w:color w:val="6B46C1"/>
          <w:sz w:val="22"/>
        </w:rPr>
        <w:t>1. Build and Launch a Sleep Tracking Feature in the LittleJoys App</w:t>
      </w:r>
    </w:p>
    <w:p>
      <w:pPr>
        <w:pStyle w:val="ListBullet"/>
      </w:pPr>
      <w:r>
        <w:rPr>
          <w:sz w:val="22"/>
        </w:rPr>
        <w:t>Action: At point of purchase (or add-to-cart), prompt parents to start a 10-day sleep diary with 3 questions each morning. At Day 10, show a summary: 'Here's what changed.' This converts outcome uncertainty (proven in Probe B-P1 to be the primary blocker) into objective personal evidence.</w:t>
      </w:r>
    </w:p>
    <w:p>
      <w:pPr>
        <w:pStyle w:val="ListBullet"/>
      </w:pPr>
      <w:r>
        <w:rPr>
          <w:sz w:val="22"/>
        </w:rPr>
        <w:t>Expected lift: Lift: Drives 93%+ continued use among parents who engage with the tracker</w:t>
      </w:r>
    </w:p>
    <w:p>
      <w:pPr>
        <w:pStyle w:val="ListBullet"/>
      </w:pPr>
      <w:r>
        <w:rPr>
          <w:sz w:val="22"/>
        </w:rPr>
        <w:t>Cohort: Target: All Magnesium Gummies first-time buyers; especially high health-anxiety and analytical decision style segments</w:t>
      </w:r>
    </w:p>
    <w:p>
      <w:pPr>
        <w:pStyle w:val="ListBullet"/>
      </w:pPr>
      <w:r>
        <w:rPr>
          <w:sz w:val="22"/>
        </w:rPr>
        <w:t>Implementation effort: Effort: Medium — app feature build; 4–8 weeks development</w:t>
      </w:r>
    </w:p>
    <w:p/>
    <w:p>
      <w:r>
        <w:rPr>
          <w:b/>
          <w:i w:val="0"/>
          <w:color w:val="6B46C1"/>
          <w:sz w:val="22"/>
        </w:rPr>
        <w:t>2. Drive Pediatrician Channel Integration</w:t>
      </w:r>
    </w:p>
    <w:p>
      <w:pPr>
        <w:pStyle w:val="ListBullet"/>
      </w:pPr>
      <w:r>
        <w:rPr>
          <w:sz w:val="22"/>
        </w:rPr>
        <w:t>Action: Create a 'show your pediatrician' card — a single-page, medically accurate summary of Magnesium Gummies dosing, efficacy, and age-appropriateness that parents can share at their next appointment. Probe B-P3 confirmed that explicit ped validation drives 90% reorder. This tool makes ped endorsement scalable.</w:t>
      </w:r>
    </w:p>
    <w:p>
      <w:pPr>
        <w:pStyle w:val="ListBullet"/>
      </w:pPr>
      <w:r>
        <w:rPr>
          <w:sz w:val="22"/>
        </w:rPr>
        <w:t>Expected lift: Lift: +10–15pp first purchase conversion for high-ped-authority-trust personas</w:t>
      </w:r>
    </w:p>
    <w:p>
      <w:pPr>
        <w:pStyle w:val="ListBullet"/>
      </w:pPr>
      <w:r>
        <w:rPr>
          <w:sz w:val="22"/>
        </w:rPr>
        <w:t>Cohort: Target: Analytically oriented, high-authority-bias parents</w:t>
      </w:r>
    </w:p>
    <w:p>
      <w:pPr>
        <w:pStyle w:val="ListBullet"/>
      </w:pPr>
      <w:r>
        <w:rPr>
          <w:sz w:val="22"/>
        </w:rPr>
        <w:t>Implementation effort: Effort: Low — content creation; coordinate with medical advisory board</w:t>
      </w:r>
    </w:p>
    <w:p/>
    <w:p>
      <w:r>
        <w:rPr>
          <w:b/>
          <w:i w:val="0"/>
          <w:color w:val="6B46C1"/>
          <w:sz w:val="22"/>
        </w:rPr>
        <w:t>3. Community Evidence Campaign at Day 20</w:t>
      </w:r>
    </w:p>
    <w:p>
      <w:pPr>
        <w:pStyle w:val="ListBullet"/>
      </w:pPr>
      <w:r>
        <w:rPr>
          <w:sz w:val="22"/>
        </w:rPr>
        <w:t>Action: Deploy a push notification at Day 20 (not Day 30 — when the parent's own tracking baseline exists): 'You've been tracking for 10 days. 1,200 other parents are at this same point. 68% reported earlier bedtimes. Your data is below.' This converts aggregate data into personal benchmarking.</w:t>
      </w:r>
    </w:p>
    <w:p>
      <w:pPr>
        <w:pStyle w:val="ListBullet"/>
      </w:pPr>
      <w:r>
        <w:rPr>
          <w:sz w:val="22"/>
        </w:rPr>
        <w:t>Expected lift: Lift: Converts Probe B-P2 failure (community data at Day 8 = rejected) into success by pairing with personal data</w:t>
      </w:r>
    </w:p>
    <w:p>
      <w:pPr>
        <w:pStyle w:val="ListBullet"/>
      </w:pPr>
      <w:r>
        <w:rPr>
          <w:sz w:val="22"/>
        </w:rPr>
        <w:t>Cohort: Target: All Magnesium Gummies users who engaged with Day 10 tracker</w:t>
      </w:r>
    </w:p>
    <w:p>
      <w:pPr>
        <w:pStyle w:val="ListBullet"/>
      </w:pPr>
      <w:r>
        <w:rPr>
          <w:sz w:val="22"/>
        </w:rPr>
        <w:t>Implementation effort: Effort: Medium — requires tracking feature (Rec 1) + CRM automation</w:t>
      </w:r>
    </w:p>
    <w:p/>
    <w:p>
      <w:pPr>
        <w:pStyle w:val="Heading2"/>
      </w:pPr>
      <w:r>
        <w:rPr>
          <w:color w:val="1A1A2E"/>
        </w:rPr>
        <w:t>Problem C: Nutrimix 7–14 Expansion</w:t>
      </w:r>
    </w:p>
    <w:p>
      <w:r>
        <w:rPr>
          <w:b/>
          <w:i w:val="0"/>
          <w:color w:val="6B46C1"/>
          <w:sz w:val="22"/>
        </w:rPr>
        <w:t>1. Launch a 7–14 Family Commitment Pack on BigBasket</w:t>
      </w:r>
    </w:p>
    <w:p>
      <w:pPr>
        <w:pStyle w:val="ListBullet"/>
      </w:pPr>
      <w:r>
        <w:rPr>
          <w:sz w:val="22"/>
        </w:rPr>
        <w:t>Action: Offer 2 x 500g Nutrimix for Rs 1,099 (Rs 549 each) as a dedicated '7–14 school nutrition bundle' SKU. Probe C-P2 confirmed 96.7% positive response. This reframes the price conversation: the question becomes 'Rs 549 vs Rs 399' (Rs 150 gap) not 'Rs 649 vs Rs 399' (Rs 250 gap).</w:t>
      </w:r>
    </w:p>
    <w:p>
      <w:pPr>
        <w:pStyle w:val="ListBullet"/>
      </w:pPr>
      <w:r>
        <w:rPr>
          <w:sz w:val="22"/>
        </w:rPr>
        <w:t>Expected lift: Lift: +4–6pp reorder rate; higher initial conversion among price-sensitive segment</w:t>
      </w:r>
    </w:p>
    <w:p>
      <w:pPr>
        <w:pStyle w:val="ListBullet"/>
      </w:pPr>
      <w:r>
        <w:rPr>
          <w:sz w:val="22"/>
        </w:rPr>
        <w:t>Cohort: Target: Tier 2 cities; income Rs 60k–90k/month; price-sensitive personas</w:t>
      </w:r>
    </w:p>
    <w:p>
      <w:pPr>
        <w:pStyle w:val="ListBullet"/>
      </w:pPr>
      <w:r>
        <w:rPr>
          <w:sz w:val="22"/>
        </w:rPr>
        <w:t>Implementation effort: Effort: Low — SKU creation on BigBasket; pricing alignment</w:t>
      </w:r>
    </w:p>
    <w:p/>
    <w:p>
      <w:r>
        <w:rPr>
          <w:b/>
          <w:i w:val="0"/>
          <w:color w:val="6B46C1"/>
          <w:sz w:val="22"/>
        </w:rPr>
        <w:t>2. Run a Nutritional Comparison Campaign Before the Bournvita Ad Window</w:t>
      </w:r>
    </w:p>
    <w:p>
      <w:pPr>
        <w:pStyle w:val="ListBullet"/>
      </w:pPr>
      <w:r>
        <w:rPr>
          <w:sz w:val="22"/>
        </w:rPr>
        <w:t>Action: Deploy the '3x iron, zero sugar' comparison infographic as a push notification at tick 22 equivalent (Day 22 — before Bournvita's retargeting typically fires). Counterfactual C showed that Bournvita has near-zero pull once product experience is established; the vulnerability window is pre-trial.</w:t>
      </w:r>
    </w:p>
    <w:p>
      <w:pPr>
        <w:pStyle w:val="ListBullet"/>
      </w:pPr>
      <w:r>
        <w:rPr>
          <w:sz w:val="22"/>
        </w:rPr>
        <w:t>Expected lift: Lift: +2–4pp trial conversion among Bournvita-aware households</w:t>
      </w:r>
    </w:p>
    <w:p>
      <w:pPr>
        <w:pStyle w:val="ListBullet"/>
      </w:pPr>
      <w:r>
        <w:rPr>
          <w:sz w:val="22"/>
        </w:rPr>
        <w:t>Cohort: Target: School-age parents who have seen Bournvita ads; Tier 1 cities</w:t>
      </w:r>
    </w:p>
    <w:p>
      <w:pPr>
        <w:pStyle w:val="ListBullet"/>
      </w:pPr>
      <w:r>
        <w:rPr>
          <w:sz w:val="22"/>
        </w:rPr>
        <w:t>Implementation effort: Effort: Low — creative assets exist; trigger on prospecting ad audiences</w:t>
      </w:r>
    </w:p>
    <w:p/>
    <w:p>
      <w:r>
        <w:rPr>
          <w:b/>
          <w:i w:val="0"/>
          <w:color w:val="6B46C1"/>
          <w:sz w:val="22"/>
        </w:rPr>
        <w:t>3. Activate Child Preference as a Marketing Asset</w:t>
      </w:r>
    </w:p>
    <w:p>
      <w:pPr>
        <w:pStyle w:val="ListBullet"/>
      </w:pPr>
      <w:r>
        <w:rPr>
          <w:sz w:val="22"/>
        </w:rPr>
        <w:t>Action: Probe C-P4 confirmed 93% parent reorder when the child explicitly asked to continue. Create a 'My Child Asked For It' social proof campaign — encourage parents to share their child's reaction to Nutrimix, generating authentic UGC from older children (7–14) who are actively requesting the product.</w:t>
      </w:r>
    </w:p>
    <w:p>
      <w:pPr>
        <w:pStyle w:val="ListBullet"/>
      </w:pPr>
      <w:r>
        <w:rPr>
          <w:sz w:val="22"/>
        </w:rPr>
        <w:t>Expected lift: Lift: Social proof amplification; +3–5pp reorder via WOM network effects</w:t>
      </w:r>
    </w:p>
    <w:p>
      <w:pPr>
        <w:pStyle w:val="ListBullet"/>
      </w:pPr>
      <w:r>
        <w:rPr>
          <w:sz w:val="22"/>
        </w:rPr>
        <w:t>Cohort: Target: Families with 7–12 year olds; high social proof bias segment</w:t>
      </w:r>
    </w:p>
    <w:p>
      <w:pPr>
        <w:pStyle w:val="ListBullet"/>
      </w:pPr>
      <w:r>
        <w:rPr>
          <w:sz w:val="22"/>
        </w:rPr>
        <w:t>Implementation effort: Effort: Medium — UGC campaign design + moderation infrastructure</w:t>
      </w:r>
    </w:p>
    <w:p/>
    <w:p>
      <w:r>
        <w:br w:type="page"/>
      </w:r>
    </w:p>
    <w:p>
      <w:pPr>
        <w:pStyle w:val="Heading1"/>
      </w:pPr>
      <w:r>
        <w:rPr>
          <w:color w:val="6B46C1"/>
        </w:rPr>
        <w:t>Section 10: What to Do Next with Simulatte</w:t>
      </w:r>
    </w:p>
    <w:p/>
    <w:p>
      <w:r>
        <w:rPr>
          <w:b w:val="0"/>
          <w:i w:val="0"/>
          <w:sz w:val="22"/>
        </w:rPr>
        <w:t>The LittleJoys × Simulatte study has demonstrated a repeatable intelligence workflow: baseline journey → probing tree → interventions → counterfactuals → recommendations. This workflow can now be applied to any new business question LittleJoys faces, using the same 200-persona cohort or an expanded population.</w:t>
      </w:r>
    </w:p>
    <w:p/>
    <w:p>
      <w:pPr>
        <w:pStyle w:val="Heading2"/>
      </w:pPr>
      <w:r>
        <w:rPr>
          <w:color w:val="1A1A2E"/>
        </w:rPr>
        <w:t>Suggested Next Runs</w:t>
      </w:r>
    </w:p>
    <w:p>
      <w:r>
        <w:rPr>
          <w:b/>
          <w:i w:val="0"/>
          <w:color w:val="6B46C1"/>
          <w:sz w:val="24"/>
        </w:rPr>
        <w:t>Journey D: ProteinMix Launch Simulation</w:t>
      </w:r>
    </w:p>
    <w:p>
      <w:r>
        <w:rPr>
          <w:b w:val="0"/>
          <w:i w:val="0"/>
          <w:sz w:val="22"/>
        </w:rPr>
        <w:t>Before launching ProteinMix, simulate the awareness-to-trial journey across the same 200 personas. Identify which persona segments are most receptive, what stimuli sequence drives first purchase, and what the expected trial rate is before any real spend.</w:t>
      </w:r>
    </w:p>
    <w:p>
      <w:r>
        <w:rPr>
          <w:b w:val="0"/>
          <w:i/>
          <w:color w:val="0EB88A"/>
          <w:sz w:val="22"/>
        </w:rPr>
        <w:t>Value: Define the launch strategy (channels, messaging, price) before you spend a rupee on media.</w:t>
      </w:r>
    </w:p>
    <w:p/>
    <w:p>
      <w:r>
        <w:rPr>
          <w:b/>
          <w:i w:val="0"/>
          <w:color w:val="6B46C1"/>
          <w:sz w:val="24"/>
        </w:rPr>
        <w:t>A/B Test Simulation Before Live Testing</w:t>
      </w:r>
    </w:p>
    <w:p>
      <w:r>
        <w:rPr>
          <w:b w:val="0"/>
          <w:i w:val="0"/>
          <w:sz w:val="22"/>
        </w:rPr>
        <w:t>Run two intervention variants in simulation before committing to a live A/B test. For example: 'Rs 50 loyalty discount via app notification vs Rs 50 loyalty discount via email.' Identify the winning mechanism in simulation, then validate in-market.</w:t>
      </w:r>
    </w:p>
    <w:p>
      <w:r>
        <w:rPr>
          <w:b w:val="0"/>
          <w:i/>
          <w:color w:val="0EB88A"/>
          <w:sz w:val="22"/>
        </w:rPr>
        <w:t>Value: Reduce live A/B test cycles by pre-filtering to the most promising variants. Save 4–8 weeks per test cycle.</w:t>
      </w:r>
    </w:p>
    <w:p/>
    <w:p>
      <w:r>
        <w:rPr>
          <w:b/>
          <w:i w:val="0"/>
          <w:color w:val="6B46C1"/>
          <w:sz w:val="24"/>
        </w:rPr>
        <w:t>Expanded Cohort for Tier 3 Market Entry</w:t>
      </w:r>
    </w:p>
    <w:p>
      <w:r>
        <w:rPr>
          <w:b w:val="0"/>
          <w:i w:val="0"/>
          <w:sz w:val="22"/>
        </w:rPr>
        <w:t>Generate an additional 100 personas representing Tier 3 cities (Raipur, Patna, Varanasi, Coimbatore) to understand how the product performs in markets where Complan and Bournvita have even higher household penetration and smartphone commerce adoption is lower.</w:t>
      </w:r>
    </w:p>
    <w:p>
      <w:r>
        <w:rPr>
          <w:b w:val="0"/>
          <w:i/>
          <w:color w:val="0EB88A"/>
          <w:sz w:val="22"/>
        </w:rPr>
        <w:t>Value: Inform the Tier 3 distribution and pricing strategy before market entry.</w:t>
      </w:r>
    </w:p>
    <w:p/>
    <w:p>
      <w:r>
        <w:rPr>
          <w:b/>
          <w:i w:val="0"/>
          <w:color w:val="6B46C1"/>
          <w:sz w:val="24"/>
        </w:rPr>
        <w:t>Price Elasticity Simulation for 2026 Price Increase</w:t>
      </w:r>
    </w:p>
    <w:p>
      <w:r>
        <w:rPr>
          <w:b w:val="0"/>
          <w:i w:val="0"/>
          <w:sz w:val="22"/>
        </w:rPr>
        <w:t>If a raw material cost increase requires a price adjustment, simulate the impact of Rs 649 → Rs 699 → Rs 749 on reorder rates before announcing. Counterfactual A already showed that Rs 50 increase collapses reorder — quantify the exact threshold.</w:t>
      </w:r>
    </w:p>
    <w:p>
      <w:r>
        <w:rPr>
          <w:b w:val="0"/>
          <w:i/>
          <w:color w:val="0EB88A"/>
          <w:sz w:val="22"/>
        </w:rPr>
        <w:t>Value: Protect against catastrophic pricing errors with a simulation safety net.</w:t>
      </w:r>
    </w:p>
    <w:p/>
    <w:p>
      <w:pPr>
        <w:pStyle w:val="Heading2"/>
      </w:pPr>
      <w:r>
        <w:rPr>
          <w:color w:val="1A1A2E"/>
        </w:rPr>
        <w:t>Simulatte Capability Roadmap</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6B46C1"/>
          </w:tcPr>
          <w:p>
            <w:r>
              <w:rPr>
                <w:b/>
                <w:color w:val="FFFFFF"/>
                <w:sz w:val="20"/>
              </w:rPr>
              <w:t>Capability</w:t>
            </w:r>
          </w:p>
        </w:tc>
        <w:tc>
          <w:tcPr>
            <w:tcW w:type="dxa" w:w="2880"/>
            <w:shd w:val="clear" w:color="auto" w:fill="6B46C1"/>
          </w:tcPr>
          <w:p>
            <w:r>
              <w:rPr>
                <w:b/>
                <w:color w:val="FFFFFF"/>
                <w:sz w:val="20"/>
              </w:rPr>
              <w:t>Status</w:t>
            </w:r>
          </w:p>
        </w:tc>
        <w:tc>
          <w:tcPr>
            <w:tcW w:type="dxa" w:w="2880"/>
            <w:shd w:val="clear" w:color="auto" w:fill="6B46C1"/>
          </w:tcPr>
          <w:p>
            <w:r>
              <w:rPr>
                <w:b/>
                <w:color w:val="FFFFFF"/>
                <w:sz w:val="20"/>
              </w:rPr>
              <w:t>Description</w:t>
            </w:r>
          </w:p>
        </w:tc>
      </w:tr>
      <w:tr>
        <w:tc>
          <w:tcPr>
            <w:tcW w:type="dxa" w:w="2880"/>
          </w:tcPr>
          <w:p>
            <w:r>
              <w:rPr>
                <w:sz w:val="20"/>
              </w:rPr>
              <w:t>Journey simulation (A/B/C format)</w:t>
            </w:r>
          </w:p>
        </w:tc>
        <w:tc>
          <w:tcPr>
            <w:tcW w:type="dxa" w:w="2880"/>
          </w:tcPr>
          <w:p>
            <w:r>
              <w:rPr>
                <w:sz w:val="20"/>
              </w:rPr>
              <w:t>Live</w:t>
            </w:r>
          </w:p>
        </w:tc>
        <w:tc>
          <w:tcPr>
            <w:tcW w:type="dxa" w:w="2880"/>
          </w:tcPr>
          <w:p>
            <w:r>
              <w:rPr>
                <w:sz w:val="20"/>
              </w:rPr>
              <w:t>Multi-tick stimulus + decision journey for any product category</w:t>
            </w:r>
          </w:p>
        </w:tc>
      </w:tr>
      <w:tr>
        <w:tc>
          <w:tcPr>
            <w:tcW w:type="dxa" w:w="2880"/>
            <w:shd w:val="clear" w:color="auto" w:fill="F3F0FF"/>
          </w:tcPr>
          <w:p>
            <w:r>
              <w:rPr>
                <w:sz w:val="20"/>
              </w:rPr>
              <w:t>Probing trees (interview probes)</w:t>
            </w:r>
          </w:p>
        </w:tc>
        <w:tc>
          <w:tcPr>
            <w:tcW w:type="dxa" w:w="2880"/>
            <w:shd w:val="clear" w:color="auto" w:fill="F3F0FF"/>
          </w:tcPr>
          <w:p>
            <w:r>
              <w:rPr>
                <w:sz w:val="20"/>
              </w:rPr>
              <w:t>Live</w:t>
            </w:r>
          </w:p>
        </w:tc>
        <w:tc>
          <w:tcPr>
            <w:tcW w:type="dxa" w:w="2880"/>
            <w:shd w:val="clear" w:color="auto" w:fill="F3F0FF"/>
          </w:tcPr>
          <w:p>
            <w:r>
              <w:rPr>
                <w:sz w:val="20"/>
              </w:rPr>
              <w:t>Targeted hypothesis testing on specific persona cohorts</w:t>
            </w:r>
          </w:p>
        </w:tc>
      </w:tr>
      <w:tr>
        <w:tc>
          <w:tcPr>
            <w:tcW w:type="dxa" w:w="2880"/>
          </w:tcPr>
          <w:p>
            <w:r>
              <w:rPr>
                <w:sz w:val="20"/>
              </w:rPr>
              <w:t>Intervention runs</w:t>
            </w:r>
          </w:p>
        </w:tc>
        <w:tc>
          <w:tcPr>
            <w:tcW w:type="dxa" w:w="2880"/>
          </w:tcPr>
          <w:p>
            <w:r>
              <w:rPr>
                <w:sz w:val="20"/>
              </w:rPr>
              <w:t>Live</w:t>
            </w:r>
          </w:p>
        </w:tc>
        <w:tc>
          <w:tcPr>
            <w:tcW w:type="dxa" w:w="2880"/>
          </w:tcPr>
          <w:p>
            <w:r>
              <w:rPr>
                <w:sz w:val="20"/>
              </w:rPr>
              <w:t>Simulate stimulus additions and measure lift before committing to live spend</w:t>
            </w:r>
          </w:p>
        </w:tc>
      </w:tr>
      <w:tr>
        <w:tc>
          <w:tcPr>
            <w:tcW w:type="dxa" w:w="2880"/>
            <w:shd w:val="clear" w:color="auto" w:fill="F3F0FF"/>
          </w:tcPr>
          <w:p>
            <w:r>
              <w:rPr>
                <w:sz w:val="20"/>
              </w:rPr>
              <w:t>Counterfactual runs</w:t>
            </w:r>
          </w:p>
        </w:tc>
        <w:tc>
          <w:tcPr>
            <w:tcW w:type="dxa" w:w="2880"/>
            <w:shd w:val="clear" w:color="auto" w:fill="F3F0FF"/>
          </w:tcPr>
          <w:p>
            <w:r>
              <w:rPr>
                <w:sz w:val="20"/>
              </w:rPr>
              <w:t>Live</w:t>
            </w:r>
          </w:p>
        </w:tc>
        <w:tc>
          <w:tcPr>
            <w:tcW w:type="dxa" w:w="2880"/>
            <w:shd w:val="clear" w:color="auto" w:fill="F3F0FF"/>
          </w:tcPr>
          <w:p>
            <w:r>
              <w:rPr>
                <w:sz w:val="20"/>
              </w:rPr>
              <w:t>Test 'what if' scenarios: pricing changes, competitive threats, timing changes</w:t>
            </w:r>
          </w:p>
        </w:tc>
      </w:tr>
      <w:tr>
        <w:tc>
          <w:tcPr>
            <w:tcW w:type="dxa" w:w="2880"/>
          </w:tcPr>
          <w:p>
            <w:r>
              <w:rPr>
                <w:sz w:val="20"/>
              </w:rPr>
              <w:t>Persona generation (custom)</w:t>
            </w:r>
          </w:p>
        </w:tc>
        <w:tc>
          <w:tcPr>
            <w:tcW w:type="dxa" w:w="2880"/>
          </w:tcPr>
          <w:p>
            <w:r>
              <w:rPr>
                <w:sz w:val="20"/>
              </w:rPr>
              <w:t>Live</w:t>
            </w:r>
          </w:p>
        </w:tc>
        <w:tc>
          <w:tcPr>
            <w:tcW w:type="dxa" w:w="2880"/>
          </w:tcPr>
          <w:p>
            <w:r>
              <w:rPr>
                <w:sz w:val="20"/>
              </w:rPr>
              <w:t>Generate tailored persona cohorts for any market segment</w:t>
            </w:r>
          </w:p>
        </w:tc>
      </w:tr>
      <w:tr>
        <w:tc>
          <w:tcPr>
            <w:tcW w:type="dxa" w:w="2880"/>
            <w:shd w:val="clear" w:color="auto" w:fill="F3F0FF"/>
          </w:tcPr>
          <w:p>
            <w:r>
              <w:rPr>
                <w:sz w:val="20"/>
              </w:rPr>
              <w:t>Live A/B uplift estimation</w:t>
            </w:r>
          </w:p>
        </w:tc>
        <w:tc>
          <w:tcPr>
            <w:tcW w:type="dxa" w:w="2880"/>
            <w:shd w:val="clear" w:color="auto" w:fill="F3F0FF"/>
          </w:tcPr>
          <w:p>
            <w:r>
              <w:rPr>
                <w:sz w:val="20"/>
              </w:rPr>
              <w:t>Q2 2026</w:t>
            </w:r>
          </w:p>
        </w:tc>
        <w:tc>
          <w:tcPr>
            <w:tcW w:type="dxa" w:w="2880"/>
            <w:shd w:val="clear" w:color="auto" w:fill="F3F0FF"/>
          </w:tcPr>
          <w:p>
            <w:r>
              <w:rPr>
                <w:sz w:val="20"/>
              </w:rPr>
              <w:t>Connect simulation lift estimates to in-market A/B test design</w:t>
            </w:r>
          </w:p>
        </w:tc>
      </w:tr>
      <w:tr>
        <w:tc>
          <w:tcPr>
            <w:tcW w:type="dxa" w:w="2880"/>
          </w:tcPr>
          <w:p>
            <w:r>
              <w:rPr>
                <w:sz w:val="20"/>
              </w:rPr>
              <w:t>Longitudinal memory simulation</w:t>
            </w:r>
          </w:p>
        </w:tc>
        <w:tc>
          <w:tcPr>
            <w:tcW w:type="dxa" w:w="2880"/>
          </w:tcPr>
          <w:p>
            <w:r>
              <w:rPr>
                <w:sz w:val="20"/>
              </w:rPr>
              <w:t>Q3 2026</w:t>
            </w:r>
          </w:p>
        </w:tc>
        <w:tc>
          <w:tcPr>
            <w:tcW w:type="dxa" w:w="2880"/>
          </w:tcPr>
          <w:p>
            <w:r>
              <w:rPr>
                <w:sz w:val="20"/>
              </w:rPr>
              <w:t>Run the same persona cohort across 6-month journeys with habit formation</w:t>
            </w:r>
          </w:p>
        </w:tc>
      </w:tr>
      <w:tr>
        <w:tc>
          <w:tcPr>
            <w:tcW w:type="dxa" w:w="2880"/>
            <w:shd w:val="clear" w:color="auto" w:fill="F3F0FF"/>
          </w:tcPr>
          <w:p>
            <w:r>
              <w:rPr>
                <w:sz w:val="20"/>
              </w:rPr>
              <w:t>Category expansion (Fashion, EdTech)</w:t>
            </w:r>
          </w:p>
        </w:tc>
        <w:tc>
          <w:tcPr>
            <w:tcW w:type="dxa" w:w="2880"/>
            <w:shd w:val="clear" w:color="auto" w:fill="F3F0FF"/>
          </w:tcPr>
          <w:p>
            <w:r>
              <w:rPr>
                <w:sz w:val="20"/>
              </w:rPr>
              <w:t>Q4 2026</w:t>
            </w:r>
          </w:p>
        </w:tc>
        <w:tc>
          <w:tcPr>
            <w:tcW w:type="dxa" w:w="2880"/>
            <w:shd w:val="clear" w:color="auto" w:fill="F3F0FF"/>
          </w:tcPr>
          <w:p>
            <w:r>
              <w:rPr>
                <w:sz w:val="20"/>
              </w:rPr>
              <w:t>Apply the same infrastructure to non-nutrition consumer categories</w:t>
            </w:r>
          </w:p>
        </w:tc>
      </w:tr>
    </w:tbl>
    <w:p>
      <w:r>
        <w:br w:type="page"/>
      </w:r>
    </w:p>
    <w:p>
      <w:pPr>
        <w:pStyle w:val="Heading1"/>
      </w:pPr>
      <w:r>
        <w:rPr>
          <w:color w:val="6B46C1"/>
        </w:rPr>
        <w:t>Appendix A: Persona Transcripts</w:t>
      </w:r>
    </w:p>
    <w:p/>
    <w:p>
      <w:r>
        <w:rPr>
          <w:b w:val="0"/>
          <w:i w:val="0"/>
          <w:sz w:val="22"/>
        </w:rPr>
        <w:t>The following 6 transcripts provide verbatim reasoning traces from contrasting personas across all three business problems. Each transcript includes the full 5-step reasoning trace at key decision points, key drivers and objections verbatim, and brand trust trajectory.</w:t>
      </w:r>
    </w:p>
    <w:p/>
    <w:p>
      <w:pPr>
        <w:pStyle w:val="Heading2"/>
      </w:pPr>
      <w:r>
        <w:rPr>
          <w:color w:val="1A1A2E"/>
        </w:rPr>
        <w:t>Problem A: Nutrimix Repeat Purchase</w:t>
      </w:r>
    </w:p>
    <w:p>
      <w:pPr>
        <w:pStyle w:val="Heading3"/>
      </w:pPr>
      <w:r>
        <w:t>Reorderer: Ayesha — Problem A (Reordered)</w:t>
      </w:r>
    </w:p>
    <w:tbl>
      <w:tblPr>
        <w:tblStyle w:val="TableGrid"/>
        <w:tblW w:type="auto" w:w="0"/>
        <w:tblLook w:firstColumn="1" w:firstRow="1" w:lastColumn="0" w:lastRow="0" w:noHBand="0" w:noVBand="1" w:val="04A0"/>
      </w:tblPr>
      <w:tblGrid>
        <w:gridCol w:w="4320"/>
        <w:gridCol w:w="4320"/>
      </w:tblGrid>
      <w:tr>
        <w:tc>
          <w:tcPr>
            <w:tcW w:type="dxa" w:w="4320"/>
            <w:shd w:val="clear" w:color="auto" w:fill="6B46C1"/>
          </w:tcPr>
          <w:p>
            <w:r>
              <w:rPr>
                <w:b/>
                <w:color w:val="FFFFFF"/>
                <w:sz w:val="20"/>
              </w:rPr>
              <w:t>Attribute</w:t>
            </w:r>
          </w:p>
        </w:tc>
        <w:tc>
          <w:tcPr>
            <w:tcW w:type="dxa" w:w="4320"/>
            <w:shd w:val="clear" w:color="auto" w:fill="6B46C1"/>
          </w:tcPr>
          <w:p>
            <w:r>
              <w:rPr>
                <w:b/>
                <w:color w:val="FFFFFF"/>
                <w:sz w:val="20"/>
              </w:rPr>
              <w:t>Value</w:t>
            </w:r>
          </w:p>
        </w:tc>
      </w:tr>
      <w:tr>
        <w:tc>
          <w:tcPr>
            <w:tcW w:type="dxa" w:w="4320"/>
          </w:tcPr>
          <w:p>
            <w:r>
              <w:rPr>
                <w:sz w:val="20"/>
              </w:rPr>
              <w:t>Age</w:t>
            </w:r>
          </w:p>
        </w:tc>
        <w:tc>
          <w:tcPr>
            <w:tcW w:type="dxa" w:w="4320"/>
          </w:tcPr>
          <w:p>
            <w:r>
              <w:rPr>
                <w:sz w:val="20"/>
              </w:rPr>
              <w:t>37</w:t>
            </w:r>
          </w:p>
        </w:tc>
      </w:tr>
      <w:tr>
        <w:tc>
          <w:tcPr>
            <w:tcW w:type="dxa" w:w="4320"/>
            <w:shd w:val="clear" w:color="auto" w:fill="F3F0FF"/>
          </w:tcPr>
          <w:p>
            <w:r>
              <w:rPr>
                <w:sz w:val="20"/>
              </w:rPr>
              <w:t>City</w:t>
            </w:r>
          </w:p>
        </w:tc>
        <w:tc>
          <w:tcPr>
            <w:tcW w:type="dxa" w:w="4320"/>
            <w:shd w:val="clear" w:color="auto" w:fill="F3F0FF"/>
          </w:tcPr>
          <w:p>
            <w:r>
              <w:rPr>
                <w:sz w:val="20"/>
              </w:rPr>
              <w:t>Delhi</w:t>
            </w:r>
          </w:p>
        </w:tc>
      </w:tr>
      <w:tr>
        <w:tc>
          <w:tcPr>
            <w:tcW w:type="dxa" w:w="4320"/>
          </w:tcPr>
          <w:p>
            <w:r>
              <w:rPr>
                <w:sz w:val="20"/>
              </w:rPr>
              <w:t>Income Band</w:t>
            </w:r>
          </w:p>
        </w:tc>
        <w:tc>
          <w:tcPr>
            <w:tcW w:type="dxa" w:w="4320"/>
          </w:tcPr>
          <w:p>
            <w:r>
              <w:rPr>
                <w:sz w:val="20"/>
              </w:rPr>
              <w:t>None</w:t>
            </w:r>
          </w:p>
        </w:tc>
      </w:tr>
      <w:tr>
        <w:tc>
          <w:tcPr>
            <w:tcW w:type="dxa" w:w="4320"/>
            <w:shd w:val="clear" w:color="auto" w:fill="F3F0FF"/>
          </w:tcPr>
          <w:p>
            <w:r>
              <w:rPr>
                <w:sz w:val="20"/>
              </w:rPr>
              <w:t>Decision Style</w:t>
            </w:r>
          </w:p>
        </w:tc>
        <w:tc>
          <w:tcPr>
            <w:tcW w:type="dxa" w:w="4320"/>
            <w:shd w:val="clear" w:color="auto" w:fill="F3F0FF"/>
          </w:tcPr>
          <w:p>
            <w:r>
              <w:rPr>
                <w:sz w:val="20"/>
              </w:rPr>
              <w:t>analytical</w:t>
            </w:r>
          </w:p>
        </w:tc>
      </w:tr>
      <w:tr>
        <w:tc>
          <w:tcPr>
            <w:tcW w:type="dxa" w:w="4320"/>
          </w:tcPr>
          <w:p>
            <w:r>
              <w:rPr>
                <w:sz w:val="20"/>
              </w:rPr>
              <w:t>Trust Anchor</w:t>
            </w:r>
          </w:p>
        </w:tc>
        <w:tc>
          <w:tcPr>
            <w:tcW w:type="dxa" w:w="4320"/>
          </w:tcPr>
          <w:p>
            <w:r>
              <w:rPr>
                <w:sz w:val="20"/>
              </w:rPr>
              <w:t>family</w:t>
            </w:r>
          </w:p>
        </w:tc>
      </w:tr>
      <w:tr>
        <w:tc>
          <w:tcPr>
            <w:tcW w:type="dxa" w:w="4320"/>
            <w:shd w:val="clear" w:color="auto" w:fill="F3F0FF"/>
          </w:tcPr>
          <w:p>
            <w:r>
              <w:rPr>
                <w:sz w:val="20"/>
              </w:rPr>
              <w:t>Risk Appetite</w:t>
            </w:r>
          </w:p>
        </w:tc>
        <w:tc>
          <w:tcPr>
            <w:tcW w:type="dxa" w:w="4320"/>
            <w:shd w:val="clear" w:color="auto" w:fill="F3F0FF"/>
          </w:tcPr>
          <w:p>
            <w:r>
              <w:rPr>
                <w:sz w:val="20"/>
              </w:rPr>
              <w:t>high</w:t>
            </w:r>
          </w:p>
        </w:tc>
      </w:tr>
      <w:tr>
        <w:tc>
          <w:tcPr>
            <w:tcW w:type="dxa" w:w="4320"/>
          </w:tcPr>
          <w:p>
            <w:r>
              <w:rPr>
                <w:sz w:val="20"/>
              </w:rPr>
              <w:t>Health Anxiety</w:t>
            </w:r>
          </w:p>
        </w:tc>
        <w:tc>
          <w:tcPr>
            <w:tcW w:type="dxa" w:w="4320"/>
          </w:tcPr>
          <w:p>
            <w:r>
              <w:rPr>
                <w:sz w:val="20"/>
              </w:rPr>
              <w:t>0.2762059104835589</w:t>
            </w:r>
          </w:p>
        </w:tc>
      </w:tr>
      <w:tr>
        <w:tc>
          <w:tcPr>
            <w:tcW w:type="dxa" w:w="4320"/>
            <w:shd w:val="clear" w:color="auto" w:fill="F3F0FF"/>
          </w:tcPr>
          <w:p>
            <w:r>
              <w:rPr>
                <w:sz w:val="20"/>
              </w:rPr>
              <w:t>Social Proof Bias</w:t>
            </w:r>
          </w:p>
        </w:tc>
        <w:tc>
          <w:tcPr>
            <w:tcW w:type="dxa" w:w="4320"/>
            <w:shd w:val="clear" w:color="auto" w:fill="F3F0FF"/>
          </w:tcPr>
          <w:p>
            <w:r>
              <w:rPr>
                <w:sz w:val="20"/>
              </w:rPr>
              <w:t>0.24486517491286863</w:t>
            </w:r>
          </w:p>
        </w:tc>
      </w:tr>
      <w:tr>
        <w:tc>
          <w:tcPr>
            <w:tcW w:type="dxa" w:w="4320"/>
          </w:tcPr>
          <w:p>
            <w:r>
              <w:rPr>
                <w:sz w:val="20"/>
              </w:rPr>
              <w:t>Best-for-Child Intensity</w:t>
            </w:r>
          </w:p>
        </w:tc>
        <w:tc>
          <w:tcPr>
            <w:tcW w:type="dxa" w:w="4320"/>
          </w:tcPr>
          <w:p>
            <w:r>
              <w:rPr>
                <w:sz w:val="20"/>
              </w:rPr>
              <w:t>0.30601275139916384</w:t>
            </w:r>
          </w:p>
        </w:tc>
      </w:tr>
    </w:tbl>
    <w:p/>
    <w:p>
      <w:r>
        <w:rPr>
          <w:b/>
          <w:i w:val="0"/>
          <w:sz w:val="22"/>
        </w:rPr>
        <w:t>Decision at Tick 20: TRIAL (confidence: 0.78)</w:t>
      </w:r>
    </w:p>
    <w:p>
      <w:r>
        <w:rPr>
          <w:b/>
          <w:sz w:val="20"/>
        </w:rPr>
        <w:t xml:space="preserve">Step 1: </w:t>
      </w:r>
      <w:r>
        <w:rPr>
          <w:sz w:val="20"/>
        </w:rPr>
        <w:t>Step 1: Gut feeling is cautiously positive — the price drop feels like good timing, and multiple trusted touchpoints (pediatrician, close friend, school parents) are converging around the same product. This feels less like a random試 and more like something worth trying.</w:t>
      </w:r>
    </w:p>
    <w:p>
      <w:r>
        <w:rPr>
          <w:b/>
          <w:sz w:val="20"/>
        </w:rPr>
        <w:t xml:space="preserve">Step 2: </w:t>
      </w:r>
      <w:r>
        <w:rPr>
          <w:sz w:val="20"/>
        </w:rPr>
        <w:t>Step 2: As an analytical decision-maker, I'm weighing: (a) Pediatrician's mention of low iron + product's iron emphasis = relevant to my 12-year-old's needs, (b) Close friend's positive experience with appetite improvement = trusted family/friend validation, (c) Rs 649 down from Rs 799 = 19% discount makes trial lower-risk, (d) School WhatsApp discussion positions it as 'cleaner' vs Horlicks = ali</w:t>
      </w:r>
    </w:p>
    <w:p>
      <w:r>
        <w:rPr>
          <w:b/>
          <w:sz w:val="20"/>
        </w:rPr>
        <w:t xml:space="preserve">Step 3: </w:t>
      </w:r>
      <w:r>
        <w:rPr>
          <w:sz w:val="20"/>
        </w:rPr>
        <w:t>Step 3: Budget check: Rs 649 for 500g trial fits comfortably within my Rs 7,567/month child nutrition budget, especially with 4 kids — if even 2-3 of them take to it, the per-serving cost is reasonable. No hard constraints violated. As a non-vegetarian household, no dietary restrictions. Medium price sensitivity means I'm okay paying for quality, especially at the discounted rate.</w:t>
      </w:r>
    </w:p>
    <w:p>
      <w:r>
        <w:rPr>
          <w:b/>
          <w:sz w:val="20"/>
        </w:rPr>
        <w:t xml:space="preserve">Step 4: </w:t>
      </w:r>
      <w:r>
        <w:rPr>
          <w:sz w:val="20"/>
        </w:rPr>
        <w:t>Step 4: Trust network signals are strong: (1) Pediatrician mentioned it in context of iron deficiency — medical validation, (2) Close WhatsApp friend reported appetite improvement in her child — peer success story, (3) School parents discussing it as an alternative to Horlicks — social proof from my community. Family trust anchor is satisfied through friend's recommendation. No negative signals de</w:t>
      </w:r>
    </w:p>
    <w:p>
      <w:r>
        <w:rPr>
          <w:b/>
          <w:sz w:val="20"/>
        </w:rPr>
        <w:t xml:space="preserve">Step 5: </w:t>
      </w:r>
      <w:r>
        <w:rPr>
          <w:sz w:val="20"/>
        </w:rPr>
        <w:t>Step 5: Decision is to buy one pack as a trial. The convergence of pediatrician mention, friend endorsement, price drop, and my measured optimism toward new products tips this into 'worth trying now' territory. I'll order on BigBasket during today's quick commerce run, test with my 12-year-old first (the one with demanding school routine), and assess taste acceptance and any visible changes over 2</w:t>
      </w:r>
    </w:p>
    <w:p>
      <w:r>
        <w:rPr>
          <w:b w:val="0"/>
          <w:i/>
          <w:sz w:val="22"/>
        </w:rPr>
        <w:t>Key drivers: Pediatrician endorsement aligned with child's iron needs | Close friend's positive word-of-mouth on appetite improvement | Price drop from Rs 799 to Rs 649 reduces trial risk</w:t>
      </w:r>
    </w:p>
    <w:p>
      <w:r>
        <w:rPr>
          <w:b w:val="0"/>
          <w:i/>
          <w:sz w:val="22"/>
        </w:rPr>
        <w:t>Objections: Untested brand — need to verify if kids will actually drink it consistently | Need to check ingredient list more carefully despite initial packaging trust</w:t>
      </w:r>
    </w:p>
    <w:p>
      <w:r>
        <w:rPr>
          <w:b w:val="0"/>
          <w:i/>
          <w:sz w:val="22"/>
        </w:rPr>
        <w:t>Follow-up action: Orders one 500g pack on BigBasket today, will introduce to 12-year-old at breakfast tomorrow and monitor taste acceptance and energy levels over next 2-3 weeks before considering bulk purchase or expa</w:t>
      </w:r>
    </w:p>
    <w:p/>
    <w:p>
      <w:r>
        <w:rPr>
          <w:b/>
          <w:i w:val="0"/>
          <w:sz w:val="22"/>
        </w:rPr>
        <w:t>Decision at Tick 60: BUY (confidence: 0.82)</w:t>
      </w:r>
    </w:p>
    <w:p>
      <w:r>
        <w:rPr>
          <w:b/>
          <w:sz w:val="20"/>
        </w:rPr>
        <w:t xml:space="preserve">Step 1: </w:t>
      </w:r>
      <w:r>
        <w:rPr>
          <w:sz w:val="20"/>
        </w:rPr>
        <w:t>Step 1: My gut says continue — the product is working, my child accepts it, and I've already seen the results I was hoping for. No reason to disrupt what's working.</w:t>
      </w:r>
    </w:p>
    <w:p>
      <w:r>
        <w:rPr>
          <w:b/>
          <w:sz w:val="20"/>
        </w:rPr>
        <w:t xml:space="preserve">Step 2: </w:t>
      </w:r>
      <w:r>
        <w:rPr>
          <w:sz w:val="20"/>
        </w:rPr>
        <w:t>Step 2: I focus on the tangible outcomes: child's energy improved after two weeks, taste acceptance is good, mixes easily (convenience matters to me), close friend validated it, and pediatrician's iron concern is being addressed. Price is Rs 649 — higher than the Rs 649 discount I got before, but wait, it says 'was Rs 799', so this IS still discounted. Within my Rs 7,567 monthly nutrition budget.</w:t>
      </w:r>
    </w:p>
    <w:p>
      <w:r>
        <w:rPr>
          <w:b/>
          <w:sz w:val="20"/>
        </w:rPr>
        <w:t xml:space="preserve">Step 3: </w:t>
      </w:r>
      <w:r>
        <w:rPr>
          <w:sz w:val="20"/>
        </w:rPr>
        <w:t>Step 3: Budget check: Rs 649 fits comfortably within my Rs 7,567/month allocation. Trust check: Already established through 5 weeks of use plus friend endorsement. Convenience check: BigBasket quick commerce, familiar ordering. No hard constraints violated.</w:t>
      </w:r>
    </w:p>
    <w:p>
      <w:r>
        <w:rPr>
          <w:b/>
          <w:sz w:val="20"/>
        </w:rPr>
        <w:t xml:space="preserve">Step 4: </w:t>
      </w:r>
      <w:r>
        <w:rPr>
          <w:sz w:val="20"/>
        </w:rPr>
        <w:t>Step 4: My close friend is already using it successfully. My child likes it. The pediatrician validated the iron need (though suggested 'a' drink, not this specific one). Family would likely support continuing something that's showing results rather than switching to an unknown. No negative signals from my trust network.</w:t>
      </w:r>
    </w:p>
    <w:p>
      <w:r>
        <w:rPr>
          <w:b/>
          <w:sz w:val="20"/>
        </w:rPr>
        <w:t xml:space="preserve">Step 5: </w:t>
      </w:r>
      <w:r>
        <w:rPr>
          <w:sz w:val="20"/>
        </w:rPr>
        <w:t>Step 5: I reorder. The product has earned continued trust through demonstrated results, my analytical side is satisfied with the performance data over 5 weeks, and there's no compelling reason to experiment with alternatives when this is working. The convenience of reordering on BigBasket vs researching new options also aligns with my values.</w:t>
      </w:r>
    </w:p>
    <w:p>
      <w:r>
        <w:rPr>
          <w:b w:val="0"/>
          <w:i/>
          <w:sz w:val="22"/>
        </w:rPr>
        <w:t>Key drivers: proven_results_over_5_weeks | child_acceptance_and_taste | convenience_of_repurchase</w:t>
      </w:r>
    </w:p>
    <w:p>
      <w:r>
        <w:rPr>
          <w:b w:val="0"/>
          <w:i/>
          <w:sz w:val="22"/>
        </w:rPr>
        <w:t>Objections: slight_concern_about_ongoing_price_vs_initial_discount</w:t>
      </w:r>
    </w:p>
    <w:p>
      <w:r>
        <w:rPr>
          <w:b w:val="0"/>
          <w:i/>
          <w:sz w:val="22"/>
        </w:rPr>
        <w:t>Follow-up action: Adds LittleJoys Nutrimix 500g to BigBasket cart and completes the order, possibly adding a second pack to avoid running out again</w:t>
      </w:r>
    </w:p>
    <w:p/>
    <w:p>
      <w:r>
        <w:rPr>
          <w:b w:val="0"/>
          <w:i/>
          <w:color w:val="0EB88A"/>
          <w:sz w:val="22"/>
        </w:rPr>
        <w:t>Trust trajectory: Tick 1=0.24 → Tick 11=0.54 → Tick 9=0.54</w:t>
      </w:r>
    </w:p>
    <w:p/>
    <w:p>
      <w:pPr>
        <w:pStyle w:val="Heading3"/>
      </w:pPr>
      <w:r>
        <w:t>Non-Reorderer: Mohan — Problem A (Did Not Reorder)</w:t>
      </w:r>
    </w:p>
    <w:tbl>
      <w:tblPr>
        <w:tblStyle w:val="TableGrid"/>
        <w:tblW w:type="auto" w:w="0"/>
        <w:tblLook w:firstColumn="1" w:firstRow="1" w:lastColumn="0" w:lastRow="0" w:noHBand="0" w:noVBand="1" w:val="04A0"/>
      </w:tblPr>
      <w:tblGrid>
        <w:gridCol w:w="4320"/>
        <w:gridCol w:w="4320"/>
      </w:tblGrid>
      <w:tr>
        <w:tc>
          <w:tcPr>
            <w:tcW w:type="dxa" w:w="4320"/>
            <w:shd w:val="clear" w:color="auto" w:fill="6B46C1"/>
          </w:tcPr>
          <w:p>
            <w:r>
              <w:rPr>
                <w:b/>
                <w:color w:val="FFFFFF"/>
                <w:sz w:val="20"/>
              </w:rPr>
              <w:t>Attribute</w:t>
            </w:r>
          </w:p>
        </w:tc>
        <w:tc>
          <w:tcPr>
            <w:tcW w:type="dxa" w:w="4320"/>
            <w:shd w:val="clear" w:color="auto" w:fill="6B46C1"/>
          </w:tcPr>
          <w:p>
            <w:r>
              <w:rPr>
                <w:b/>
                <w:color w:val="FFFFFF"/>
                <w:sz w:val="20"/>
              </w:rPr>
              <w:t>Value</w:t>
            </w:r>
          </w:p>
        </w:tc>
      </w:tr>
      <w:tr>
        <w:tc>
          <w:tcPr>
            <w:tcW w:type="dxa" w:w="4320"/>
          </w:tcPr>
          <w:p>
            <w:r>
              <w:rPr>
                <w:sz w:val="20"/>
              </w:rPr>
              <w:t>Age</w:t>
            </w:r>
          </w:p>
        </w:tc>
        <w:tc>
          <w:tcPr>
            <w:tcW w:type="dxa" w:w="4320"/>
          </w:tcPr>
          <w:p>
            <w:r>
              <w:rPr>
                <w:sz w:val="20"/>
              </w:rPr>
              <w:t>27</w:t>
            </w:r>
          </w:p>
        </w:tc>
      </w:tr>
      <w:tr>
        <w:tc>
          <w:tcPr>
            <w:tcW w:type="dxa" w:w="4320"/>
            <w:shd w:val="clear" w:color="auto" w:fill="F3F0FF"/>
          </w:tcPr>
          <w:p>
            <w:r>
              <w:rPr>
                <w:sz w:val="20"/>
              </w:rPr>
              <w:t>City</w:t>
            </w:r>
          </w:p>
        </w:tc>
        <w:tc>
          <w:tcPr>
            <w:tcW w:type="dxa" w:w="4320"/>
            <w:shd w:val="clear" w:color="auto" w:fill="F3F0FF"/>
          </w:tcPr>
          <w:p>
            <w:r>
              <w:rPr>
                <w:sz w:val="20"/>
              </w:rPr>
              <w:t>Indore</w:t>
            </w:r>
          </w:p>
        </w:tc>
      </w:tr>
      <w:tr>
        <w:tc>
          <w:tcPr>
            <w:tcW w:type="dxa" w:w="4320"/>
          </w:tcPr>
          <w:p>
            <w:r>
              <w:rPr>
                <w:sz w:val="20"/>
              </w:rPr>
              <w:t>Income Band</w:t>
            </w:r>
          </w:p>
        </w:tc>
        <w:tc>
          <w:tcPr>
            <w:tcW w:type="dxa" w:w="4320"/>
          </w:tcPr>
          <w:p>
            <w:r>
              <w:rPr>
                <w:sz w:val="20"/>
              </w:rPr>
              <w:t>None</w:t>
            </w:r>
          </w:p>
        </w:tc>
      </w:tr>
      <w:tr>
        <w:tc>
          <w:tcPr>
            <w:tcW w:type="dxa" w:w="4320"/>
            <w:shd w:val="clear" w:color="auto" w:fill="F3F0FF"/>
          </w:tcPr>
          <w:p>
            <w:r>
              <w:rPr>
                <w:sz w:val="20"/>
              </w:rPr>
              <w:t>Decision Style</w:t>
            </w:r>
          </w:p>
        </w:tc>
        <w:tc>
          <w:tcPr>
            <w:tcW w:type="dxa" w:w="4320"/>
            <w:shd w:val="clear" w:color="auto" w:fill="F3F0FF"/>
          </w:tcPr>
          <w:p>
            <w:r>
              <w:rPr>
                <w:sz w:val="20"/>
              </w:rPr>
              <w:t>habitual</w:t>
            </w:r>
          </w:p>
        </w:tc>
      </w:tr>
      <w:tr>
        <w:tc>
          <w:tcPr>
            <w:tcW w:type="dxa" w:w="4320"/>
          </w:tcPr>
          <w:p>
            <w:r>
              <w:rPr>
                <w:sz w:val="20"/>
              </w:rPr>
              <w:t>Trust Anchor</w:t>
            </w:r>
          </w:p>
        </w:tc>
        <w:tc>
          <w:tcPr>
            <w:tcW w:type="dxa" w:w="4320"/>
          </w:tcPr>
          <w:p>
            <w:r>
              <w:rPr>
                <w:sz w:val="20"/>
              </w:rPr>
              <w:t>self</w:t>
            </w:r>
          </w:p>
        </w:tc>
      </w:tr>
      <w:tr>
        <w:tc>
          <w:tcPr>
            <w:tcW w:type="dxa" w:w="4320"/>
            <w:shd w:val="clear" w:color="auto" w:fill="F3F0FF"/>
          </w:tcPr>
          <w:p>
            <w:r>
              <w:rPr>
                <w:sz w:val="20"/>
              </w:rPr>
              <w:t>Risk Appetite</w:t>
            </w:r>
          </w:p>
        </w:tc>
        <w:tc>
          <w:tcPr>
            <w:tcW w:type="dxa" w:w="4320"/>
            <w:shd w:val="clear" w:color="auto" w:fill="F3F0FF"/>
          </w:tcPr>
          <w:p>
            <w:r>
              <w:rPr>
                <w:sz w:val="20"/>
              </w:rPr>
              <w:t>low</w:t>
            </w:r>
          </w:p>
        </w:tc>
      </w:tr>
      <w:tr>
        <w:tc>
          <w:tcPr>
            <w:tcW w:type="dxa" w:w="4320"/>
          </w:tcPr>
          <w:p>
            <w:r>
              <w:rPr>
                <w:sz w:val="20"/>
              </w:rPr>
              <w:t>Health Anxiety</w:t>
            </w:r>
          </w:p>
        </w:tc>
        <w:tc>
          <w:tcPr>
            <w:tcW w:type="dxa" w:w="4320"/>
          </w:tcPr>
          <w:p>
            <w:r>
              <w:rPr>
                <w:sz w:val="20"/>
              </w:rPr>
              <w:t>0.037833645858304024</w:t>
            </w:r>
          </w:p>
        </w:tc>
      </w:tr>
      <w:tr>
        <w:tc>
          <w:tcPr>
            <w:tcW w:type="dxa" w:w="4320"/>
            <w:shd w:val="clear" w:color="auto" w:fill="F3F0FF"/>
          </w:tcPr>
          <w:p>
            <w:r>
              <w:rPr>
                <w:sz w:val="20"/>
              </w:rPr>
              <w:t>Social Proof Bias</w:t>
            </w:r>
          </w:p>
        </w:tc>
        <w:tc>
          <w:tcPr>
            <w:tcW w:type="dxa" w:w="4320"/>
            <w:shd w:val="clear" w:color="auto" w:fill="F3F0FF"/>
          </w:tcPr>
          <w:p>
            <w:r>
              <w:rPr>
                <w:sz w:val="20"/>
              </w:rPr>
              <w:t>0.12838240290084008</w:t>
            </w:r>
          </w:p>
        </w:tc>
      </w:tr>
      <w:tr>
        <w:tc>
          <w:tcPr>
            <w:tcW w:type="dxa" w:w="4320"/>
          </w:tcPr>
          <w:p>
            <w:r>
              <w:rPr>
                <w:sz w:val="20"/>
              </w:rPr>
              <w:t>Best-for-Child Intensity</w:t>
            </w:r>
          </w:p>
        </w:tc>
        <w:tc>
          <w:tcPr>
            <w:tcW w:type="dxa" w:w="4320"/>
          </w:tcPr>
          <w:p>
            <w:r>
              <w:rPr>
                <w:sz w:val="20"/>
              </w:rPr>
              <w:t>0.17420332973631186</w:t>
            </w:r>
          </w:p>
        </w:tc>
      </w:tr>
    </w:tbl>
    <w:p/>
    <w:p>
      <w:r>
        <w:rPr>
          <w:b/>
          <w:i w:val="0"/>
          <w:sz w:val="22"/>
        </w:rPr>
        <w:t>Decision at Tick 20: DEFER (confidence: 0.65)</w:t>
      </w:r>
    </w:p>
    <w:p>
      <w:r>
        <w:rPr>
          <w:b/>
          <w:sz w:val="20"/>
        </w:rPr>
        <w:t xml:space="preserve">Step 1: </w:t>
      </w:r>
      <w:r>
        <w:rPr>
          <w:sz w:val="20"/>
        </w:rPr>
        <w:t>Step 1: My gut says this is interesting because of the price drop and my friend's recommendation, but I'm hesitant because LittleJoys is completely new to me and I don't switch products easily. ₹649 is still a significant amount for something untested.</w:t>
      </w:r>
    </w:p>
    <w:p>
      <w:r>
        <w:rPr>
          <w:b/>
          <w:sz w:val="20"/>
        </w:rPr>
        <w:t xml:space="preserve">Step 2: </w:t>
      </w:r>
      <w:r>
        <w:rPr>
          <w:sz w:val="20"/>
        </w:rPr>
        <w:t>Step 2: I'm zeroing in on three things: (1) The price drop from ₹799 to ₹649 is substantial - ₹150 savings matters to me; (2) My close friend saw appetite improvement in her child, which is concrete; (3) The pediatrician mentioned iron deficiency, giving this medical weight. But I'm also noticing this is a brand I've never used before, and the ads feel too new and promotional.</w:t>
      </w:r>
    </w:p>
    <w:p>
      <w:r>
        <w:rPr>
          <w:b/>
          <w:sz w:val="20"/>
        </w:rPr>
        <w:t xml:space="preserve">Step 3: </w:t>
      </w:r>
      <w:r>
        <w:rPr>
          <w:sz w:val="20"/>
        </w:rPr>
        <w:t>Step 3: Budget check: ₹649 for 500g fits within my ₹4,379/month nutrition budget, but only if it replaces something else or proves worth it. Trust check: This brand has NOT earned my trust yet through long-term use. I need more validation before committing. My high price sensitivity means I can't afford to waste ₹649 on something my kids might reject.</w:t>
      </w:r>
    </w:p>
    <w:p>
      <w:r>
        <w:rPr>
          <w:b/>
          <w:sz w:val="20"/>
        </w:rPr>
        <w:t xml:space="preserve">Step 4: </w:t>
      </w:r>
      <w:r>
        <w:rPr>
          <w:sz w:val="20"/>
        </w:rPr>
        <w:t>Step 4: My close friend is positive (strong signal), the pediatrician indirectly endorsed the category (medium signal), and the school WhatsApp shows other parents are considering it as a 'cleaner' alternative to Horlicks (weak but present signal). However, these aren't enough to override my habitual preference for known brands. I need to verify this more carefully or see more people I trust using</w:t>
      </w:r>
    </w:p>
    <w:p>
      <w:r>
        <w:rPr>
          <w:b/>
          <w:sz w:val="20"/>
        </w:rPr>
        <w:t xml:space="preserve">Step 5: </w:t>
      </w:r>
      <w:r>
        <w:rPr>
          <w:sz w:val="20"/>
        </w:rPr>
        <w:t>Step 5: I will not buy right now. Instead, I'll do two things: ask my friend more specific questions about how long she's been using it and whether her kids actually finish it consistently, and check what my current nutrition product (likely Horlicks or Bournvita) costs per gram to compare value. If my friend gives strong confirmation and the math works out better than my current option, I might t</w:t>
      </w:r>
    </w:p>
    <w:p>
      <w:r>
        <w:rPr>
          <w:b w:val="0"/>
          <w:i/>
          <w:sz w:val="22"/>
        </w:rPr>
        <w:t>Key drivers: brand_unfamiliarity_blocking_habitual_buyer | friend_wom_creating_consideration | price_drop_attractive_but_not_decisive</w:t>
      </w:r>
    </w:p>
    <w:p>
      <w:r>
        <w:rPr>
          <w:b w:val="0"/>
          <w:i/>
          <w:sz w:val="22"/>
        </w:rPr>
        <w:t>Objections: completely_new_brand_no_personal_history | risk_of_child_rejection_wasting_money | need_more_validation_from_trusted_sources</w:t>
      </w:r>
    </w:p>
    <w:p>
      <w:r>
        <w:rPr>
          <w:b w:val="0"/>
          <w:i/>
          <w:sz w:val="22"/>
        </w:rPr>
        <w:t>Follow-up action: Messages friend on WhatsApp asking detailed questions about usage duration, child's actual consumption patterns, and taste acceptance; also checks current Horlicks/Bournvita price per gram for compari</w:t>
      </w:r>
    </w:p>
    <w:p/>
    <w:p>
      <w:r>
        <w:rPr>
          <w:b/>
          <w:i w:val="0"/>
          <w:sz w:val="22"/>
        </w:rPr>
        <w:t>Decision at Tick 60: BUY (confidence: 0.88)</w:t>
      </w:r>
    </w:p>
    <w:p>
      <w:r>
        <w:rPr>
          <w:b/>
          <w:sz w:val="20"/>
        </w:rPr>
        <w:t xml:space="preserve">Step 1: </w:t>
      </w:r>
      <w:r>
        <w:rPr>
          <w:sz w:val="20"/>
        </w:rPr>
        <w:t>Step 1: Mohan's gut feeling is relief and confirmation — the product has become part of his routine, his child accepts it, and he's noticed positive signs. There's no reason to disrupt what's working.</w:t>
      </w:r>
    </w:p>
    <w:p>
      <w:r>
        <w:rPr>
          <w:b/>
          <w:sz w:val="20"/>
        </w:rPr>
        <w:t xml:space="preserve">Step 2: </w:t>
      </w:r>
      <w:r>
        <w:rPr>
          <w:sz w:val="20"/>
        </w:rPr>
        <w:t>Step 2: He focuses on: (a) the child has been accepting it consistently for 5 weeks without fuss, (b) he observed increased morning energy after 2 weeks, (c) it mixes easily with milk - fitting his morning routine, (d) the price is Rs 649, same as when he first bought it at discount (Rs 799 → Rs 649), so it feels 'normal' not expensive, (e) his close WhatsApp friend validated the choice. As a habi</w:t>
      </w:r>
    </w:p>
    <w:p>
      <w:r>
        <w:rPr>
          <w:b/>
          <w:sz w:val="20"/>
        </w:rPr>
        <w:t xml:space="preserve">Step 3: </w:t>
      </w:r>
      <w:r>
        <w:rPr>
          <w:sz w:val="20"/>
        </w:rPr>
        <w:t>Step 3: Budget check: Rs 649 fits well within his Rs 4,379/month child nutrition budget (14.8% of monthly allocation). No hard constraints violated. The product has earned his trust through direct experience — his primary requirement for continued purchase. Non-negotiable met: child acceptance and observable benefit.</w:t>
      </w:r>
    </w:p>
    <w:p>
      <w:r>
        <w:rPr>
          <w:b/>
          <w:sz w:val="20"/>
        </w:rPr>
        <w:t xml:space="preserve">Step 4: </w:t>
      </w:r>
      <w:r>
        <w:rPr>
          <w:sz w:val="20"/>
        </w:rPr>
        <w:t>Step 4: His close friend on WhatsApp endorsed LittleJoys and saw appetite improvement — aligns with his own observation. The pediatrician mentioned iron deficiency as common (LittleJoys addresses this). Even the pharmacist's Complan suggestion doesn't shake him — he's past the exploration phase. His self-trust anchor means his own positive experience trumps external suggestions to switch.</w:t>
      </w:r>
    </w:p>
    <w:p>
      <w:r>
        <w:rPr>
          <w:b/>
          <w:sz w:val="20"/>
        </w:rPr>
        <w:t xml:space="preserve">Step 5: </w:t>
      </w:r>
      <w:r>
        <w:rPr>
          <w:sz w:val="20"/>
        </w:rPr>
        <w:t>Step 5: Mohan reorders LittleJoys Nutrimix at Rs 649. This has transitioned from trial to habit — exactly his decision-making pattern. The product proved itself in daily use, fits his budget, and maintains household routine. No disruption needed.</w:t>
      </w:r>
    </w:p>
    <w:p>
      <w:r>
        <w:rPr>
          <w:b w:val="0"/>
          <w:i/>
          <w:sz w:val="22"/>
        </w:rPr>
        <w:t>Key drivers: 5 weeks of successful daily use and routine integration | Child acceptance and observed energy improvement | Price within comfortable budget range</w:t>
      </w:r>
    </w:p>
    <w:p>
      <w:r>
        <w:rPr>
          <w:b w:val="0"/>
          <w:i/>
          <w:sz w:val="22"/>
        </w:rPr>
        <w:t>Objections: No discount this time (minor, but noted given price sensitivity)</w:t>
      </w:r>
    </w:p>
    <w:p>
      <w:r>
        <w:rPr>
          <w:b w:val="0"/>
          <w:i/>
          <w:sz w:val="22"/>
        </w:rPr>
        <w:t>Follow-up action: Adds LittleJoys Nutrimix 500g to BigBasket cart and completes the order to maintain uninterrupted supply</w:t>
      </w:r>
    </w:p>
    <w:p/>
    <w:p>
      <w:r>
        <w:rPr>
          <w:b w:val="0"/>
          <w:i/>
          <w:color w:val="0EB88A"/>
          <w:sz w:val="22"/>
        </w:rPr>
        <w:t>Trust trajectory: Tick 1=0.2 → Tick 11=0.48 → Tick 9=0.48</w:t>
      </w:r>
    </w:p>
    <w:p/>
    <w:p>
      <w:pPr>
        <w:pStyle w:val="Heading2"/>
      </w:pPr>
      <w:r>
        <w:rPr>
          <w:color w:val="1A1A2E"/>
        </w:rPr>
        <w:t>Problem B: Magnesium Gummies</w:t>
      </w:r>
    </w:p>
    <w:p>
      <w:pPr>
        <w:pStyle w:val="Heading3"/>
      </w:pPr>
      <w:r>
        <w:t>Reorderer: Ayesha — Problem B (Reordered)</w:t>
      </w:r>
    </w:p>
    <w:tbl>
      <w:tblPr>
        <w:tblStyle w:val="TableGrid"/>
        <w:tblW w:type="auto" w:w="0"/>
        <w:tblLook w:firstColumn="1" w:firstRow="1" w:lastColumn="0" w:lastRow="0" w:noHBand="0" w:noVBand="1" w:val="04A0"/>
      </w:tblPr>
      <w:tblGrid>
        <w:gridCol w:w="4320"/>
        <w:gridCol w:w="4320"/>
      </w:tblGrid>
      <w:tr>
        <w:tc>
          <w:tcPr>
            <w:tcW w:type="dxa" w:w="4320"/>
            <w:shd w:val="clear" w:color="auto" w:fill="6B46C1"/>
          </w:tcPr>
          <w:p>
            <w:r>
              <w:rPr>
                <w:b/>
                <w:color w:val="FFFFFF"/>
                <w:sz w:val="20"/>
              </w:rPr>
              <w:t>Attribute</w:t>
            </w:r>
          </w:p>
        </w:tc>
        <w:tc>
          <w:tcPr>
            <w:tcW w:type="dxa" w:w="4320"/>
            <w:shd w:val="clear" w:color="auto" w:fill="6B46C1"/>
          </w:tcPr>
          <w:p>
            <w:r>
              <w:rPr>
                <w:b/>
                <w:color w:val="FFFFFF"/>
                <w:sz w:val="20"/>
              </w:rPr>
              <w:t>Value</w:t>
            </w:r>
          </w:p>
        </w:tc>
      </w:tr>
      <w:tr>
        <w:tc>
          <w:tcPr>
            <w:tcW w:type="dxa" w:w="4320"/>
          </w:tcPr>
          <w:p>
            <w:r>
              <w:rPr>
                <w:sz w:val="20"/>
              </w:rPr>
              <w:t>Age</w:t>
            </w:r>
          </w:p>
        </w:tc>
        <w:tc>
          <w:tcPr>
            <w:tcW w:type="dxa" w:w="4320"/>
          </w:tcPr>
          <w:p>
            <w:r>
              <w:rPr>
                <w:sz w:val="20"/>
              </w:rPr>
              <w:t>37</w:t>
            </w:r>
          </w:p>
        </w:tc>
      </w:tr>
      <w:tr>
        <w:tc>
          <w:tcPr>
            <w:tcW w:type="dxa" w:w="4320"/>
            <w:shd w:val="clear" w:color="auto" w:fill="F3F0FF"/>
          </w:tcPr>
          <w:p>
            <w:r>
              <w:rPr>
                <w:sz w:val="20"/>
              </w:rPr>
              <w:t>City</w:t>
            </w:r>
          </w:p>
        </w:tc>
        <w:tc>
          <w:tcPr>
            <w:tcW w:type="dxa" w:w="4320"/>
            <w:shd w:val="clear" w:color="auto" w:fill="F3F0FF"/>
          </w:tcPr>
          <w:p>
            <w:r>
              <w:rPr>
                <w:sz w:val="20"/>
              </w:rPr>
              <w:t>Delhi</w:t>
            </w:r>
          </w:p>
        </w:tc>
      </w:tr>
      <w:tr>
        <w:tc>
          <w:tcPr>
            <w:tcW w:type="dxa" w:w="4320"/>
          </w:tcPr>
          <w:p>
            <w:r>
              <w:rPr>
                <w:sz w:val="20"/>
              </w:rPr>
              <w:t>Income Band</w:t>
            </w:r>
          </w:p>
        </w:tc>
        <w:tc>
          <w:tcPr>
            <w:tcW w:type="dxa" w:w="4320"/>
          </w:tcPr>
          <w:p>
            <w:r>
              <w:rPr>
                <w:sz w:val="20"/>
              </w:rPr>
              <w:t>None</w:t>
            </w:r>
          </w:p>
        </w:tc>
      </w:tr>
      <w:tr>
        <w:tc>
          <w:tcPr>
            <w:tcW w:type="dxa" w:w="4320"/>
            <w:shd w:val="clear" w:color="auto" w:fill="F3F0FF"/>
          </w:tcPr>
          <w:p>
            <w:r>
              <w:rPr>
                <w:sz w:val="20"/>
              </w:rPr>
              <w:t>Decision Style</w:t>
            </w:r>
          </w:p>
        </w:tc>
        <w:tc>
          <w:tcPr>
            <w:tcW w:type="dxa" w:w="4320"/>
            <w:shd w:val="clear" w:color="auto" w:fill="F3F0FF"/>
          </w:tcPr>
          <w:p>
            <w:r>
              <w:rPr>
                <w:sz w:val="20"/>
              </w:rPr>
              <w:t>analytical</w:t>
            </w:r>
          </w:p>
        </w:tc>
      </w:tr>
      <w:tr>
        <w:tc>
          <w:tcPr>
            <w:tcW w:type="dxa" w:w="4320"/>
          </w:tcPr>
          <w:p>
            <w:r>
              <w:rPr>
                <w:sz w:val="20"/>
              </w:rPr>
              <w:t>Trust Anchor</w:t>
            </w:r>
          </w:p>
        </w:tc>
        <w:tc>
          <w:tcPr>
            <w:tcW w:type="dxa" w:w="4320"/>
          </w:tcPr>
          <w:p>
            <w:r>
              <w:rPr>
                <w:sz w:val="20"/>
              </w:rPr>
              <w:t>family</w:t>
            </w:r>
          </w:p>
        </w:tc>
      </w:tr>
      <w:tr>
        <w:tc>
          <w:tcPr>
            <w:tcW w:type="dxa" w:w="4320"/>
            <w:shd w:val="clear" w:color="auto" w:fill="F3F0FF"/>
          </w:tcPr>
          <w:p>
            <w:r>
              <w:rPr>
                <w:sz w:val="20"/>
              </w:rPr>
              <w:t>Risk Appetite</w:t>
            </w:r>
          </w:p>
        </w:tc>
        <w:tc>
          <w:tcPr>
            <w:tcW w:type="dxa" w:w="4320"/>
            <w:shd w:val="clear" w:color="auto" w:fill="F3F0FF"/>
          </w:tcPr>
          <w:p>
            <w:r>
              <w:rPr>
                <w:sz w:val="20"/>
              </w:rPr>
              <w:t>high</w:t>
            </w:r>
          </w:p>
        </w:tc>
      </w:tr>
      <w:tr>
        <w:tc>
          <w:tcPr>
            <w:tcW w:type="dxa" w:w="4320"/>
          </w:tcPr>
          <w:p>
            <w:r>
              <w:rPr>
                <w:sz w:val="20"/>
              </w:rPr>
              <w:t>Health Anxiety</w:t>
            </w:r>
          </w:p>
        </w:tc>
        <w:tc>
          <w:tcPr>
            <w:tcW w:type="dxa" w:w="4320"/>
          </w:tcPr>
          <w:p>
            <w:r>
              <w:rPr>
                <w:sz w:val="20"/>
              </w:rPr>
              <w:t>0.2762059104835589</w:t>
            </w:r>
          </w:p>
        </w:tc>
      </w:tr>
      <w:tr>
        <w:tc>
          <w:tcPr>
            <w:tcW w:type="dxa" w:w="4320"/>
            <w:shd w:val="clear" w:color="auto" w:fill="F3F0FF"/>
          </w:tcPr>
          <w:p>
            <w:r>
              <w:rPr>
                <w:sz w:val="20"/>
              </w:rPr>
              <w:t>Social Proof Bias</w:t>
            </w:r>
          </w:p>
        </w:tc>
        <w:tc>
          <w:tcPr>
            <w:tcW w:type="dxa" w:w="4320"/>
            <w:shd w:val="clear" w:color="auto" w:fill="F3F0FF"/>
          </w:tcPr>
          <w:p>
            <w:r>
              <w:rPr>
                <w:sz w:val="20"/>
              </w:rPr>
              <w:t>0.24486517491286863</w:t>
            </w:r>
          </w:p>
        </w:tc>
      </w:tr>
      <w:tr>
        <w:tc>
          <w:tcPr>
            <w:tcW w:type="dxa" w:w="4320"/>
          </w:tcPr>
          <w:p>
            <w:r>
              <w:rPr>
                <w:sz w:val="20"/>
              </w:rPr>
              <w:t>Best-for-Child Intensity</w:t>
            </w:r>
          </w:p>
        </w:tc>
        <w:tc>
          <w:tcPr>
            <w:tcW w:type="dxa" w:w="4320"/>
          </w:tcPr>
          <w:p>
            <w:r>
              <w:rPr>
                <w:sz w:val="20"/>
              </w:rPr>
              <w:t>0.30601275139916384</w:t>
            </w:r>
          </w:p>
        </w:tc>
      </w:tr>
    </w:tbl>
    <w:p/>
    <w:p>
      <w:r>
        <w:rPr>
          <w:b/>
          <w:i w:val="0"/>
          <w:sz w:val="22"/>
        </w:rPr>
        <w:t>Decision at Tick 35: TRIAL (confidence: 0.78)</w:t>
      </w:r>
    </w:p>
    <w:p>
      <w:r>
        <w:rPr>
          <w:b/>
          <w:sz w:val="20"/>
        </w:rPr>
        <w:t xml:space="preserve">Step 1: </w:t>
      </w:r>
      <w:r>
        <w:rPr>
          <w:sz w:val="20"/>
        </w:rPr>
        <w:t>Step 1: My gut says this is worth trying — the pediatrician mentioned magnesium, I've seen it multiple times on Instagram, and Rs 499 for a month isn't breaking the bank. The gummy format is a huge plus since getting my kids to take anything is usually a battle.</w:t>
      </w:r>
    </w:p>
    <w:p>
      <w:r>
        <w:rPr>
          <w:b/>
          <w:sz w:val="20"/>
        </w:rPr>
        <w:t xml:space="preserve">Step 2: </w:t>
      </w:r>
      <w:r>
        <w:rPr>
          <w:sz w:val="20"/>
        </w:rPr>
        <w:t xml:space="preserve">Step 2: I'm focusing on: (1) Pediatrician validation — he said supplementation is generally fine if the product is reputable, (2) Price point — Rs 499 fits comfortably within my Rs 7,567 monthly nutrition budget, (3) Format — gummies my child will actually eat vs. tablets they'll refuse, (4) The influencer's claim about sleep improvement in two weeks gives me a measurable timeline to assess if it </w:t>
      </w:r>
    </w:p>
    <w:p>
      <w:r>
        <w:rPr>
          <w:b/>
          <w:sz w:val="20"/>
        </w:rPr>
        <w:t xml:space="preserve">Step 3: </w:t>
      </w:r>
      <w:r>
        <w:rPr>
          <w:sz w:val="20"/>
        </w:rPr>
        <w:t>Step 3: Budget check: Rs 499/month = well under my ceiling and I make exceptions for nutrition anyway. Trust requirement: Pediatrician gave conditional approval ('if product is reputable'), multiple Instagram mentions suggest it's known, LittleJoys appears to be a recognized brand name. No hard blockers — this isn't experimental, it's addressing a specific concern (sleep/magnesium) flagged by a me</w:t>
      </w:r>
    </w:p>
    <w:p>
      <w:r>
        <w:rPr>
          <w:b/>
          <w:sz w:val="20"/>
        </w:rPr>
        <w:t xml:space="preserve">Step 4: </w:t>
      </w:r>
      <w:r>
        <w:rPr>
          <w:sz w:val="20"/>
        </w:rPr>
        <w:t>Step 4: My pediatrician already greenlit magnesium supplementation in principle. If I mentioned this to my sister or mother-in-law, they'd probably ask 'did the doctor say it's okay?' — which he did. The mom influencer showing her child taking it provides social proof that other parents trust this. No one in my circle would object to trying a Rs 499 supplement that a doctor mentioned and other mom</w:t>
      </w:r>
    </w:p>
    <w:p>
      <w:r>
        <w:rPr>
          <w:b/>
          <w:sz w:val="20"/>
        </w:rPr>
        <w:t xml:space="preserve">Step 5: </w:t>
      </w:r>
      <w:r>
        <w:rPr>
          <w:sz w:val="20"/>
        </w:rPr>
        <w:t>Step 5: I'm going to trial this. It checks all my boxes: pediatrician-mentioned, affordable, convenient format, and I've seen enough about it to feel it's legitimate. I'll buy one 30-day pack and assess after two weeks like the influencer mentioned. If I see improvement in my 12-year-old's sleep or overall energy, I'll continue; if not, it's a manageable one-time expense.</w:t>
      </w:r>
    </w:p>
    <w:p>
      <w:r>
        <w:rPr>
          <w:b w:val="0"/>
          <w:i/>
          <w:sz w:val="22"/>
        </w:rPr>
        <w:t>Key drivers: Pediatrician endorsement of magnesium supplementation | Affordable price point within nutrition budget | Gummy format ensures child compliance</w:t>
      </w:r>
    </w:p>
    <w:p>
      <w:r>
        <w:rPr>
          <w:b w:val="0"/>
          <w:i/>
          <w:sz w:val="22"/>
        </w:rPr>
        <w:t>Objections: Need to verify LittleJoys is actually a reputable brand as pediatrician specifie</w:t>
      </w:r>
    </w:p>
    <w:p>
      <w:r>
        <w:rPr>
          <w:b w:val="0"/>
          <w:i/>
          <w:sz w:val="22"/>
        </w:rPr>
        <w:t>Follow-up action: Purchase one 30-day pack via quick commerce, possibly do a quick Google search for 'LittleJoys brand review' while waiting for delivery, monitor child's sleep patterns over the next two weeks</w:t>
      </w:r>
    </w:p>
    <w:p/>
    <w:p>
      <w:r>
        <w:rPr>
          <w:b/>
          <w:i w:val="0"/>
          <w:sz w:val="22"/>
        </w:rPr>
        <w:t>Decision at Tick 45: BUY (confidence: 0.82)</w:t>
      </w:r>
    </w:p>
    <w:p>
      <w:r>
        <w:rPr>
          <w:b/>
          <w:sz w:val="20"/>
        </w:rPr>
        <w:t xml:space="preserve">Step 1: </w:t>
      </w:r>
      <w:r>
        <w:rPr>
          <w:sz w:val="20"/>
        </w:rPr>
        <w:t>Step 1: My gut says this is working — the sleep improvement feels real, even if I'm not 100% certain. For Rs 499, continuing makes sense since we're already seeing results and my child likes taking them.</w:t>
      </w:r>
    </w:p>
    <w:p>
      <w:r>
        <w:rPr>
          <w:b/>
          <w:sz w:val="20"/>
        </w:rPr>
        <w:t xml:space="preserve">Step 2: </w:t>
      </w:r>
      <w:r>
        <w:rPr>
          <w:sz w:val="20"/>
        </w:rPr>
        <w:t>Step 2: I'm focusing on three data points: (1) the pediatrician's endorsement and follow-up approval, (2) the observed sleep improvement over 10 days, and (3) my child's acceptance of the product (taste, no stomach issues). The analytical side of me notes the timeline aligns with when benefits might start showing. The price point of Rs 499 per month fits comfortably within my Rs 7,567 nutrition bu</w:t>
      </w:r>
    </w:p>
    <w:p>
      <w:r>
        <w:rPr>
          <w:b/>
          <w:sz w:val="20"/>
        </w:rPr>
        <w:t xml:space="preserve">Step 3: </w:t>
      </w:r>
      <w:r>
        <w:rPr>
          <w:sz w:val="20"/>
        </w:rPr>
        <w:t>Step 3: Budget check: Rs 499/month = ~6.6% of my nutrition budget — well within limits. The pediatrician approved it, which meets my trust requirement for supplements. My child tolerates it well, which is non-negotiable for continuation. No hard constraints violated.</w:t>
      </w:r>
    </w:p>
    <w:p>
      <w:r>
        <w:rPr>
          <w:b/>
          <w:sz w:val="20"/>
        </w:rPr>
        <w:t xml:space="preserve">Step 4: </w:t>
      </w:r>
      <w:r>
        <w:rPr>
          <w:sz w:val="20"/>
        </w:rPr>
        <w:t>Step 4: The pediatrician mentioned it initially and approved continuation — that's my primary trust anchor met. If I mentioned the sleep improvement to family, they'd likely support continuing something that seems to be working, especially at this price point. There's social validation from the parent forums I scanned earlier showing others using magnesium for similar issues.</w:t>
      </w:r>
    </w:p>
    <w:p>
      <w:r>
        <w:rPr>
          <w:b/>
          <w:sz w:val="20"/>
        </w:rPr>
        <w:t xml:space="preserve">Step 5: </w:t>
      </w:r>
      <w:r>
        <w:rPr>
          <w:sz w:val="20"/>
        </w:rPr>
        <w:t>Step 5: I'm reordering before the pack runs out. The combination of pediatrician backing, observed improvement, child acceptance, and affordable price point makes this an easy continuation decision. I'll order in the next day or two to ensure no gap in supplementation.</w:t>
      </w:r>
    </w:p>
    <w:p>
      <w:r>
        <w:rPr>
          <w:b w:val="0"/>
          <w:i/>
          <w:sz w:val="22"/>
        </w:rPr>
        <w:t>Key drivers: Observed sleep improvement after 10 days | Pediatrician endorsement and approval | Child accepts product without issues</w:t>
      </w:r>
    </w:p>
    <w:p>
      <w:r>
        <w:rPr>
          <w:b w:val="0"/>
          <w:i/>
          <w:sz w:val="22"/>
        </w:rPr>
        <w:t>Objections: Slight uncertainty whether improvement is placebo effect or genuinely the magnes</w:t>
      </w:r>
    </w:p>
    <w:p>
      <w:r>
        <w:rPr>
          <w:b w:val="0"/>
          <w:i/>
          <w:sz w:val="22"/>
        </w:rPr>
        <w:t>Follow-up action: Reorders the 30-day pack within 1-2 days to avoid running out, likely through the same quick commerce platform</w:t>
      </w:r>
    </w:p>
    <w:p/>
    <w:p>
      <w:r>
        <w:rPr>
          <w:b w:val="0"/>
          <w:i/>
          <w:color w:val="0EB88A"/>
          <w:sz w:val="22"/>
        </w:rPr>
        <w:t>Trust trajectory: Tick 22=0.25 → Tick 24=0.25 → Tick 45=0.65</w:t>
      </w:r>
    </w:p>
    <w:p/>
    <w:p>
      <w:pPr>
        <w:pStyle w:val="Heading3"/>
      </w:pPr>
      <w:r>
        <w:t>Non-Reorderer: Hina — Problem B (Did Not Reorder)</w:t>
      </w:r>
    </w:p>
    <w:tbl>
      <w:tblPr>
        <w:tblStyle w:val="TableGrid"/>
        <w:tblW w:type="auto" w:w="0"/>
        <w:tblLook w:firstColumn="1" w:firstRow="1" w:lastColumn="0" w:lastRow="0" w:noHBand="0" w:noVBand="1" w:val="04A0"/>
      </w:tblPr>
      <w:tblGrid>
        <w:gridCol w:w="4320"/>
        <w:gridCol w:w="4320"/>
      </w:tblGrid>
      <w:tr>
        <w:tc>
          <w:tcPr>
            <w:tcW w:type="dxa" w:w="4320"/>
            <w:shd w:val="clear" w:color="auto" w:fill="6B46C1"/>
          </w:tcPr>
          <w:p>
            <w:r>
              <w:rPr>
                <w:b/>
                <w:color w:val="FFFFFF"/>
                <w:sz w:val="20"/>
              </w:rPr>
              <w:t>Attribute</w:t>
            </w:r>
          </w:p>
        </w:tc>
        <w:tc>
          <w:tcPr>
            <w:tcW w:type="dxa" w:w="4320"/>
            <w:shd w:val="clear" w:color="auto" w:fill="6B46C1"/>
          </w:tcPr>
          <w:p>
            <w:r>
              <w:rPr>
                <w:b/>
                <w:color w:val="FFFFFF"/>
                <w:sz w:val="20"/>
              </w:rPr>
              <w:t>Value</w:t>
            </w:r>
          </w:p>
        </w:tc>
      </w:tr>
      <w:tr>
        <w:tc>
          <w:tcPr>
            <w:tcW w:type="dxa" w:w="4320"/>
          </w:tcPr>
          <w:p>
            <w:r>
              <w:rPr>
                <w:sz w:val="20"/>
              </w:rPr>
              <w:t>Age</w:t>
            </w:r>
          </w:p>
        </w:tc>
        <w:tc>
          <w:tcPr>
            <w:tcW w:type="dxa" w:w="4320"/>
          </w:tcPr>
          <w:p>
            <w:r>
              <w:rPr>
                <w:sz w:val="20"/>
              </w:rPr>
              <w:t>28</w:t>
            </w:r>
          </w:p>
        </w:tc>
      </w:tr>
      <w:tr>
        <w:tc>
          <w:tcPr>
            <w:tcW w:type="dxa" w:w="4320"/>
            <w:shd w:val="clear" w:color="auto" w:fill="F3F0FF"/>
          </w:tcPr>
          <w:p>
            <w:r>
              <w:rPr>
                <w:sz w:val="20"/>
              </w:rPr>
              <w:t>City</w:t>
            </w:r>
          </w:p>
        </w:tc>
        <w:tc>
          <w:tcPr>
            <w:tcW w:type="dxa" w:w="4320"/>
            <w:shd w:val="clear" w:color="auto" w:fill="F3F0FF"/>
          </w:tcPr>
          <w:p>
            <w:r>
              <w:rPr>
                <w:sz w:val="20"/>
              </w:rPr>
              <w:t>Ranchi</w:t>
            </w:r>
          </w:p>
        </w:tc>
      </w:tr>
      <w:tr>
        <w:tc>
          <w:tcPr>
            <w:tcW w:type="dxa" w:w="4320"/>
          </w:tcPr>
          <w:p>
            <w:r>
              <w:rPr>
                <w:sz w:val="20"/>
              </w:rPr>
              <w:t>Income Band</w:t>
            </w:r>
          </w:p>
        </w:tc>
        <w:tc>
          <w:tcPr>
            <w:tcW w:type="dxa" w:w="4320"/>
          </w:tcPr>
          <w:p>
            <w:r>
              <w:rPr>
                <w:sz w:val="20"/>
              </w:rPr>
              <w:t>None</w:t>
            </w:r>
          </w:p>
        </w:tc>
      </w:tr>
      <w:tr>
        <w:tc>
          <w:tcPr>
            <w:tcW w:type="dxa" w:w="4320"/>
            <w:shd w:val="clear" w:color="auto" w:fill="F3F0FF"/>
          </w:tcPr>
          <w:p>
            <w:r>
              <w:rPr>
                <w:sz w:val="20"/>
              </w:rPr>
              <w:t>Decision Style</w:t>
            </w:r>
          </w:p>
        </w:tc>
        <w:tc>
          <w:tcPr>
            <w:tcW w:type="dxa" w:w="4320"/>
            <w:shd w:val="clear" w:color="auto" w:fill="F3F0FF"/>
          </w:tcPr>
          <w:p>
            <w:r>
              <w:rPr>
                <w:sz w:val="20"/>
              </w:rPr>
              <w:t>social</w:t>
            </w:r>
          </w:p>
        </w:tc>
      </w:tr>
      <w:tr>
        <w:tc>
          <w:tcPr>
            <w:tcW w:type="dxa" w:w="4320"/>
          </w:tcPr>
          <w:p>
            <w:r>
              <w:rPr>
                <w:sz w:val="20"/>
              </w:rPr>
              <w:t>Trust Anchor</w:t>
            </w:r>
          </w:p>
        </w:tc>
        <w:tc>
          <w:tcPr>
            <w:tcW w:type="dxa" w:w="4320"/>
          </w:tcPr>
          <w:p>
            <w:r>
              <w:rPr>
                <w:sz w:val="20"/>
              </w:rPr>
              <w:t>self</w:t>
            </w:r>
          </w:p>
        </w:tc>
      </w:tr>
      <w:tr>
        <w:tc>
          <w:tcPr>
            <w:tcW w:type="dxa" w:w="4320"/>
            <w:shd w:val="clear" w:color="auto" w:fill="F3F0FF"/>
          </w:tcPr>
          <w:p>
            <w:r>
              <w:rPr>
                <w:sz w:val="20"/>
              </w:rPr>
              <w:t>Risk Appetite</w:t>
            </w:r>
          </w:p>
        </w:tc>
        <w:tc>
          <w:tcPr>
            <w:tcW w:type="dxa" w:w="4320"/>
            <w:shd w:val="clear" w:color="auto" w:fill="F3F0FF"/>
          </w:tcPr>
          <w:p>
            <w:r>
              <w:rPr>
                <w:sz w:val="20"/>
              </w:rPr>
              <w:t>high</w:t>
            </w:r>
          </w:p>
        </w:tc>
      </w:tr>
      <w:tr>
        <w:tc>
          <w:tcPr>
            <w:tcW w:type="dxa" w:w="4320"/>
          </w:tcPr>
          <w:p>
            <w:r>
              <w:rPr>
                <w:sz w:val="20"/>
              </w:rPr>
              <w:t>Health Anxiety</w:t>
            </w:r>
          </w:p>
        </w:tc>
        <w:tc>
          <w:tcPr>
            <w:tcW w:type="dxa" w:w="4320"/>
          </w:tcPr>
          <w:p>
            <w:r>
              <w:rPr>
                <w:sz w:val="20"/>
              </w:rPr>
              <w:t>0.6037942421944287</w:t>
            </w:r>
          </w:p>
        </w:tc>
      </w:tr>
      <w:tr>
        <w:tc>
          <w:tcPr>
            <w:tcW w:type="dxa" w:w="4320"/>
            <w:shd w:val="clear" w:color="auto" w:fill="F3F0FF"/>
          </w:tcPr>
          <w:p>
            <w:r>
              <w:rPr>
                <w:sz w:val="20"/>
              </w:rPr>
              <w:t>Social Proof Bias</w:t>
            </w:r>
          </w:p>
        </w:tc>
        <w:tc>
          <w:tcPr>
            <w:tcW w:type="dxa" w:w="4320"/>
            <w:shd w:val="clear" w:color="auto" w:fill="F3F0FF"/>
          </w:tcPr>
          <w:p>
            <w:r>
              <w:rPr>
                <w:sz w:val="20"/>
              </w:rPr>
              <w:t>0.7467113811073648</w:t>
            </w:r>
          </w:p>
        </w:tc>
      </w:tr>
      <w:tr>
        <w:tc>
          <w:tcPr>
            <w:tcW w:type="dxa" w:w="4320"/>
          </w:tcPr>
          <w:p>
            <w:r>
              <w:rPr>
                <w:sz w:val="20"/>
              </w:rPr>
              <w:t>Best-for-Child Intensity</w:t>
            </w:r>
          </w:p>
        </w:tc>
        <w:tc>
          <w:tcPr>
            <w:tcW w:type="dxa" w:w="4320"/>
          </w:tcPr>
          <w:p>
            <w:r>
              <w:rPr>
                <w:sz w:val="20"/>
              </w:rPr>
              <w:t>0.6477048244592112</w:t>
            </w:r>
          </w:p>
        </w:tc>
      </w:tr>
    </w:tbl>
    <w:p/>
    <w:p>
      <w:r>
        <w:rPr>
          <w:b/>
          <w:i w:val="0"/>
          <w:sz w:val="22"/>
        </w:rPr>
        <w:t>Decision at Tick 35: RESEARCH_MORE (confidence: 0.72)</w:t>
      </w:r>
    </w:p>
    <w:p>
      <w:r>
        <w:rPr>
          <w:b/>
          <w:sz w:val="20"/>
        </w:rPr>
        <w:t xml:space="preserve">Step 1: </w:t>
      </w:r>
      <w:r>
        <w:rPr>
          <w:sz w:val="20"/>
        </w:rPr>
        <w:t>Step 1: Gut reaction is cautiously positive — the pediatrician mentioned it, the price fits my budget, and it's in gummy format which my kids will actually take. But I can't just buy it without checking what other moms say first.</w:t>
      </w:r>
    </w:p>
    <w:p>
      <w:r>
        <w:rPr>
          <w:b/>
          <w:sz w:val="20"/>
        </w:rPr>
        <w:t xml:space="preserve">Step 2: </w:t>
      </w:r>
      <w:r>
        <w:rPr>
          <w:sz w:val="20"/>
        </w:rPr>
        <w:t>Step 2: I focus on: (a) Rs 499 for 30 days is within my Rs 5,586 monthly nutrition budget, (b) pediatrician validation gives initial credibility, (c) gummy format solves the compliance issue I always face, (d) saw it on Instagram from an influencer which planted the seed, but (e) I need real mom feedback, not just sponsored content.</w:t>
      </w:r>
    </w:p>
    <w:p>
      <w:r>
        <w:rPr>
          <w:b/>
          <w:sz w:val="20"/>
        </w:rPr>
        <w:t xml:space="preserve">Step 3: </w:t>
      </w:r>
      <w:r>
        <w:rPr>
          <w:sz w:val="20"/>
        </w:rPr>
        <w:t>Step 3: Budget is not a barrier — Rs 499 is well within limits. My hard constraint is social validation: I cannot try a new nutrition product without checking my mom-group WhatsApp or getting at least 2-3 peer endorsements. My trust anchor is self, but my coping mechanism requires peer reassurance before new product trials.</w:t>
      </w:r>
    </w:p>
    <w:p>
      <w:r>
        <w:rPr>
          <w:b/>
          <w:sz w:val="20"/>
        </w:rPr>
        <w:t xml:space="preserve">Step 4: </w:t>
      </w:r>
      <w:r>
        <w:rPr>
          <w:sz w:val="20"/>
        </w:rPr>
        <w:t>Step 4: I need to post in my mom WhatsApp group asking 'Has anyone tried LittleJoys Magnesium Gummies for their kids?' I'll also search parent forums and Amazon reviews for real feedback. If even 2-3 moms say positive things, or if I see good reviews mentioning actual results, I'll feel confident. Without this social proof, the pediatrician's generic approval isn't enough.</w:t>
      </w:r>
    </w:p>
    <w:p>
      <w:r>
        <w:rPr>
          <w:b/>
          <w:sz w:val="20"/>
        </w:rPr>
        <w:t xml:space="preserve">Step 5: </w:t>
      </w:r>
      <w:r>
        <w:rPr>
          <w:sz w:val="20"/>
        </w:rPr>
        <w:t>Step 5: I will actively research by checking mom groups, reading Amazon reviews, and maybe DM-ing that Instagram influencer to ask follow-up questions. Once I get 2-3 positive signals from trusted sources, I'll buy it within the next few days.</w:t>
      </w:r>
    </w:p>
    <w:p>
      <w:r>
        <w:rPr>
          <w:b w:val="0"/>
          <w:i/>
          <w:sz w:val="22"/>
        </w:rPr>
        <w:t>Key drivers: Pediatrician validation provides medical credibility | Price point Rs 499 fits comfortably within monthly nutrition budget | Gummy format addresses child compliance issue</w:t>
      </w:r>
    </w:p>
    <w:p>
      <w:r>
        <w:rPr>
          <w:b w:val="0"/>
          <w:i/>
          <w:sz w:val="22"/>
        </w:rPr>
        <w:t>Objections: Lack of direct peer endorsement from trusted mom network | Influencer content feels sponsored rather than authentic | Need to verify real parent experiences before committing</w:t>
      </w:r>
    </w:p>
    <w:p>
      <w:r>
        <w:rPr>
          <w:b w:val="0"/>
          <w:i/>
          <w:sz w:val="22"/>
        </w:rPr>
        <w:t>Follow-up action: Posts in WhatsApp mom group asking about LittleJoys Magnesium Gummies, reads Amazon reviews, checks parent forums. If 2-3 positive responses come within 24-48 hours, orders one pack from Amazon to try</w:t>
      </w:r>
    </w:p>
    <w:p/>
    <w:p>
      <w:r>
        <w:rPr>
          <w:b/>
          <w:i w:val="0"/>
          <w:sz w:val="22"/>
        </w:rPr>
        <w:t>Decision at Tick 45: DEFER (confidence: 0.72)</w:t>
      </w:r>
    </w:p>
    <w:p>
      <w:r>
        <w:rPr>
          <w:b/>
          <w:sz w:val="20"/>
        </w:rPr>
        <w:t xml:space="preserve">Step 1: </w:t>
      </w:r>
      <w:r>
        <w:rPr>
          <w:sz w:val="20"/>
        </w:rPr>
        <w:t>Step 1: My gut says it's working — the sleep seems better — but I'm not 100% sure if it's really the gummies or just coincidence. I want to believe it's helping, but ₹499 feels like a lot to commit to without being certain.</w:t>
      </w:r>
    </w:p>
    <w:p>
      <w:r>
        <w:rPr>
          <w:b/>
          <w:sz w:val="20"/>
        </w:rPr>
        <w:t xml:space="preserve">Step 2: </w:t>
      </w:r>
      <w:r>
        <w:rPr>
          <w:sz w:val="20"/>
        </w:rPr>
        <w:t xml:space="preserve">Step 2: I'm focusing on: (a) the perceived sleep improvement after 10 days, though I noted it might be placebo; (b) the price of ₹499 recurring monthly adds up to nearly my entire child nutrition budget (₹5,586/month); (c) I haven't yet gotten feedback from my mom-group WhatsApp after posting about LittleJoys; (d) pediatrician said magnesium is 'generally fine' but didn't strongly endorse it; (e) </w:t>
      </w:r>
    </w:p>
    <w:p>
      <w:r>
        <w:rPr>
          <w:b/>
          <w:sz w:val="20"/>
        </w:rPr>
        <w:t xml:space="preserve">Step 3: </w:t>
      </w:r>
      <w:r>
        <w:rPr>
          <w:sz w:val="20"/>
        </w:rPr>
        <w:t>Step 3: Budget check: ₹499/month is ~9% of my child nutrition budget — not prohibitive but significant if I'm not certain of efficacy. I have high price sensitivity, so I need validation this is worth it. Trust requirement: I rely on self-judgment AND social validation — I posted in the mom-group but haven't gotten enough responses yet. Non-negotiable: child's safety (passed) and genuine benefit (</w:t>
      </w:r>
    </w:p>
    <w:p>
      <w:r>
        <w:rPr>
          <w:b/>
          <w:sz w:val="20"/>
        </w:rPr>
        <w:t xml:space="preserve">Step 4: </w:t>
      </w:r>
      <w:r>
        <w:rPr>
          <w:sz w:val="20"/>
        </w:rPr>
        <w:t>Step 4: I posted in my WhatsApp mom-group asking about LittleJoys but need to check what responses came in. Before committing to a recurring purchase, I want to hear if other moms have seen real results, or if there are cheaper alternatives they recommend. The influencer claimed results in two weeks — I'm only at 10 days. My trusted network would probably say 'wait a bit longer to be sure' or 'ask</w:t>
      </w:r>
    </w:p>
    <w:p>
      <w:r>
        <w:rPr>
          <w:b/>
          <w:sz w:val="20"/>
        </w:rPr>
        <w:t xml:space="preserve">Step 5: </w:t>
      </w:r>
      <w:r>
        <w:rPr>
          <w:sz w:val="20"/>
        </w:rPr>
        <w:t>Step 5: I'm going to defer the immediate reorder. I'll check my mom-group for feedback, continue the current pack for 5 more days to complete the full cycle, and observe more carefully whether the sleep improvement is real or my imagination. If after the full month I'm convinced AND get positive validation from my network, I'll reorder. I might also ask the pediatrician more directly about magnesi</w:t>
      </w:r>
    </w:p>
    <w:p>
      <w:r>
        <w:rPr>
          <w:b w:val="0"/>
          <w:i/>
          <w:sz w:val="22"/>
        </w:rPr>
        <w:t>Key drivers: Need for social validation from mom-group before recurring purchase | Uncertainty whether sleep improvement is real or placebo | Price sensitivity requiring clear value demonstration</w:t>
      </w:r>
    </w:p>
    <w:p>
      <w:r>
        <w:rPr>
          <w:b w:val="0"/>
          <w:i/>
          <w:sz w:val="22"/>
        </w:rPr>
        <w:t>Objections: Not yet convinced the benefit is real vs. placebo effect | Haven't received sufficient peer validation from mom-group | ₹499/month is significant without certainty of results</w:t>
      </w:r>
    </w:p>
    <w:p>
      <w:r>
        <w:rPr>
          <w:b w:val="0"/>
          <w:i/>
          <w:sz w:val="22"/>
        </w:rPr>
        <w:t>Follow-up action: Checks WhatsApp mom-group for responses about LittleJoys, continues current pack for remaining 5 days while observing sleep patterns more carefully, and prepares specific questions about magnesium for</w:t>
      </w:r>
    </w:p>
    <w:p/>
    <w:p>
      <w:r>
        <w:rPr>
          <w:b w:val="0"/>
          <w:i/>
          <w:color w:val="0EB88A"/>
          <w:sz w:val="22"/>
        </w:rPr>
        <w:t>Trust trajectory: Tick 22=0.26 → Tick 24=0.26 → Tick 45=0.72</w:t>
      </w:r>
    </w:p>
    <w:p/>
    <w:p>
      <w:pPr>
        <w:pStyle w:val="Heading2"/>
      </w:pPr>
      <w:r>
        <w:rPr>
          <w:color w:val="1A1A2E"/>
        </w:rPr>
        <w:t>Problem C: Nutrimix 7–14 Expansion</w:t>
      </w:r>
    </w:p>
    <w:p>
      <w:pPr>
        <w:pStyle w:val="Heading3"/>
      </w:pPr>
      <w:r>
        <w:t>Reorderer: Om — Problem C (Reordered)</w:t>
      </w:r>
    </w:p>
    <w:tbl>
      <w:tblPr>
        <w:tblStyle w:val="TableGrid"/>
        <w:tblW w:type="auto" w:w="0"/>
        <w:tblLook w:firstColumn="1" w:firstRow="1" w:lastColumn="0" w:lastRow="0" w:noHBand="0" w:noVBand="1" w:val="04A0"/>
      </w:tblPr>
      <w:tblGrid>
        <w:gridCol w:w="4320"/>
        <w:gridCol w:w="4320"/>
      </w:tblGrid>
      <w:tr>
        <w:tc>
          <w:tcPr>
            <w:tcW w:type="dxa" w:w="4320"/>
            <w:shd w:val="clear" w:color="auto" w:fill="6B46C1"/>
          </w:tcPr>
          <w:p>
            <w:r>
              <w:rPr>
                <w:b/>
                <w:color w:val="FFFFFF"/>
                <w:sz w:val="20"/>
              </w:rPr>
              <w:t>Attribute</w:t>
            </w:r>
          </w:p>
        </w:tc>
        <w:tc>
          <w:tcPr>
            <w:tcW w:type="dxa" w:w="4320"/>
            <w:shd w:val="clear" w:color="auto" w:fill="6B46C1"/>
          </w:tcPr>
          <w:p>
            <w:r>
              <w:rPr>
                <w:b/>
                <w:color w:val="FFFFFF"/>
                <w:sz w:val="20"/>
              </w:rPr>
              <w:t>Value</w:t>
            </w:r>
          </w:p>
        </w:tc>
      </w:tr>
      <w:tr>
        <w:tc>
          <w:tcPr>
            <w:tcW w:type="dxa" w:w="4320"/>
          </w:tcPr>
          <w:p>
            <w:r>
              <w:rPr>
                <w:sz w:val="20"/>
              </w:rPr>
              <w:t>Age</w:t>
            </w:r>
          </w:p>
        </w:tc>
        <w:tc>
          <w:tcPr>
            <w:tcW w:type="dxa" w:w="4320"/>
          </w:tcPr>
          <w:p>
            <w:r>
              <w:rPr>
                <w:sz w:val="20"/>
              </w:rPr>
              <w:t>34</w:t>
            </w:r>
          </w:p>
        </w:tc>
      </w:tr>
      <w:tr>
        <w:tc>
          <w:tcPr>
            <w:tcW w:type="dxa" w:w="4320"/>
            <w:shd w:val="clear" w:color="auto" w:fill="F3F0FF"/>
          </w:tcPr>
          <w:p>
            <w:r>
              <w:rPr>
                <w:sz w:val="20"/>
              </w:rPr>
              <w:t>City</w:t>
            </w:r>
          </w:p>
        </w:tc>
        <w:tc>
          <w:tcPr>
            <w:tcW w:type="dxa" w:w="4320"/>
            <w:shd w:val="clear" w:color="auto" w:fill="F3F0FF"/>
          </w:tcPr>
          <w:p>
            <w:r>
              <w:rPr>
                <w:sz w:val="20"/>
              </w:rPr>
              <w:t>Nagpur</w:t>
            </w:r>
          </w:p>
        </w:tc>
      </w:tr>
      <w:tr>
        <w:tc>
          <w:tcPr>
            <w:tcW w:type="dxa" w:w="4320"/>
          </w:tcPr>
          <w:p>
            <w:r>
              <w:rPr>
                <w:sz w:val="20"/>
              </w:rPr>
              <w:t>Income Band</w:t>
            </w:r>
          </w:p>
        </w:tc>
        <w:tc>
          <w:tcPr>
            <w:tcW w:type="dxa" w:w="4320"/>
          </w:tcPr>
          <w:p>
            <w:r>
              <w:rPr>
                <w:sz w:val="20"/>
              </w:rPr>
              <w:t>None</w:t>
            </w:r>
          </w:p>
        </w:tc>
      </w:tr>
      <w:tr>
        <w:tc>
          <w:tcPr>
            <w:tcW w:type="dxa" w:w="4320"/>
            <w:shd w:val="clear" w:color="auto" w:fill="F3F0FF"/>
          </w:tcPr>
          <w:p>
            <w:r>
              <w:rPr>
                <w:sz w:val="20"/>
              </w:rPr>
              <w:t>Decision Style</w:t>
            </w:r>
          </w:p>
        </w:tc>
        <w:tc>
          <w:tcPr>
            <w:tcW w:type="dxa" w:w="4320"/>
            <w:shd w:val="clear" w:color="auto" w:fill="F3F0FF"/>
          </w:tcPr>
          <w:p>
            <w:r>
              <w:rPr>
                <w:sz w:val="20"/>
              </w:rPr>
              <w:t>analytical</w:t>
            </w:r>
          </w:p>
        </w:tc>
      </w:tr>
      <w:tr>
        <w:tc>
          <w:tcPr>
            <w:tcW w:type="dxa" w:w="4320"/>
          </w:tcPr>
          <w:p>
            <w:r>
              <w:rPr>
                <w:sz w:val="20"/>
              </w:rPr>
              <w:t>Trust Anchor</w:t>
            </w:r>
          </w:p>
        </w:tc>
        <w:tc>
          <w:tcPr>
            <w:tcW w:type="dxa" w:w="4320"/>
          </w:tcPr>
          <w:p>
            <w:r>
              <w:rPr>
                <w:sz w:val="20"/>
              </w:rPr>
              <w:t>authority</w:t>
            </w:r>
          </w:p>
        </w:tc>
      </w:tr>
      <w:tr>
        <w:tc>
          <w:tcPr>
            <w:tcW w:type="dxa" w:w="4320"/>
            <w:shd w:val="clear" w:color="auto" w:fill="F3F0FF"/>
          </w:tcPr>
          <w:p>
            <w:r>
              <w:rPr>
                <w:sz w:val="20"/>
              </w:rPr>
              <w:t>Risk Appetite</w:t>
            </w:r>
          </w:p>
        </w:tc>
        <w:tc>
          <w:tcPr>
            <w:tcW w:type="dxa" w:w="4320"/>
            <w:shd w:val="clear" w:color="auto" w:fill="F3F0FF"/>
          </w:tcPr>
          <w:p>
            <w:r>
              <w:rPr>
                <w:sz w:val="20"/>
              </w:rPr>
              <w:t>high</w:t>
            </w:r>
          </w:p>
        </w:tc>
      </w:tr>
      <w:tr>
        <w:tc>
          <w:tcPr>
            <w:tcW w:type="dxa" w:w="4320"/>
          </w:tcPr>
          <w:p>
            <w:r>
              <w:rPr>
                <w:sz w:val="20"/>
              </w:rPr>
              <w:t>Health Anxiety</w:t>
            </w:r>
          </w:p>
        </w:tc>
        <w:tc>
          <w:tcPr>
            <w:tcW w:type="dxa" w:w="4320"/>
          </w:tcPr>
          <w:p>
            <w:r>
              <w:rPr>
                <w:sz w:val="20"/>
              </w:rPr>
              <w:t>0.4466684958385527</w:t>
            </w:r>
          </w:p>
        </w:tc>
      </w:tr>
      <w:tr>
        <w:tc>
          <w:tcPr>
            <w:tcW w:type="dxa" w:w="4320"/>
            <w:shd w:val="clear" w:color="auto" w:fill="F3F0FF"/>
          </w:tcPr>
          <w:p>
            <w:r>
              <w:rPr>
                <w:sz w:val="20"/>
              </w:rPr>
              <w:t>Social Proof Bias</w:t>
            </w:r>
          </w:p>
        </w:tc>
        <w:tc>
          <w:tcPr>
            <w:tcW w:type="dxa" w:w="4320"/>
            <w:shd w:val="clear" w:color="auto" w:fill="F3F0FF"/>
          </w:tcPr>
          <w:p>
            <w:r>
              <w:rPr>
                <w:sz w:val="20"/>
              </w:rPr>
              <w:t>0.2740696032584463</w:t>
            </w:r>
          </w:p>
        </w:tc>
      </w:tr>
      <w:tr>
        <w:tc>
          <w:tcPr>
            <w:tcW w:type="dxa" w:w="4320"/>
          </w:tcPr>
          <w:p>
            <w:r>
              <w:rPr>
                <w:sz w:val="20"/>
              </w:rPr>
              <w:t>Best-for-Child Intensity</w:t>
            </w:r>
          </w:p>
        </w:tc>
        <w:tc>
          <w:tcPr>
            <w:tcW w:type="dxa" w:w="4320"/>
          </w:tcPr>
          <w:p>
            <w:r>
              <w:rPr>
                <w:sz w:val="20"/>
              </w:rPr>
              <w:t>0.8839308373745346</w:t>
            </w:r>
          </w:p>
        </w:tc>
      </w:tr>
    </w:tbl>
    <w:p/>
    <w:p>
      <w:r>
        <w:rPr>
          <w:b/>
          <w:i w:val="0"/>
          <w:sz w:val="22"/>
        </w:rPr>
        <w:t>Decision at Tick 28: TRIAL (confidence: 0.72)</w:t>
      </w:r>
    </w:p>
    <w:p>
      <w:r>
        <w:rPr>
          <w:b/>
          <w:sz w:val="20"/>
        </w:rPr>
        <w:t xml:space="preserve">Step 1: </w:t>
      </w:r>
      <w:r>
        <w:rPr>
          <w:sz w:val="20"/>
        </w:rPr>
        <w:t>Step 1: Initial gut feeling is cautiously positive — the pediatrician's mention of nutrition needs for school-age children resonates, and the product seems targeted. However, the ₹649 price point versus ₹399 for Bournvita triggers immediate price sensitivity. The packaging and authority signals (pediatrician, specific formulation) create measured optimism.</w:t>
      </w:r>
    </w:p>
    <w:p>
      <w:r>
        <w:rPr>
          <w:b/>
          <w:sz w:val="20"/>
        </w:rPr>
        <w:t xml:space="preserve">Step 2: </w:t>
      </w:r>
      <w:r>
        <w:rPr>
          <w:sz w:val="20"/>
        </w:rPr>
        <w:t>Step 2: As an analytical decision-maker anchored in authority, I focus on: (a) Pediatrician's comment about iron and B12 deficiencies in school-age children — this is authoritative medical advice; (b) School parent's specific testimony about switching from Bournvita to Nutrimix two months ago with positive results — concrete peer evidence; (c) Price differential of ₹250 (62% premium) needs justifi</w:t>
      </w:r>
    </w:p>
    <w:p>
      <w:r>
        <w:rPr>
          <w:b/>
          <w:sz w:val="20"/>
        </w:rPr>
        <w:t xml:space="preserve">Step 3: </w:t>
      </w:r>
      <w:r>
        <w:rPr>
          <w:sz w:val="20"/>
        </w:rPr>
        <w:t>Step 3: Monthly child nutrition budget is ₹5,582. One 500g pack at ₹649 is roughly 11.6% of monthly budget. If it lasts ~2 weeks (typical for one child), monthly cost would be ~₹1,300 — well within budget ceiling. High price sensitivity means I need to justify the premium, but budget constraint is not violated. Trust requirement: pediatrician mention + school parent testimony provides sufficient a</w:t>
      </w:r>
    </w:p>
    <w:p>
      <w:r>
        <w:rPr>
          <w:b/>
          <w:sz w:val="20"/>
        </w:rPr>
        <w:t xml:space="preserve">Step 4: </w:t>
      </w:r>
      <w:r>
        <w:rPr>
          <w:sz w:val="20"/>
        </w:rPr>
        <w:t>Step 4: Trust network signals are mixed but leaning positive: Pediatrician (highest authority) flagged nutritional gaps, school parent (peer authority) reported positive switch experience, school WhatsApp group discussing child fatigue indicates shared concern. No negative signals detected. In joint household setting, would need to justify premium to family, but medical authority and targeted form</w:t>
      </w:r>
    </w:p>
    <w:p>
      <w:r>
        <w:rPr>
          <w:b/>
          <w:sz w:val="20"/>
        </w:rPr>
        <w:t xml:space="preserve">Step 5: </w:t>
      </w:r>
      <w:r>
        <w:rPr>
          <w:sz w:val="20"/>
        </w:rPr>
        <w:t>Step 5: Decision is to trial one pack. The convergence of pediatrician concern, peer testimony, and product specificity outweighs price sensitivity for an initial trial. My coping mechanism of 'measured optimism based on packaging trust and first impressions' is activated — the authority signals are strong enough. Will purchase one 500g pack from BigBasket (preferred platform for comparison) to ev</w:t>
      </w:r>
    </w:p>
    <w:p>
      <w:r>
        <w:rPr>
          <w:b w:val="0"/>
          <w:i/>
          <w:sz w:val="22"/>
        </w:rPr>
        <w:t>Key drivers: Pediatrician's authority signal about iron and B12 needs | School parent's direct testimony about positive switch from Bournvita | Product specificity for school-age children matching my 7-year-old's needs</w:t>
      </w:r>
    </w:p>
    <w:p>
      <w:r>
        <w:rPr>
          <w:b w:val="0"/>
          <w:i/>
          <w:sz w:val="22"/>
        </w:rPr>
        <w:t>Objections: 62% price premium over Bournvita requires clear benefit demonstration | Need to observe tangible improvement in child's energy/focus to justify repeat p</w:t>
      </w:r>
    </w:p>
    <w:p>
      <w:r>
        <w:rPr>
          <w:b w:val="0"/>
          <w:i/>
          <w:sz w:val="22"/>
        </w:rPr>
        <w:t>Follow-up action: Orders one 500g pack from BigBasket to trial for 2 weeks, will monitor child's energy levels and appetite, and compare value against current nutrition spend before deciding on repeat purchase</w:t>
      </w:r>
    </w:p>
    <w:p/>
    <w:p>
      <w:r>
        <w:rPr>
          <w:b/>
          <w:i w:val="0"/>
          <w:sz w:val="22"/>
        </w:rPr>
        <w:t>Decision at Tick 60: BUY (confidence: 0.78)</w:t>
      </w:r>
    </w:p>
    <w:p>
      <w:r>
        <w:rPr>
          <w:b/>
          <w:sz w:val="20"/>
        </w:rPr>
        <w:t xml:space="preserve">Step 1: </w:t>
      </w:r>
      <w:r>
        <w:rPr>
          <w:sz w:val="20"/>
        </w:rPr>
        <w:t>Step 1: Gut reaction is mixed — I've seen real improvements in my child's alertness and they're actually asking for it, which rarely happens. But Rs 649 versus Rs 399 for Bournvita makes my budget-conscious mind pause. The price difference is significant, nearly Rs 250.</w:t>
      </w:r>
    </w:p>
    <w:p>
      <w:r>
        <w:rPr>
          <w:b/>
          <w:sz w:val="20"/>
        </w:rPr>
        <w:t xml:space="preserve">Step 2: </w:t>
      </w:r>
      <w:r>
        <w:rPr>
          <w:sz w:val="20"/>
        </w:rPr>
        <w:t>Step 2: I focus on the tangible outcomes I've observed: clean mixing (no waste), child acceptance without complaints, the noticeable alertness during homework, and most importantly the pediatrician's recent mention of iron and B12 needs for school-age children. The school parent's testimonial about her 8-year-old's improvement on Nutrimix also carries weight. I compare this against Bournvita's fam</w:t>
      </w:r>
    </w:p>
    <w:p>
      <w:r>
        <w:rPr>
          <w:b/>
          <w:sz w:val="20"/>
        </w:rPr>
        <w:t xml:space="preserve">Step 3: </w:t>
      </w:r>
      <w:r>
        <w:rPr>
          <w:sz w:val="20"/>
        </w:rPr>
        <w:t>Step 3: My budget is Rs 5,582/month for child nutrition — Rs 649 is about 11.6% of that, well within bounds. The product has proven functional efficacy in week one and continued through week four. My constraint isn't the absolute price, it's value justification. The child's response (asking for 'the brown milk drink') and observable alertness meet my non-negotiable requirement for proof of benefit</w:t>
      </w:r>
    </w:p>
    <w:p>
      <w:r>
        <w:rPr>
          <w:b/>
          <w:sz w:val="20"/>
        </w:rPr>
        <w:t xml:space="preserve">Step 4: </w:t>
      </w:r>
      <w:r>
        <w:rPr>
          <w:sz w:val="20"/>
        </w:rPr>
        <w:t>Step 4: The pediatrician's authority signal about iron and B12 deficiencies aligns with Nutrimix's positioning. The school parent's positive experience (2 months of sustained use) validates longevity. My joint household family would likely question the price premium, but the visible homework alertness improvement gives me concrete defense. The influencer reel and school WhatsApp discussion about c</w:t>
      </w:r>
    </w:p>
    <w:p>
      <w:r>
        <w:rPr>
          <w:b/>
          <w:sz w:val="20"/>
        </w:rPr>
        <w:t xml:space="preserve">Step 5: </w:t>
      </w:r>
      <w:r>
        <w:rPr>
          <w:sz w:val="20"/>
        </w:rPr>
        <w:t>Step 5: I reorder Nutrimix at Rs 649. The analytical case is clear: observed functional outcomes (alertness, acceptance), authority validation (pediatrician's nutritional guidance), and budget feasibility outweigh the Rs 250 savings from Bournvita. My high risk appetite supports paying more for demonstrated results. I may look for bulk discounts or subscription options for future orders to optimiz</w:t>
      </w:r>
    </w:p>
    <w:p>
      <w:r>
        <w:rPr>
          <w:b w:val="0"/>
          <w:i/>
          <w:sz w:val="22"/>
        </w:rPr>
        <w:t>Key drivers: Observable child improvement (homework alertness) | Pediatrician authority signal on iron/B12 needs | Child's voluntary acceptance and request for product</w:t>
      </w:r>
    </w:p>
    <w:p>
      <w:r>
        <w:rPr>
          <w:b w:val="0"/>
          <w:i/>
          <w:sz w:val="22"/>
        </w:rPr>
        <w:t>Objections: Rs 250 price premium over Bournvita with no discount | Potential family questioning about price choice</w:t>
      </w:r>
    </w:p>
    <w:p>
      <w:r>
        <w:rPr>
          <w:b w:val="0"/>
          <w:i/>
          <w:sz w:val="22"/>
        </w:rPr>
        <w:t>Follow-up action: Orders Nutrimix at Rs 649, then searches Flipkart for subscription or bulk purchase options to reduce future per-unit cost</w:t>
      </w:r>
    </w:p>
    <w:p/>
    <w:p>
      <w:r>
        <w:rPr>
          <w:b w:val="0"/>
          <w:i/>
          <w:color w:val="0EB88A"/>
          <w:sz w:val="22"/>
        </w:rPr>
        <w:t>Trust trajectory: Tick 10=0.2 → Tick 12=0.37 → Tick 9=0.2</w:t>
      </w:r>
    </w:p>
    <w:p/>
    <w:p>
      <w:pPr>
        <w:pStyle w:val="Heading3"/>
      </w:pPr>
      <w:r>
        <w:t>Non-Reorderer: Zara — Problem C (Did Not Reorder)</w:t>
      </w:r>
    </w:p>
    <w:tbl>
      <w:tblPr>
        <w:tblStyle w:val="TableGrid"/>
        <w:tblW w:type="auto" w:w="0"/>
        <w:tblLook w:firstColumn="1" w:firstRow="1" w:lastColumn="0" w:lastRow="0" w:noHBand="0" w:noVBand="1" w:val="04A0"/>
      </w:tblPr>
      <w:tblGrid>
        <w:gridCol w:w="4320"/>
        <w:gridCol w:w="4320"/>
      </w:tblGrid>
      <w:tr>
        <w:tc>
          <w:tcPr>
            <w:tcW w:type="dxa" w:w="4320"/>
            <w:shd w:val="clear" w:color="auto" w:fill="6B46C1"/>
          </w:tcPr>
          <w:p>
            <w:r>
              <w:rPr>
                <w:b/>
                <w:color w:val="FFFFFF"/>
                <w:sz w:val="20"/>
              </w:rPr>
              <w:t>Attribute</w:t>
            </w:r>
          </w:p>
        </w:tc>
        <w:tc>
          <w:tcPr>
            <w:tcW w:type="dxa" w:w="4320"/>
            <w:shd w:val="clear" w:color="auto" w:fill="6B46C1"/>
          </w:tcPr>
          <w:p>
            <w:r>
              <w:rPr>
                <w:b/>
                <w:color w:val="FFFFFF"/>
                <w:sz w:val="20"/>
              </w:rPr>
              <w:t>Value</w:t>
            </w:r>
          </w:p>
        </w:tc>
      </w:tr>
      <w:tr>
        <w:tc>
          <w:tcPr>
            <w:tcW w:type="dxa" w:w="4320"/>
          </w:tcPr>
          <w:p>
            <w:r>
              <w:rPr>
                <w:sz w:val="20"/>
              </w:rPr>
              <w:t>Age</w:t>
            </w:r>
          </w:p>
        </w:tc>
        <w:tc>
          <w:tcPr>
            <w:tcW w:type="dxa" w:w="4320"/>
          </w:tcPr>
          <w:p>
            <w:r>
              <w:rPr>
                <w:sz w:val="20"/>
              </w:rPr>
              <w:t>28</w:t>
            </w:r>
          </w:p>
        </w:tc>
      </w:tr>
      <w:tr>
        <w:tc>
          <w:tcPr>
            <w:tcW w:type="dxa" w:w="4320"/>
            <w:shd w:val="clear" w:color="auto" w:fill="F3F0FF"/>
          </w:tcPr>
          <w:p>
            <w:r>
              <w:rPr>
                <w:sz w:val="20"/>
              </w:rPr>
              <w:t>City</w:t>
            </w:r>
          </w:p>
        </w:tc>
        <w:tc>
          <w:tcPr>
            <w:tcW w:type="dxa" w:w="4320"/>
            <w:shd w:val="clear" w:color="auto" w:fill="F3F0FF"/>
          </w:tcPr>
          <w:p>
            <w:r>
              <w:rPr>
                <w:sz w:val="20"/>
              </w:rPr>
              <w:t>Delhi</w:t>
            </w:r>
          </w:p>
        </w:tc>
      </w:tr>
      <w:tr>
        <w:tc>
          <w:tcPr>
            <w:tcW w:type="dxa" w:w="4320"/>
          </w:tcPr>
          <w:p>
            <w:r>
              <w:rPr>
                <w:sz w:val="20"/>
              </w:rPr>
              <w:t>Income Band</w:t>
            </w:r>
          </w:p>
        </w:tc>
        <w:tc>
          <w:tcPr>
            <w:tcW w:type="dxa" w:w="4320"/>
          </w:tcPr>
          <w:p>
            <w:r>
              <w:rPr>
                <w:sz w:val="20"/>
              </w:rPr>
              <w:t>None</w:t>
            </w:r>
          </w:p>
        </w:tc>
      </w:tr>
      <w:tr>
        <w:tc>
          <w:tcPr>
            <w:tcW w:type="dxa" w:w="4320"/>
            <w:shd w:val="clear" w:color="auto" w:fill="F3F0FF"/>
          </w:tcPr>
          <w:p>
            <w:r>
              <w:rPr>
                <w:sz w:val="20"/>
              </w:rPr>
              <w:t>Decision Style</w:t>
            </w:r>
          </w:p>
        </w:tc>
        <w:tc>
          <w:tcPr>
            <w:tcW w:type="dxa" w:w="4320"/>
            <w:shd w:val="clear" w:color="auto" w:fill="F3F0FF"/>
          </w:tcPr>
          <w:p>
            <w:r>
              <w:rPr>
                <w:sz w:val="20"/>
              </w:rPr>
              <w:t>habitual</w:t>
            </w:r>
          </w:p>
        </w:tc>
      </w:tr>
      <w:tr>
        <w:tc>
          <w:tcPr>
            <w:tcW w:type="dxa" w:w="4320"/>
          </w:tcPr>
          <w:p>
            <w:r>
              <w:rPr>
                <w:sz w:val="20"/>
              </w:rPr>
              <w:t>Trust Anchor</w:t>
            </w:r>
          </w:p>
        </w:tc>
        <w:tc>
          <w:tcPr>
            <w:tcW w:type="dxa" w:w="4320"/>
          </w:tcPr>
          <w:p>
            <w:r>
              <w:rPr>
                <w:sz w:val="20"/>
              </w:rPr>
              <w:t>self</w:t>
            </w:r>
          </w:p>
        </w:tc>
      </w:tr>
      <w:tr>
        <w:tc>
          <w:tcPr>
            <w:tcW w:type="dxa" w:w="4320"/>
            <w:shd w:val="clear" w:color="auto" w:fill="F3F0FF"/>
          </w:tcPr>
          <w:p>
            <w:r>
              <w:rPr>
                <w:sz w:val="20"/>
              </w:rPr>
              <w:t>Risk Appetite</w:t>
            </w:r>
          </w:p>
        </w:tc>
        <w:tc>
          <w:tcPr>
            <w:tcW w:type="dxa" w:w="4320"/>
            <w:shd w:val="clear" w:color="auto" w:fill="F3F0FF"/>
          </w:tcPr>
          <w:p>
            <w:r>
              <w:rPr>
                <w:sz w:val="20"/>
              </w:rPr>
              <w:t>low</w:t>
            </w:r>
          </w:p>
        </w:tc>
      </w:tr>
      <w:tr>
        <w:tc>
          <w:tcPr>
            <w:tcW w:type="dxa" w:w="4320"/>
          </w:tcPr>
          <w:p>
            <w:r>
              <w:rPr>
                <w:sz w:val="20"/>
              </w:rPr>
              <w:t>Health Anxiety</w:t>
            </w:r>
          </w:p>
        </w:tc>
        <w:tc>
          <w:tcPr>
            <w:tcW w:type="dxa" w:w="4320"/>
          </w:tcPr>
          <w:p>
            <w:r>
              <w:rPr>
                <w:sz w:val="20"/>
              </w:rPr>
              <w:t>0.7473530837541994</w:t>
            </w:r>
          </w:p>
        </w:tc>
      </w:tr>
      <w:tr>
        <w:tc>
          <w:tcPr>
            <w:tcW w:type="dxa" w:w="4320"/>
            <w:shd w:val="clear" w:color="auto" w:fill="F3F0FF"/>
          </w:tcPr>
          <w:p>
            <w:r>
              <w:rPr>
                <w:sz w:val="20"/>
              </w:rPr>
              <w:t>Social Proof Bias</w:t>
            </w:r>
          </w:p>
        </w:tc>
        <w:tc>
          <w:tcPr>
            <w:tcW w:type="dxa" w:w="4320"/>
            <w:shd w:val="clear" w:color="auto" w:fill="F3F0FF"/>
          </w:tcPr>
          <w:p>
            <w:r>
              <w:rPr>
                <w:sz w:val="20"/>
              </w:rPr>
              <w:t>0.25390010771443483</w:t>
            </w:r>
          </w:p>
        </w:tc>
      </w:tr>
      <w:tr>
        <w:tc>
          <w:tcPr>
            <w:tcW w:type="dxa" w:w="4320"/>
          </w:tcPr>
          <w:p>
            <w:r>
              <w:rPr>
                <w:sz w:val="20"/>
              </w:rPr>
              <w:t>Best-for-Child Intensity</w:t>
            </w:r>
          </w:p>
        </w:tc>
        <w:tc>
          <w:tcPr>
            <w:tcW w:type="dxa" w:w="4320"/>
          </w:tcPr>
          <w:p>
            <w:r>
              <w:rPr>
                <w:sz w:val="20"/>
              </w:rPr>
              <w:t>0.9264444548059092</w:t>
            </w:r>
          </w:p>
        </w:tc>
      </w:tr>
    </w:tbl>
    <w:p/>
    <w:p>
      <w:r>
        <w:rPr>
          <w:b/>
          <w:i w:val="0"/>
          <w:sz w:val="22"/>
        </w:rPr>
        <w:t>Decision at Tick 28: DEFER (confidence: 0.65)</w:t>
      </w:r>
    </w:p>
    <w:p>
      <w:r>
        <w:rPr>
          <w:b/>
          <w:sz w:val="20"/>
        </w:rPr>
        <w:t xml:space="preserve">Step 1: </w:t>
      </w:r>
      <w:r>
        <w:rPr>
          <w:sz w:val="20"/>
        </w:rPr>
        <w:t>Step 1: My gut says this is expensive — Rs 649 versus Rs 399 for Bournvita, which I already know works. I don't like switching things up unless I'm really convinced, and this feels like a big jump in price for something unproven in my household.</w:t>
      </w:r>
    </w:p>
    <w:p>
      <w:r>
        <w:rPr>
          <w:b/>
          <w:sz w:val="20"/>
        </w:rPr>
        <w:t xml:space="preserve">Step 2: </w:t>
      </w:r>
      <w:r>
        <w:rPr>
          <w:sz w:val="20"/>
        </w:rPr>
        <w:t>Step 2: I'm focusing on the price difference (63% more expensive), the fact that it's not a brand I've used before, and that only one parent at school pickup mentioned it — not exactly a wave of endorsement. The pediatrician mentioned iron and B12 generally, not this specific product. The influencer reel feels like an ad, not real advice. I trust my own judgment more than marketing.</w:t>
      </w:r>
    </w:p>
    <w:p>
      <w:r>
        <w:rPr>
          <w:b/>
          <w:sz w:val="20"/>
        </w:rPr>
        <w:t xml:space="preserve">Step 3: </w:t>
      </w:r>
      <w:r>
        <w:rPr>
          <w:sz w:val="20"/>
        </w:rPr>
        <w:t>Step 3: Budget-wise, Rs 649 is within my Rs 6,266 monthly nutrition budget, but it's at the high end for a single product. My hard limit is that I need to see real proof it's better before paying 63% more. I have high price sensitivity — I won't pay premium without clear justification. Non-negotiable: it has to be worth the extra money.</w:t>
      </w:r>
    </w:p>
    <w:p>
      <w:r>
        <w:rPr>
          <w:b/>
          <w:sz w:val="20"/>
        </w:rPr>
        <w:t xml:space="preserve">Step 4: </w:t>
      </w:r>
      <w:r>
        <w:rPr>
          <w:sz w:val="20"/>
        </w:rPr>
        <w:t>Step 4: Only one school parent mentioned it, and she's not someone I consider a close or trusted source — just casual pickup conversation. The WhatsApp group talked about exhaustion generally, not Nutrimix specifically. My pediatrician didn't endorse any brand. There's no strong social proof from my trusted circle pushing me toward this.</w:t>
      </w:r>
    </w:p>
    <w:p>
      <w:r>
        <w:rPr>
          <w:b/>
          <w:sz w:val="20"/>
        </w:rPr>
        <w:t xml:space="preserve">Step 5: </w:t>
      </w:r>
      <w:r>
        <w:rPr>
          <w:sz w:val="20"/>
        </w:rPr>
        <w:t>Step 5: I'm going to wait and observe more. I'll keep using Bournvita for now and watch if more parents start talking about Nutrimix at school or in the WhatsApp group. If I hear 2-3 more real parents say it made a difference, or if my pediatrician specifically recommends it, I'll reconsider. For now, the price premium isn't justified by the weak social proof.</w:t>
      </w:r>
    </w:p>
    <w:p>
      <w:r>
        <w:rPr>
          <w:b w:val="0"/>
          <w:i/>
          <w:sz w:val="22"/>
        </w:rPr>
        <w:t>Key drivers: Price premium of 63% over familiar Bournvita | Weak social proof from trust network | Habitual preference for known brands</w:t>
      </w:r>
    </w:p>
    <w:p>
      <w:r>
        <w:rPr>
          <w:b w:val="0"/>
          <w:i/>
          <w:sz w:val="22"/>
        </w:rPr>
        <w:t>Objections: Too expensive compared to current option | Unfamiliar brand without strong endorsement from trusted sources | Insufficient evidence it's meaningfully better than Bournvita</w:t>
      </w:r>
    </w:p>
    <w:p>
      <w:r>
        <w:rPr>
          <w:b w:val="0"/>
          <w:i/>
          <w:sz w:val="22"/>
        </w:rPr>
        <w:t>Follow-up action: Continues buying Bournvita while actively listening for more parent feedback about Nutrimix at school pickup and in WhatsApp group over next 2-3 weeks</w:t>
      </w:r>
    </w:p>
    <w:p/>
    <w:p>
      <w:r>
        <w:rPr>
          <w:b/>
          <w:i w:val="0"/>
          <w:sz w:val="22"/>
        </w:rPr>
        <w:t>Decision at Tick 60: BUY (confidence: 0.72)</w:t>
      </w:r>
    </w:p>
    <w:p>
      <w:r>
        <w:rPr>
          <w:b/>
          <w:sz w:val="20"/>
        </w:rPr>
        <w:t xml:space="preserve">Step 1: </w:t>
      </w:r>
      <w:r>
        <w:rPr>
          <w:sz w:val="20"/>
        </w:rPr>
        <w:t>Step 1: My gut says stick with what's working. The child is asking for it by name ('the brown milk drink'), there's no morning battle, and I've noticed real changes in homework time. That's worth something.</w:t>
      </w:r>
    </w:p>
    <w:p>
      <w:r>
        <w:rPr>
          <w:b/>
          <w:sz w:val="20"/>
        </w:rPr>
        <w:t xml:space="preserve">Step 2: </w:t>
      </w:r>
      <w:r>
        <w:rPr>
          <w:sz w:val="20"/>
        </w:rPr>
        <w:t>Step 2: I'm focusing on: (a) Rs 250 price difference - that's significant but still within my ₹6,266 child nutrition budget, (b) visible results - child more alert, no complaints about tiredness, (c) the pediatrician's recent mention of iron and B12 for school-age kids, (d) habit formation - we've done four weeks, disrupting now means starting over, (e) the school parent's testimony about her 8-ye</w:t>
      </w:r>
    </w:p>
    <w:p>
      <w:r>
        <w:rPr>
          <w:b/>
          <w:sz w:val="20"/>
        </w:rPr>
        <w:t xml:space="preserve">Step 3: </w:t>
      </w:r>
      <w:r>
        <w:rPr>
          <w:sz w:val="20"/>
        </w:rPr>
        <w:t>Step 3: Budget ceiling check: ₹649 is high but within my ₹6,266 monthly allocation. No discount hurts, but I'm not over budget. Non-negotiables: the product must show results (it does), child must accept it (they're asking for more), and I need evidence it works (I have four weeks of behavioral data). Trust requirement: I've validated this myself through direct observation - my primary trust ancho</w:t>
      </w:r>
    </w:p>
    <w:p>
      <w:r>
        <w:rPr>
          <w:b/>
          <w:sz w:val="20"/>
        </w:rPr>
        <w:t xml:space="preserve">Step 4: </w:t>
      </w:r>
      <w:r>
        <w:rPr>
          <w:sz w:val="20"/>
        </w:rPr>
        <w:t>Step 4: My trust network has given positive signals: the pediatrician indirectly validated the nutritional need, the school parent shared a successful two-month experience with an older child, and most importantly, my own observation confirms improvement. I don't need external validation when I've seen it myself, but having it reinforces the decision. No one in my network would question continuing</w:t>
      </w:r>
    </w:p>
    <w:p>
      <w:r>
        <w:rPr>
          <w:b/>
          <w:sz w:val="20"/>
        </w:rPr>
        <w:t xml:space="preserve">Step 5: </w:t>
      </w:r>
      <w:r>
        <w:rPr>
          <w:sz w:val="20"/>
        </w:rPr>
        <w:t>Step 5: I'm reordering Nutrimix at ₹649. The ₹250 difference matters, but switching back to Bournvita now would mean losing the established routine and the observable benefits. Four weeks of consistent use has created a new 'known brand' status for Nutrimix in my household - it's no longer the disruptor, it's the incumbent. The child's request for 'more' and the homework alertness are functional p</w:t>
      </w:r>
    </w:p>
    <w:p>
      <w:r>
        <w:rPr>
          <w:b w:val="0"/>
          <w:i/>
          <w:sz w:val="22"/>
        </w:rPr>
        <w:t>Key drivers: Observable functional benefits (child alertness, homework performance) | Child acceptance and active request for product | Habit formation over four weeks reduces switching cost</w:t>
      </w:r>
    </w:p>
    <w:p>
      <w:r>
        <w:rPr>
          <w:b w:val="0"/>
          <w:i/>
          <w:sz w:val="22"/>
        </w:rPr>
        <w:t>Objections: Rs 250 price premium over Bournvita with no discount available | Concern about ongoing affordability at full price</w:t>
      </w:r>
    </w:p>
    <w:p>
      <w:r>
        <w:rPr>
          <w:b w:val="0"/>
          <w:i/>
          <w:sz w:val="22"/>
        </w:rPr>
        <w:t>Follow-up action: Reorders Nutrimix at ₹649 and searches Flipkart for bulk pack options or subscription discounts to reduce per-unit cost for future purchases</w:t>
      </w:r>
    </w:p>
    <w:p/>
    <w:p>
      <w:r>
        <w:rPr>
          <w:b w:val="0"/>
          <w:i/>
          <w:color w:val="0EB88A"/>
          <w:sz w:val="22"/>
        </w:rPr>
        <w:t>Trust trajectory: Tick 10=0.26 → Tick 12=0.44 → Tick 9=0.26</w:t>
      </w:r>
    </w:p>
    <w:p/>
    <w:p>
      <w:r>
        <w:br w:type="page"/>
      </w:r>
    </w:p>
    <w:p>
      <w:pPr>
        <w:pStyle w:val="Heading1"/>
      </w:pPr>
      <w:r>
        <w:rPr>
          <w:color w:val="6B46C1"/>
        </w:rPr>
        <w:t>Appendix B: Methodology Notes</w:t>
      </w:r>
    </w:p>
    <w:p/>
    <w:p>
      <w:pPr>
        <w:pStyle w:val="Heading2"/>
      </w:pPr>
      <w:r>
        <w:rPr>
          <w:color w:val="1A1A2E"/>
        </w:rPr>
        <w:t>How Decision Confidence is Computed</w:t>
      </w:r>
    </w:p>
    <w:p>
      <w:r>
        <w:rPr>
          <w:b w:val="0"/>
          <w:i w:val="0"/>
          <w:sz w:val="22"/>
        </w:rPr>
        <w:t>Decision confidence (0.0–1.0) is generated by the Claude Sonnet model in the decision prompt output. It reflects the simulated persona's subjective certainty about their decision given their psychological profile, accumulated memories, and the scenario context. A confidence of 0.9+ indicates the persona had strong, consistent signals pointing in one direction. A confidence of 0.5–0.7 indicates a close decision where competing factors were nearly balanced. Confidence does not correlate directly with purchase likelihood — a persona can confidently decide to defer or reject.</w:t>
      </w:r>
    </w:p>
    <w:p/>
    <w:p>
      <w:pPr>
        <w:pStyle w:val="Heading2"/>
      </w:pPr>
      <w:r>
        <w:rPr>
          <w:color w:val="1A1A2E"/>
        </w:rPr>
        <w:t>What 'Reordered' Means Technically</w:t>
      </w:r>
    </w:p>
    <w:p>
      <w:r>
        <w:rPr>
          <w:b w:val="0"/>
          <w:i w:val="0"/>
          <w:sz w:val="22"/>
        </w:rPr>
        <w:t>A persona is marked as 'reordered=True' if their second decision (tick 60 for journeys A and C, tick 45 for journey B) results in 'buy', 'trial', or 'research_more' with a follow_up_action describing actual purchase behaviour (the implied_purchase flag). A persona who defers the second decision or explicitly rejects is marked reordered=False. This means the 98% reorder rate in Journey A includes both explicit 'buy' decisions and 'research_more' decisions where the persona described adding to cart or ordering a trial pack.</w:t>
      </w:r>
    </w:p>
    <w:p/>
    <w:p>
      <w:pPr>
        <w:pStyle w:val="Heading2"/>
      </w:pPr>
      <w:r>
        <w:rPr>
          <w:color w:val="1A1A2E"/>
        </w:rPr>
        <w:t>Sample Sizes and Statistical Limitations</w:t>
      </w:r>
    </w:p>
    <w:p>
      <w:r>
        <w:rPr>
          <w:b w:val="0"/>
          <w:i w:val="0"/>
          <w:sz w:val="22"/>
        </w:rPr>
        <w:t>The baseline journeys ran across all 200 personas — sufficient for directional population-level insights. The probing, intervention, and counterfactual runs used 30 or 50 persona samples and are designed for directional signal, not statistical significance testing. Lift estimates should be treated as indicative ranges rather than precise conversion rate predictions. Real-world A/B testing is recommended before committing major investment to any individual intervention.</w:t>
      </w:r>
    </w:p>
    <w:p/>
    <w:p>
      <w:pPr>
        <w:pStyle w:val="Heading2"/>
      </w:pPr>
      <w:r>
        <w:rPr>
          <w:color w:val="1A1A2E"/>
        </w:rPr>
        <w:t>Limitations of Simulation</w:t>
      </w:r>
    </w:p>
    <w:p>
      <w:r>
        <w:rPr>
          <w:b w:val="0"/>
          <w:i w:val="0"/>
          <w:sz w:val="22"/>
        </w:rPr>
        <w:t>The Simulatte simulation has the following known limitations:</w:t>
      </w:r>
    </w:p>
    <w:p>
      <w:pPr>
        <w:pStyle w:val="ListBullet"/>
      </w:pPr>
      <w:r>
        <w:rPr>
          <w:sz w:val="22"/>
        </w:rPr>
        <w:t>Synthetic personas cannot fully replicate the unpredictability of real human behaviour. Real purchase decisions are subject to momentary factors (stress, distraction, accidental discovery) that are not modelled.</w:t>
      </w:r>
    </w:p>
    <w:p>
      <w:pPr>
        <w:pStyle w:val="ListBullet"/>
      </w:pPr>
      <w:r>
        <w:rPr>
          <w:sz w:val="22"/>
        </w:rPr>
        <w:t>The journey stimuli are pre-defined and cannot capture organic user journeys where stimuli arrive in unexpected orders or combinations.</w:t>
      </w:r>
    </w:p>
    <w:p>
      <w:pPr>
        <w:pStyle w:val="ListBullet"/>
      </w:pPr>
      <w:r>
        <w:rPr>
          <w:sz w:val="22"/>
        </w:rPr>
        <w:t>The correlation matrix underlying persona generation is based on published FMCG and Indian parenting research — it reflects averages, not every individual's psychology.</w:t>
      </w:r>
    </w:p>
    <w:p>
      <w:pPr>
        <w:pStyle w:val="ListBullet"/>
      </w:pPr>
      <w:r>
        <w:rPr>
          <w:sz w:val="22"/>
        </w:rPr>
        <w:t>The simulation does not model physical availability constraints (stock-outs, delivery failures) that affect real purchase behaviour.</w:t>
      </w:r>
    </w:p>
    <w:p>
      <w:pPr>
        <w:pStyle w:val="ListBullet"/>
      </w:pPr>
      <w:r>
        <w:rPr>
          <w:sz w:val="22"/>
        </w:rPr>
        <w:t>Lift estimates from 50-persona samples have high variance and should not be treated as precise predictions. They indicate direction and relative magnitude, not exact conversion rates.</w:t>
      </w:r>
    </w:p>
    <w:p>
      <w:pPr>
        <w:pStyle w:val="ListBullet"/>
      </w:pPr>
      <w:r>
        <w:rPr>
          <w:sz w:val="22"/>
        </w:rPr>
        <w:t>The model was trained to the August 2025 cutoff. Brand positioning, competitive dynamics, and macroeconomic conditions after that date are not incorporated.</w:t>
      </w:r>
    </w:p>
    <w:p/>
    <w:p>
      <w:r>
        <w:rPr>
          <w:b w:val="0"/>
          <w:i w:val="0"/>
          <w:sz w:val="22"/>
        </w:rPr>
        <w:t>Despite these limitations, the Simulatte simulation provides a level of reasoning transparency and persona depth that is not achievable with traditional survey methods or statistical models. The value lies not in predicting exact conversion rates but in understanding the mechanisms that drive and block purchase decisions — and designing interventions that address those mechanisms.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