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76287934"/>
        <w:docPartObj>
          <w:docPartGallery w:val="Cover Pages"/>
          <w:docPartUnique/>
        </w:docPartObj>
      </w:sdtPr>
      <w:sdtContent>
        <w:p w:rsidR="00356754" w:rsidRDefault="00356754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6754" w:rsidRDefault="0035675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6" style="position:absolute;margin-left:0;margin-top:0;width:581.4pt;height:752.4pt;z-index:-25165772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" fillcolor="#dbe5f1 [660]" stroked="f" strokeweight="2pt">
                    <v:fill color2="#95b3d7 [1940]" rotate="t" focusposition=".5,.5" focussize="" focus="100%" type="gradientRadial"/>
                    <v:path arrowok="t"/>
                    <v:textbox inset="21.6pt,,21.6pt">
                      <w:txbxContent>
                        <w:p w:rsidR="00356754" w:rsidRDefault="0035675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6754" w:rsidRDefault="00356754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BIG DATA ANALYTICS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7" style="position:absolute;margin-left:0;margin-top:0;width:226.45pt;height:237.6pt;z-index:251655680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WyB+16ACAACdBQAADgAAAAAAAAAAAAAAAAAuAgAAZHJz&#10;L2Uyb0RvYy54bWxQSwECLQAUAAYACAAAACEA7Z+60NwAAAAFAQAADwAAAAAAAAAAAAAAAAD6BAAA&#10;ZHJzL2Rvd25yZXYueG1sUEsFBgAAAAAEAAQA8wAAAAMGAAAAAA==&#10;" fillcolor="#1f497d [3215]" stroked="f" strokeweight="2pt">
                    <v:textbox inset="14.4pt,14.4pt,14.4pt,28.8pt">
                      <w:txbxContent>
                        <w:p w:rsidR="00356754" w:rsidRDefault="0035675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BIG DATA ANALYTICS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C52B2DE" id="Rectangle 468" o:spid="_x0000_s1026" style="position:absolute;margin-left:0;margin-top:0;width:244.8pt;height:554.4pt;z-index:251654656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ECD35D2" id="Rectangle 469" o:spid="_x0000_s1026" style="position:absolute;margin-left:0;margin-top:0;width:226.45pt;height:9.35pt;z-index:251657728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56754" w:rsidRDefault="00356754" w:rsidP="00356754">
                                <w:pPr>
                                  <w:pStyle w:val="Title"/>
                                </w:pPr>
                                <w:r>
                                  <w:t>ETL Pipeline BDA MID TERM</w:t>
                                </w:r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356754" w:rsidRDefault="0035675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Iqra Irshad (DS-041/24-25)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56704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p w:rsidR="00356754" w:rsidRDefault="00356754" w:rsidP="00356754">
                          <w:pPr>
                            <w:pStyle w:val="Title"/>
                          </w:pPr>
                          <w:r>
                            <w:t>ETL Pipeline BDA MID TERM</w:t>
                          </w:r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1F497D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356754" w:rsidRDefault="00356754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F497D" w:themeColor="text2"/>
                                  <w:sz w:val="32"/>
                                  <w:szCs w:val="32"/>
                                </w:rPr>
                                <w:t>Iqra Irshad (DS-041/24-25)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474573" w:rsidRDefault="00356754" w:rsidP="00356754">
      <w:pPr>
        <w:pStyle w:val="Title"/>
        <w:jc w:val="center"/>
      </w:pPr>
      <w:r>
        <w:lastRenderedPageBreak/>
        <w:t>ETL Pipeline BDA MID TERM</w:t>
      </w:r>
    </w:p>
    <w:p w:rsidR="00474573" w:rsidRDefault="00DF216E">
      <w:pPr>
        <w:pStyle w:val="Heading1"/>
      </w:pPr>
      <w:r>
        <w:t>Project Title: Spending Trend and Usage Analysis of Debit Card Users</w:t>
      </w:r>
    </w:p>
    <w:p w:rsidR="00474573" w:rsidRDefault="00DF216E">
      <w:pPr>
        <w:pStyle w:val="Heading2"/>
      </w:pPr>
      <w:r>
        <w:t>1. Introduction</w:t>
      </w:r>
    </w:p>
    <w:p w:rsidR="00474573" w:rsidRDefault="00DF216E">
      <w:r>
        <w:t xml:space="preserve">This project presents an ETL (Extract, Transform, Load) pipeline applied to stock market data with the aim of analyzing volatility, trends, and </w:t>
      </w:r>
      <w:r>
        <w:t>statistical properties. The primary dataset includes daily historical stock data, and the analysis includes the S&amp;P 500 index along with multiple company stocks.</w:t>
      </w:r>
    </w:p>
    <w:p w:rsidR="00474573" w:rsidRDefault="00DF216E">
      <w:pPr>
        <w:pStyle w:val="Heading2"/>
      </w:pPr>
      <w:r>
        <w:t>2. Data Extraction</w:t>
      </w:r>
    </w:p>
    <w:p w:rsidR="00474573" w:rsidRDefault="00DF216E">
      <w:r>
        <w:t>The data is extracted using Python libraries such as `yfinance`, retrieving</w:t>
      </w:r>
      <w:r>
        <w:t xml:space="preserve"> historical stock prices for various companies and indices like the S&amp;P 500 (^GSPC). The extracted data contains fields such as:</w:t>
      </w:r>
      <w:r>
        <w:br/>
        <w:t>- Open</w:t>
      </w:r>
      <w:r>
        <w:br/>
        <w:t>- Close</w:t>
      </w:r>
      <w:r>
        <w:br/>
        <w:t>- High</w:t>
      </w:r>
      <w:r>
        <w:br/>
        <w:t>- Low</w:t>
      </w:r>
      <w:r>
        <w:br/>
        <w:t>- Volume</w:t>
      </w:r>
      <w:r>
        <w:br/>
        <w:t>- Ticker</w:t>
      </w:r>
      <w:r>
        <w:br/>
        <w:t>- Date</w:t>
      </w:r>
    </w:p>
    <w:p w:rsidR="00474573" w:rsidRDefault="00DF216E">
      <w:pPr>
        <w:pStyle w:val="Heading2"/>
      </w:pPr>
      <w:r>
        <w:t>3. Data Overview</w:t>
      </w:r>
    </w:p>
    <w:p w:rsidR="00474573" w:rsidRDefault="00DF216E">
      <w:r>
        <w:t>The initial examination of the dataset involves methods l</w:t>
      </w:r>
      <w:r>
        <w:t>ike `.info()`, `.describe()`, `.head()`, and `.tail()`.</w:t>
      </w:r>
    </w:p>
    <w:p w:rsidR="00474573" w:rsidRDefault="00474573"/>
    <w:p w:rsidR="00474573" w:rsidRDefault="00DF216E">
      <w:pPr>
        <w:pStyle w:val="Heading2"/>
      </w:pPr>
      <w:r>
        <w:t>4. Volatility Analysis</w:t>
      </w:r>
    </w:p>
    <w:p w:rsidR="00474573" w:rsidRDefault="00DF216E">
      <w:r>
        <w:t>Volatility is calculated and visualized for different companies to underst</w:t>
      </w:r>
      <w:r>
        <w:t>and stock price fluctuations over time.</w:t>
      </w:r>
    </w:p>
    <w:p w:rsidR="00474573" w:rsidRDefault="00DF216E">
      <w:r>
        <w:rPr>
          <w:noProof/>
        </w:rPr>
        <w:lastRenderedPageBreak/>
        <w:drawing>
          <wp:inline distT="0" distB="0" distL="0" distR="0">
            <wp:extent cx="5029200" cy="32049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0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573" w:rsidRDefault="00DF216E">
      <w:r>
        <w:t>This line graph displays the daily volatility of selected companies between January and April 2025. Stocks like CMG and CHT show higher volatility.</w:t>
      </w:r>
    </w:p>
    <w:p w:rsidR="00474573" w:rsidRDefault="00DF216E">
      <w:pPr>
        <w:pStyle w:val="Heading2"/>
      </w:pPr>
      <w:r>
        <w:t>5. S&amp;P 500 Historical Trend</w:t>
      </w:r>
    </w:p>
    <w:p w:rsidR="00474573" w:rsidRDefault="00DF216E">
      <w:r>
        <w:t>The S&amp;P 500 index data from 1990 to 20</w:t>
      </w:r>
      <w:r>
        <w:t>25 is plotted to analyze long-term market trends.</w:t>
      </w:r>
    </w:p>
    <w:p w:rsidR="00474573" w:rsidRDefault="00DF216E">
      <w:r>
        <w:rPr>
          <w:noProof/>
        </w:rPr>
        <w:drawing>
          <wp:inline distT="0" distB="0" distL="0" distR="0">
            <wp:extent cx="5029200" cy="22138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2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1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573" w:rsidRDefault="00DF216E">
      <w:r>
        <w:t>This figure demonstrates a clear upward trend with significant dips around the 2008 financial crisis and the COVID-19 pandemic in 2020.</w:t>
      </w:r>
    </w:p>
    <w:p w:rsidR="00474573" w:rsidRDefault="00DF216E">
      <w:pPr>
        <w:pStyle w:val="Heading2"/>
      </w:pPr>
      <w:r>
        <w:t>6. Feature Scaling</w:t>
      </w:r>
    </w:p>
    <w:p w:rsidR="00474573" w:rsidRDefault="00DF216E">
      <w:r>
        <w:t xml:space="preserve">The features (Close, High, Low, Open) are scaled </w:t>
      </w:r>
      <w:r>
        <w:t>using MinMaxScaler for better model performance and uniformity.</w:t>
      </w:r>
      <w:r>
        <w:br/>
      </w:r>
      <w:r>
        <w:br/>
      </w:r>
      <w:r>
        <w:lastRenderedPageBreak/>
        <w:t>```python</w:t>
      </w:r>
      <w:r>
        <w:br/>
        <w:t>scaler = MinMaxScaler()</w:t>
      </w:r>
      <w:r>
        <w:br/>
        <w:t>scaled_data = scaler.fit_transform(df[['Close', 'High', 'Low', 'Open']].values)</w:t>
      </w:r>
      <w:r>
        <w:br/>
        <w:t>```</w:t>
      </w:r>
    </w:p>
    <w:p w:rsidR="00474573" w:rsidRDefault="00DF216E">
      <w:r>
        <w:rPr>
          <w:noProof/>
        </w:rPr>
        <w:drawing>
          <wp:inline distT="0" distB="0" distL="0" distR="0">
            <wp:extent cx="5029200" cy="25977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1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9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573" w:rsidRDefault="00DF216E">
      <w:r>
        <w:t>This snippet and output preview show the normalized values for better c</w:t>
      </w:r>
      <w:r>
        <w:t>omparison.</w:t>
      </w:r>
    </w:p>
    <w:p w:rsidR="00474573" w:rsidRDefault="00DF216E">
      <w:pPr>
        <w:pStyle w:val="Heading2"/>
      </w:pPr>
      <w:r>
        <w:t>7. Distribution Analysis</w:t>
      </w:r>
    </w:p>
    <w:p w:rsidR="00474573" w:rsidRDefault="00DF216E">
      <w:r>
        <w:t>KDE (Kernel Density Estimation) plots help in understanding the distribution of features like Open, High, Low, Close, and Volume.</w:t>
      </w:r>
    </w:p>
    <w:p w:rsidR="00474573" w:rsidRDefault="00DF216E">
      <w:r>
        <w:rPr>
          <w:noProof/>
        </w:rPr>
        <w:drawing>
          <wp:inline distT="0" distB="0" distL="0" distR="0">
            <wp:extent cx="5029200" cy="33619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4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573" w:rsidRDefault="00DF216E">
      <w:r>
        <w:lastRenderedPageBreak/>
        <w:t>The plots indicate a right-skewed distribution for prices, typical of stock market data.</w:t>
      </w:r>
    </w:p>
    <w:p w:rsidR="00474573" w:rsidRDefault="00DF216E">
      <w:pPr>
        <w:pStyle w:val="Heading2"/>
      </w:pPr>
      <w:r>
        <w:t>8. Time Series Decomposition</w:t>
      </w:r>
    </w:p>
    <w:p w:rsidR="00474573" w:rsidRDefault="00DF216E">
      <w:r>
        <w:t>To analyze the components of the S&amp;P 500 time series, the data is decomposed into Trend, Seasonal, and Residual parts.</w:t>
      </w:r>
    </w:p>
    <w:p w:rsidR="00474573" w:rsidRDefault="00DF216E">
      <w:r>
        <w:rPr>
          <w:noProof/>
        </w:rPr>
        <w:drawing>
          <wp:inline distT="0" distB="0" distL="0" distR="0">
            <wp:extent cx="5029200" cy="32049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0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573" w:rsidRDefault="00DF216E">
      <w:r>
        <w:t xml:space="preserve">This shows a strong trend component while the seasonal and residual components are negligible or zero, </w:t>
      </w:r>
      <w:r>
        <w:t>indicating consistent long-term growth.</w:t>
      </w:r>
      <w:bookmarkStart w:id="0" w:name="_GoBack"/>
      <w:bookmarkEnd w:id="0"/>
    </w:p>
    <w:p w:rsidR="00474573" w:rsidRDefault="00DF216E" w:rsidP="00356754">
      <w:pPr>
        <w:pStyle w:val="Heading2"/>
        <w:spacing w:before="0"/>
      </w:pPr>
      <w:r>
        <w:t>9. Conclusion</w:t>
      </w:r>
    </w:p>
    <w:p w:rsidR="00356754" w:rsidRPr="00356754" w:rsidRDefault="00356754" w:rsidP="0035675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754">
        <w:rPr>
          <w:rFonts w:ascii="Times New Roman" w:eastAsia="Times New Roman" w:hAnsi="Times New Roman" w:cs="Times New Roman"/>
          <w:bCs/>
          <w:sz w:val="24"/>
          <w:szCs w:val="24"/>
        </w:rPr>
        <w:t>This ETL pipeline efficiently extracts, transforms, and loads stock market data to uncover key insights.</w:t>
      </w:r>
      <w:r w:rsidRPr="00356754">
        <w:rPr>
          <w:rFonts w:ascii="Times New Roman" w:eastAsia="Times New Roman" w:hAnsi="Times New Roman" w:cs="Times New Roman"/>
          <w:sz w:val="24"/>
          <w:szCs w:val="24"/>
        </w:rPr>
        <w:br/>
        <w:t xml:space="preserve">It begins by extracting historical data using APIs like </w:t>
      </w:r>
      <w:r w:rsidRPr="00356754">
        <w:rPr>
          <w:rFonts w:ascii="Courier New" w:eastAsia="Times New Roman" w:hAnsi="Courier New" w:cs="Courier New"/>
          <w:sz w:val="20"/>
          <w:szCs w:val="20"/>
        </w:rPr>
        <w:t>yfinance</w:t>
      </w:r>
      <w:r w:rsidRPr="00356754">
        <w:rPr>
          <w:rFonts w:ascii="Times New Roman" w:eastAsia="Times New Roman" w:hAnsi="Times New Roman" w:cs="Times New Roman"/>
          <w:sz w:val="24"/>
          <w:szCs w:val="24"/>
        </w:rPr>
        <w:t>, followed by data cleaning, normalization, and statistical analysis to highlight trends and volatility. Visualizations such as volatility plots, KDE charts, and time series decomposition help in identifying market behavior patterns.</w:t>
      </w:r>
    </w:p>
    <w:p w:rsidR="00356754" w:rsidRPr="00356754" w:rsidRDefault="00356754" w:rsidP="00356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754">
        <w:rPr>
          <w:rFonts w:ascii="Times New Roman" w:eastAsia="Times New Roman" w:hAnsi="Times New Roman" w:cs="Times New Roman"/>
          <w:sz w:val="24"/>
          <w:szCs w:val="24"/>
        </w:rPr>
        <w:t>By processing raw financial data into structured, visual formats, the pipeline enables analysts to make data-driven decisions, understand risk factors, and observe long-term market trends effectively.</w:t>
      </w:r>
    </w:p>
    <w:p w:rsidR="00474573" w:rsidRDefault="00DF216E">
      <w:pPr>
        <w:pStyle w:val="Heading2"/>
      </w:pPr>
      <w:r>
        <w:t>1</w:t>
      </w:r>
      <w:r>
        <w:t>0. Appendix: Code</w:t>
      </w:r>
    </w:p>
    <w:p w:rsidR="00474573" w:rsidRDefault="00DF216E">
      <w:r>
        <w:t>The accompanying Python script includes all steps of the ETL pipeline, from extraction to visu</w:t>
      </w:r>
      <w:r w:rsidR="00356754">
        <w:t>alization.</w:t>
      </w:r>
      <w:r w:rsidR="00356754">
        <w:br/>
        <w:t>- File: `</w:t>
      </w:r>
      <w:r>
        <w:t>ETL PIPELINE.py`</w:t>
      </w:r>
    </w:p>
    <w:sectPr w:rsidR="00474573" w:rsidSect="00356754">
      <w:footerReference w:type="default" r:id="rId13"/>
      <w:pgSz w:w="12240" w:h="15840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16E" w:rsidRDefault="00DF216E" w:rsidP="00356754">
      <w:pPr>
        <w:spacing w:after="0" w:line="240" w:lineRule="auto"/>
      </w:pPr>
      <w:r>
        <w:separator/>
      </w:r>
    </w:p>
  </w:endnote>
  <w:endnote w:type="continuationSeparator" w:id="0">
    <w:p w:rsidR="00DF216E" w:rsidRDefault="00DF216E" w:rsidP="00356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13368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6754" w:rsidRDefault="003567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273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56754" w:rsidRDefault="003567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16E" w:rsidRDefault="00DF216E" w:rsidP="00356754">
      <w:pPr>
        <w:spacing w:after="0" w:line="240" w:lineRule="auto"/>
      </w:pPr>
      <w:r>
        <w:separator/>
      </w:r>
    </w:p>
  </w:footnote>
  <w:footnote w:type="continuationSeparator" w:id="0">
    <w:p w:rsidR="00DF216E" w:rsidRDefault="00DF216E" w:rsidP="00356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F2ED5"/>
    <w:rsid w:val="0029639D"/>
    <w:rsid w:val="00326F90"/>
    <w:rsid w:val="00356754"/>
    <w:rsid w:val="003A5D6F"/>
    <w:rsid w:val="00474573"/>
    <w:rsid w:val="004A2738"/>
    <w:rsid w:val="00916959"/>
    <w:rsid w:val="00A40FB5"/>
    <w:rsid w:val="00AA1D8D"/>
    <w:rsid w:val="00B47730"/>
    <w:rsid w:val="00CB0664"/>
    <w:rsid w:val="00DF21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F1FBB74-B0C2-4CF2-BF0F-F6A4B274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356754"/>
  </w:style>
  <w:style w:type="character" w:styleId="HTMLCode">
    <w:name w:val="HTML Code"/>
    <w:basedOn w:val="DefaultParagraphFont"/>
    <w:uiPriority w:val="99"/>
    <w:semiHidden/>
    <w:unhideWhenUsed/>
    <w:rsid w:val="003567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1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BIG DATA ANALYTICS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A7974D-C2B6-4A77-8A4B-54FF7C2BA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Iqra Irshad (DS-041/24-25)</dc:subject>
  <dc:creator>python-docx</dc:creator>
  <cp:keywords/>
  <dc:description>generated by python-docx</dc:description>
  <cp:lastModifiedBy>user</cp:lastModifiedBy>
  <cp:revision>2</cp:revision>
  <dcterms:created xsi:type="dcterms:W3CDTF">2025-04-05T09:59:00Z</dcterms:created>
  <dcterms:modified xsi:type="dcterms:W3CDTF">2025-04-05T09:59:00Z</dcterms:modified>
  <cp:category/>
</cp:coreProperties>
</file>