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Calibri" w:hAnsi="Calibri"/>
          <w:b/>
          <w:color w:val="0F172A"/>
          <w:sz w:val="48"/>
        </w:rPr>
        <w:t>E-Commerce Conversion Prediction</w:t>
      </w:r>
    </w:p>
    <w:p>
      <w:r>
        <w:rPr>
          <w:rFonts w:ascii="Calibri" w:hAnsi="Calibri"/>
          <w:i/>
          <w:color w:val="475569"/>
          <w:sz w:val="22"/>
        </w:rPr>
        <w:t>Technical Project Documentation | Author: Iqra Khan</w:t>
      </w:r>
    </w:p>
    <w:p/>
    <w:p>
      <w:pPr>
        <w:pStyle w:val="Heading1"/>
      </w:pPr>
      <w:r>
        <w:rPr>
          <w:color w:val="1E293B"/>
        </w:rPr>
        <w:t>1. Executive Summary</w:t>
      </w:r>
    </w:p>
    <w:p>
      <w:pPr>
        <w:spacing w:line="276" w:lineRule="auto" w:after="160"/>
      </w:pPr>
      <w:r>
        <w:t>This project presents an end-to-end machine learning pipeline for predicting customer conversion (the binary target Converted) in an e-commerce platform. Utilizing user session demographics, browsing behaviors, and interaction features, we constructed a robust Stratified 5-Fold CatBoost ensemble model. By pairing domain-specific feature engineering with out-of-fold decision threshold tuning at 0.24, the pipeline achieves an optimized validation F1-Score of 0.5626, outperforming the baseline Logistic Regression model (0.3923) by over 43.4% relative improvement.</w:t>
      </w:r>
    </w:p>
    <w:p>
      <w:pPr>
        <w:pStyle w:val="Heading1"/>
      </w:pPr>
      <w:r>
        <w:rPr>
          <w:color w:val="1E293B"/>
        </w:rPr>
        <w:t>2. Problem Statement &amp; Evaluation Metric</w:t>
      </w:r>
    </w:p>
    <w:p>
      <w:pPr>
        <w:spacing w:line="276" w:lineRule="auto" w:after="80"/>
      </w:pPr>
      <w:r>
        <w:t>The objective is to identify potential buyers from digital session logs to enable targeted marketing, customized discount distribution, and personalized user experiences. The training data comprises 10,000 user sessions with 3,000 public validation sessions and 3,000 private test sessions. The dataset exhibits a mild class imbalance with approximately 30.87% positive conversions.</w:t>
      </w:r>
    </w:p>
    <w:p>
      <w:pPr>
        <w:spacing w:line="276" w:lineRule="auto" w:after="160"/>
      </w:pPr>
      <w:r>
        <w:t>Evaluation Metric: Submissions and models are evaluated using the F1-Score, the harmonic mean of precision and recall. Because default classification thresholds (0.50) severely degrade recall under imbalanced distributions, calibrating the decision boundary is a critical component of the modeling process.</w:t>
      </w:r>
    </w:p>
    <w:p>
      <w:pPr>
        <w:pStyle w:val="Heading1"/>
      </w:pPr>
      <w:r>
        <w:rPr>
          <w:color w:val="1E293B"/>
        </w:rPr>
        <w:t>3. Exploratory Data Analysis (EDA)</w:t>
      </w:r>
    </w:p>
    <w:p>
      <w:pPr>
        <w:pStyle w:val="ListBullet"/>
      </w:pPr>
      <w:r>
        <w:t>Key exploratory findings include:</w:t>
      </w:r>
    </w:p>
    <w:p>
      <w:pPr>
        <w:pStyle w:val="ListBullet"/>
      </w:pPr>
      <w:r>
        <w:t>Strongest Predictors: Browsing volume features—Pages_Viewed and Products_Viewed—demonstrate the highest linear correlation with conversion (r = 0.31 each). Higher browsing activity strongly signals intent to purchase.</w:t>
      </w:r>
    </w:p>
    <w:p>
      <w:pPr>
        <w:pStyle w:val="ListBullet"/>
      </w:pPr>
      <w:r>
        <w:t>Informative Missingness: Missing values in Income (9.8%) and Time_On_Site (18.5%) are not missing completely at random (MCAR). Sessions with missing values exhibited significantly lower conversion rates, making missingness indicators informative features.</w:t>
      </w:r>
    </w:p>
    <w:p>
      <w:pPr>
        <w:pStyle w:val="ListBullet"/>
      </w:pPr>
      <w:r>
        <w:t>High Cardinality: Campaign_Code contains over 6,000 unique values across 13,000 samples. Direct one-hot encoding creates excessive dimensionality, while raw target encoding leads to severe overfitting. Frequency encoding provides the most stable representation.</w:t>
      </w:r>
    </w:p>
    <w:p>
      <w:pPr>
        <w:pStyle w:val="ListBullet"/>
      </w:pPr>
      <w:r>
        <w:t>Demographics: Age and City_Tier alone possess near-zero linear correlation with conversion, but when combined with Income (e.g., Income-to-Age ratios), they reveal purchasing capacity clusters.</w:t>
      </w:r>
    </w:p>
    <w:p>
      <w:pPr>
        <w:pStyle w:val="Heading1"/>
      </w:pPr>
      <w:r>
        <w:rPr>
          <w:color w:val="1E293B"/>
        </w:rPr>
        <w:t>4. Feature Engineering</w:t>
      </w:r>
    </w:p>
    <w:p>
      <w:r>
        <w:t>To enrich model signal and capture behavioral dynamics, the following features were engineered:</w:t>
      </w:r>
    </w:p>
    <w:p>
      <w:r>
        <w:t>• Ratio Features: Browsing intensity metrics such as Pages_Per_Product, Time_Per_Page, and Time_Per_Product.</w:t>
      </w:r>
    </w:p>
    <w:p>
      <w:r>
        <w:t>• Engagement Score: Composite session depth defined as Pages_Viewed * Products_Viewed * (Time_On_Site + 1).</w:t>
      </w:r>
    </w:p>
    <w:p>
      <w:r>
        <w:t>• Demographic Purchasing Power: Income_Age_Prod (Income * Age) and Income_Age_Ratio (Income / (Age + 1)).</w:t>
      </w:r>
    </w:p>
    <w:p>
      <w:r>
        <w:t>• Promotional Interactions: Discount_Purchases (Discount_Seen * Previous_Purchases) and Discount_Income.</w:t>
      </w:r>
    </w:p>
    <w:p>
      <w:r>
        <w:t>• Missingness Indicators: Age_is_missing, Income_is_missing, and Time_On_Site_is_missing.</w:t>
      </w:r>
    </w:p>
    <w:p>
      <w:r>
        <w:t>• Frequency Encoding: Full population occurrence count encoding for Campaign_Code.</w:t>
      </w:r>
    </w:p>
    <w:p>
      <w:pPr>
        <w:pStyle w:val="Heading1"/>
      </w:pPr>
      <w:r>
        <w:rPr>
          <w:color w:val="1E293B"/>
        </w:rPr>
        <w:t>5. Model Selection &amp; Cross-Validation</w:t>
      </w:r>
    </w:p>
    <w:p>
      <w:pPr>
        <w:spacing w:line="276" w:lineRule="auto"/>
      </w:pPr>
      <w:r>
        <w:t>We implemented a Stratified 5-Fold Cross-Validation scheme to ensure consistent class distributions across all folds and eliminate data leakage. Several model architectures were evaluated under identical cross-validation splits:</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2592"/>
            <w:shd w:val="clear" w:color="auto" w:fill="1E293B"/>
            <w:tcMar>
              <w:top w:w="80" w:type="dxa"/>
              <w:bottom w:w="80" w:type="dxa"/>
              <w:left w:w="100" w:type="dxa"/>
              <w:right w:w="100" w:type="dxa"/>
            </w:tcMar>
          </w:tcPr>
          <w:p>
            <w:r>
              <w:rPr>
                <w:b/>
                <w:color w:val="FFFFFF"/>
                <w:sz w:val="18"/>
              </w:rPr>
              <w:t>Model Architecture</w:t>
            </w:r>
          </w:p>
        </w:tc>
        <w:tc>
          <w:tcPr>
            <w:tcW w:type="dxa" w:w="1152"/>
            <w:shd w:val="clear" w:color="auto" w:fill="1E293B"/>
            <w:tcMar>
              <w:top w:w="80" w:type="dxa"/>
              <w:bottom w:w="80" w:type="dxa"/>
              <w:left w:w="100" w:type="dxa"/>
              <w:right w:w="100" w:type="dxa"/>
            </w:tcMar>
          </w:tcPr>
          <w:p>
            <w:r>
              <w:rPr>
                <w:b/>
                <w:color w:val="FFFFFF"/>
                <w:sz w:val="18"/>
              </w:rPr>
              <w:t>Threshold</w:t>
            </w:r>
          </w:p>
        </w:tc>
        <w:tc>
          <w:tcPr>
            <w:tcW w:type="dxa" w:w="1152"/>
            <w:shd w:val="clear" w:color="auto" w:fill="1E293B"/>
            <w:tcMar>
              <w:top w:w="80" w:type="dxa"/>
              <w:bottom w:w="80" w:type="dxa"/>
              <w:left w:w="100" w:type="dxa"/>
              <w:right w:w="100" w:type="dxa"/>
            </w:tcMar>
          </w:tcPr>
          <w:p>
            <w:r>
              <w:rPr>
                <w:b/>
                <w:color w:val="FFFFFF"/>
                <w:sz w:val="18"/>
              </w:rPr>
              <w:t>F1-Score</w:t>
            </w:r>
          </w:p>
        </w:tc>
        <w:tc>
          <w:tcPr>
            <w:tcW w:type="dxa" w:w="1152"/>
            <w:shd w:val="clear" w:color="auto" w:fill="1E293B"/>
            <w:tcMar>
              <w:top w:w="80" w:type="dxa"/>
              <w:bottom w:w="80" w:type="dxa"/>
              <w:left w:w="100" w:type="dxa"/>
              <w:right w:w="100" w:type="dxa"/>
            </w:tcMar>
          </w:tcPr>
          <w:p>
            <w:r>
              <w:rPr>
                <w:b/>
                <w:color w:val="FFFFFF"/>
                <w:sz w:val="18"/>
              </w:rPr>
              <w:t>Precision</w:t>
            </w:r>
          </w:p>
        </w:tc>
        <w:tc>
          <w:tcPr>
            <w:tcW w:type="dxa" w:w="1152"/>
            <w:shd w:val="clear" w:color="auto" w:fill="1E293B"/>
            <w:tcMar>
              <w:top w:w="80" w:type="dxa"/>
              <w:bottom w:w="80" w:type="dxa"/>
              <w:left w:w="100" w:type="dxa"/>
              <w:right w:w="100" w:type="dxa"/>
            </w:tcMar>
          </w:tcPr>
          <w:p>
            <w:r>
              <w:rPr>
                <w:b/>
                <w:color w:val="FFFFFF"/>
                <w:sz w:val="18"/>
              </w:rPr>
              <w:t>Recall</w:t>
            </w:r>
          </w:p>
        </w:tc>
        <w:tc>
          <w:tcPr>
            <w:tcW w:type="dxa" w:w="1152"/>
            <w:shd w:val="clear" w:color="auto" w:fill="1E293B"/>
            <w:tcMar>
              <w:top w:w="80" w:type="dxa"/>
              <w:bottom w:w="80" w:type="dxa"/>
              <w:left w:w="100" w:type="dxa"/>
              <w:right w:w="100" w:type="dxa"/>
            </w:tcMar>
          </w:tcPr>
          <w:p>
            <w:r>
              <w:rPr>
                <w:b/>
                <w:color w:val="FFFFFF"/>
                <w:sz w:val="18"/>
              </w:rPr>
              <w:t>Accuracy</w:t>
            </w:r>
          </w:p>
        </w:tc>
      </w:tr>
      <w:tr>
        <w:tc>
          <w:tcPr>
            <w:tcW w:type="dxa" w:w="2592"/>
            <w:tcMar>
              <w:top w:w="60" w:type="dxa"/>
              <w:bottom w:w="60" w:type="dxa"/>
              <w:left w:w="100" w:type="dxa"/>
              <w:right w:w="100" w:type="dxa"/>
            </w:tcMar>
          </w:tcPr>
          <w:p>
            <w:r>
              <w:rPr>
                <w:sz w:val="17"/>
              </w:rPr>
              <w:t>Baseline Logistic Regression</w:t>
            </w:r>
          </w:p>
        </w:tc>
        <w:tc>
          <w:tcPr>
            <w:tcW w:type="dxa" w:w="1152"/>
            <w:tcMar>
              <w:top w:w="60" w:type="dxa"/>
              <w:bottom w:w="60" w:type="dxa"/>
              <w:left w:w="100" w:type="dxa"/>
              <w:right w:w="100" w:type="dxa"/>
            </w:tcMar>
          </w:tcPr>
          <w:p>
            <w:r>
              <w:rPr>
                <w:sz w:val="17"/>
              </w:rPr>
              <w:t>0.50</w:t>
            </w:r>
          </w:p>
        </w:tc>
        <w:tc>
          <w:tcPr>
            <w:tcW w:type="dxa" w:w="1152"/>
            <w:tcMar>
              <w:top w:w="60" w:type="dxa"/>
              <w:bottom w:w="60" w:type="dxa"/>
              <w:left w:w="100" w:type="dxa"/>
              <w:right w:w="100" w:type="dxa"/>
            </w:tcMar>
          </w:tcPr>
          <w:p>
            <w:r>
              <w:rPr>
                <w:sz w:val="17"/>
              </w:rPr>
              <w:t>0.3923</w:t>
            </w:r>
          </w:p>
        </w:tc>
        <w:tc>
          <w:tcPr>
            <w:tcW w:type="dxa" w:w="1152"/>
            <w:tcMar>
              <w:top w:w="60" w:type="dxa"/>
              <w:bottom w:w="60" w:type="dxa"/>
              <w:left w:w="100" w:type="dxa"/>
              <w:right w:w="100" w:type="dxa"/>
            </w:tcMar>
          </w:tcPr>
          <w:p>
            <w:r>
              <w:rPr>
                <w:sz w:val="17"/>
              </w:rPr>
              <w:t>0.5050</w:t>
            </w:r>
          </w:p>
        </w:tc>
        <w:tc>
          <w:tcPr>
            <w:tcW w:type="dxa" w:w="1152"/>
            <w:tcMar>
              <w:top w:w="60" w:type="dxa"/>
              <w:bottom w:w="60" w:type="dxa"/>
              <w:left w:w="100" w:type="dxa"/>
              <w:right w:w="100" w:type="dxa"/>
            </w:tcMar>
          </w:tcPr>
          <w:p>
            <w:r>
              <w:rPr>
                <w:sz w:val="17"/>
              </w:rPr>
              <w:t>0.3210</w:t>
            </w:r>
          </w:p>
        </w:tc>
        <w:tc>
          <w:tcPr>
            <w:tcW w:type="dxa" w:w="1152"/>
            <w:tcMar>
              <w:top w:w="60" w:type="dxa"/>
              <w:bottom w:w="60" w:type="dxa"/>
              <w:left w:w="100" w:type="dxa"/>
              <w:right w:w="100" w:type="dxa"/>
            </w:tcMar>
          </w:tcPr>
          <w:p>
            <w:r>
              <w:rPr>
                <w:sz w:val="17"/>
              </w:rPr>
              <w:t>0.6975</w:t>
            </w:r>
          </w:p>
        </w:tc>
      </w:tr>
      <w:tr>
        <w:tc>
          <w:tcPr>
            <w:tcW w:type="dxa" w:w="2592"/>
            <w:tcMar>
              <w:top w:w="60" w:type="dxa"/>
              <w:bottom w:w="60" w:type="dxa"/>
              <w:left w:w="100" w:type="dxa"/>
              <w:right w:w="100" w:type="dxa"/>
            </w:tcMar>
          </w:tcPr>
          <w:p>
            <w:r>
              <w:rPr>
                <w:sz w:val="17"/>
              </w:rPr>
              <w:t>XGBoost Classifier</w:t>
            </w:r>
          </w:p>
        </w:tc>
        <w:tc>
          <w:tcPr>
            <w:tcW w:type="dxa" w:w="1152"/>
            <w:tcMar>
              <w:top w:w="60" w:type="dxa"/>
              <w:bottom w:w="60" w:type="dxa"/>
              <w:left w:w="100" w:type="dxa"/>
              <w:right w:w="100" w:type="dxa"/>
            </w:tcMar>
          </w:tcPr>
          <w:p>
            <w:r>
              <w:rPr>
                <w:sz w:val="17"/>
              </w:rPr>
              <w:t>0.28</w:t>
            </w:r>
          </w:p>
        </w:tc>
        <w:tc>
          <w:tcPr>
            <w:tcW w:type="dxa" w:w="1152"/>
            <w:tcMar>
              <w:top w:w="60" w:type="dxa"/>
              <w:bottom w:w="60" w:type="dxa"/>
              <w:left w:w="100" w:type="dxa"/>
              <w:right w:w="100" w:type="dxa"/>
            </w:tcMar>
          </w:tcPr>
          <w:p>
            <w:r>
              <w:rPr>
                <w:sz w:val="17"/>
              </w:rPr>
              <w:t>0.5288</w:t>
            </w:r>
          </w:p>
        </w:tc>
        <w:tc>
          <w:tcPr>
            <w:tcW w:type="dxa" w:w="1152"/>
            <w:tcMar>
              <w:top w:w="60" w:type="dxa"/>
              <w:bottom w:w="60" w:type="dxa"/>
              <w:left w:w="100" w:type="dxa"/>
              <w:right w:w="100" w:type="dxa"/>
            </w:tcMar>
          </w:tcPr>
          <w:p>
            <w:r>
              <w:rPr>
                <w:sz w:val="17"/>
              </w:rPr>
              <w:t>0.4120</w:t>
            </w:r>
          </w:p>
        </w:tc>
        <w:tc>
          <w:tcPr>
            <w:tcW w:type="dxa" w:w="1152"/>
            <w:tcMar>
              <w:top w:w="60" w:type="dxa"/>
              <w:bottom w:w="60" w:type="dxa"/>
              <w:left w:w="100" w:type="dxa"/>
              <w:right w:w="100" w:type="dxa"/>
            </w:tcMar>
          </w:tcPr>
          <w:p>
            <w:r>
              <w:rPr>
                <w:sz w:val="17"/>
              </w:rPr>
              <w:t>0.7360</w:t>
            </w:r>
          </w:p>
        </w:tc>
        <w:tc>
          <w:tcPr>
            <w:tcW w:type="dxa" w:w="1152"/>
            <w:tcMar>
              <w:top w:w="60" w:type="dxa"/>
              <w:bottom w:w="60" w:type="dxa"/>
              <w:left w:w="100" w:type="dxa"/>
              <w:right w:w="100" w:type="dxa"/>
            </w:tcMar>
          </w:tcPr>
          <w:p>
            <w:r>
              <w:rPr>
                <w:sz w:val="17"/>
              </w:rPr>
              <w:t>0.6120</w:t>
            </w:r>
          </w:p>
        </w:tc>
      </w:tr>
      <w:tr>
        <w:tc>
          <w:tcPr>
            <w:tcW w:type="dxa" w:w="2592"/>
            <w:tcMar>
              <w:top w:w="60" w:type="dxa"/>
              <w:bottom w:w="60" w:type="dxa"/>
              <w:left w:w="100" w:type="dxa"/>
              <w:right w:w="100" w:type="dxa"/>
            </w:tcMar>
          </w:tcPr>
          <w:p>
            <w:r>
              <w:rPr>
                <w:sz w:val="17"/>
              </w:rPr>
              <w:t>Random Forest Classifier</w:t>
            </w:r>
          </w:p>
        </w:tc>
        <w:tc>
          <w:tcPr>
            <w:tcW w:type="dxa" w:w="1152"/>
            <w:tcMar>
              <w:top w:w="60" w:type="dxa"/>
              <w:bottom w:w="60" w:type="dxa"/>
              <w:left w:w="100" w:type="dxa"/>
              <w:right w:w="100" w:type="dxa"/>
            </w:tcMar>
          </w:tcPr>
          <w:p>
            <w:r>
              <w:rPr>
                <w:sz w:val="17"/>
              </w:rPr>
              <w:t>0.28</w:t>
            </w:r>
          </w:p>
        </w:tc>
        <w:tc>
          <w:tcPr>
            <w:tcW w:type="dxa" w:w="1152"/>
            <w:tcMar>
              <w:top w:w="60" w:type="dxa"/>
              <w:bottom w:w="60" w:type="dxa"/>
              <w:left w:w="100" w:type="dxa"/>
              <w:right w:w="100" w:type="dxa"/>
            </w:tcMar>
          </w:tcPr>
          <w:p>
            <w:r>
              <w:rPr>
                <w:sz w:val="17"/>
              </w:rPr>
              <w:t>0.5476</w:t>
            </w:r>
          </w:p>
        </w:tc>
        <w:tc>
          <w:tcPr>
            <w:tcW w:type="dxa" w:w="1152"/>
            <w:tcMar>
              <w:top w:w="60" w:type="dxa"/>
              <w:bottom w:w="60" w:type="dxa"/>
              <w:left w:w="100" w:type="dxa"/>
              <w:right w:w="100" w:type="dxa"/>
            </w:tcMar>
          </w:tcPr>
          <w:p>
            <w:r>
              <w:rPr>
                <w:sz w:val="17"/>
              </w:rPr>
              <w:t>0.4150</w:t>
            </w:r>
          </w:p>
        </w:tc>
        <w:tc>
          <w:tcPr>
            <w:tcW w:type="dxa" w:w="1152"/>
            <w:tcMar>
              <w:top w:w="60" w:type="dxa"/>
              <w:bottom w:w="60" w:type="dxa"/>
              <w:left w:w="100" w:type="dxa"/>
              <w:right w:w="100" w:type="dxa"/>
            </w:tcMar>
          </w:tcPr>
          <w:p>
            <w:r>
              <w:rPr>
                <w:sz w:val="17"/>
              </w:rPr>
              <w:t>0.8047</w:t>
            </w:r>
          </w:p>
        </w:tc>
        <w:tc>
          <w:tcPr>
            <w:tcW w:type="dxa" w:w="1152"/>
            <w:tcMar>
              <w:top w:w="60" w:type="dxa"/>
              <w:bottom w:w="60" w:type="dxa"/>
              <w:left w:w="100" w:type="dxa"/>
              <w:right w:w="100" w:type="dxa"/>
            </w:tcMar>
          </w:tcPr>
          <w:p>
            <w:r>
              <w:rPr>
                <w:sz w:val="17"/>
              </w:rPr>
              <w:t>0.6073</w:t>
            </w:r>
          </w:p>
        </w:tc>
      </w:tr>
      <w:tr>
        <w:tc>
          <w:tcPr>
            <w:tcW w:type="dxa" w:w="2592"/>
            <w:tcMar>
              <w:top w:w="60" w:type="dxa"/>
              <w:bottom w:w="60" w:type="dxa"/>
              <w:left w:w="100" w:type="dxa"/>
              <w:right w:w="100" w:type="dxa"/>
            </w:tcMar>
          </w:tcPr>
          <w:p>
            <w:r>
              <w:rPr>
                <w:sz w:val="17"/>
              </w:rPr>
              <w:t>LightGBM Classifier</w:t>
            </w:r>
          </w:p>
        </w:tc>
        <w:tc>
          <w:tcPr>
            <w:tcW w:type="dxa" w:w="1152"/>
            <w:tcMar>
              <w:top w:w="60" w:type="dxa"/>
              <w:bottom w:w="60" w:type="dxa"/>
              <w:left w:w="100" w:type="dxa"/>
              <w:right w:w="100" w:type="dxa"/>
            </w:tcMar>
          </w:tcPr>
          <w:p>
            <w:r>
              <w:rPr>
                <w:sz w:val="17"/>
              </w:rPr>
              <w:t>0.27</w:t>
            </w:r>
          </w:p>
        </w:tc>
        <w:tc>
          <w:tcPr>
            <w:tcW w:type="dxa" w:w="1152"/>
            <w:tcMar>
              <w:top w:w="60" w:type="dxa"/>
              <w:bottom w:w="60" w:type="dxa"/>
              <w:left w:w="100" w:type="dxa"/>
              <w:right w:w="100" w:type="dxa"/>
            </w:tcMar>
          </w:tcPr>
          <w:p>
            <w:r>
              <w:rPr>
                <w:sz w:val="17"/>
              </w:rPr>
              <w:t>0.5550</w:t>
            </w:r>
          </w:p>
        </w:tc>
        <w:tc>
          <w:tcPr>
            <w:tcW w:type="dxa" w:w="1152"/>
            <w:tcMar>
              <w:top w:w="60" w:type="dxa"/>
              <w:bottom w:w="60" w:type="dxa"/>
              <w:left w:w="100" w:type="dxa"/>
              <w:right w:w="100" w:type="dxa"/>
            </w:tcMar>
          </w:tcPr>
          <w:p>
            <w:r>
              <w:rPr>
                <w:sz w:val="17"/>
              </w:rPr>
              <w:t>0.4421</w:t>
            </w:r>
          </w:p>
        </w:tc>
        <w:tc>
          <w:tcPr>
            <w:tcW w:type="dxa" w:w="1152"/>
            <w:tcMar>
              <w:top w:w="60" w:type="dxa"/>
              <w:bottom w:w="60" w:type="dxa"/>
              <w:left w:w="100" w:type="dxa"/>
              <w:right w:w="100" w:type="dxa"/>
            </w:tcMar>
          </w:tcPr>
          <w:p>
            <w:r>
              <w:rPr>
                <w:sz w:val="17"/>
              </w:rPr>
              <w:t>0.7453</w:t>
            </w:r>
          </w:p>
        </w:tc>
        <w:tc>
          <w:tcPr>
            <w:tcW w:type="dxa" w:w="1152"/>
            <w:tcMar>
              <w:top w:w="60" w:type="dxa"/>
              <w:bottom w:w="60" w:type="dxa"/>
              <w:left w:w="100" w:type="dxa"/>
              <w:right w:w="100" w:type="dxa"/>
            </w:tcMar>
          </w:tcPr>
          <w:p>
            <w:r>
              <w:rPr>
                <w:sz w:val="17"/>
              </w:rPr>
              <w:t>0.6347</w:t>
            </w:r>
          </w:p>
        </w:tc>
      </w:tr>
      <w:tr>
        <w:tc>
          <w:tcPr>
            <w:tcW w:type="dxa" w:w="2592"/>
            <w:tcMar>
              <w:top w:w="60" w:type="dxa"/>
              <w:bottom w:w="60" w:type="dxa"/>
              <w:left w:w="100" w:type="dxa"/>
              <w:right w:w="100" w:type="dxa"/>
            </w:tcMar>
            <w:shd w:val="clear" w:color="auto" w:fill="F1F5F9"/>
          </w:tcPr>
          <w:p>
            <w:r>
              <w:rPr>
                <w:b/>
                <w:sz w:val="17"/>
              </w:rPr>
              <w:t>CatBoost Ensemble (Final)</w:t>
            </w:r>
          </w:p>
        </w:tc>
        <w:tc>
          <w:tcPr>
            <w:tcW w:type="dxa" w:w="1152"/>
            <w:tcMar>
              <w:top w:w="60" w:type="dxa"/>
              <w:bottom w:w="60" w:type="dxa"/>
              <w:left w:w="100" w:type="dxa"/>
              <w:right w:w="100" w:type="dxa"/>
            </w:tcMar>
            <w:shd w:val="clear" w:color="auto" w:fill="F1F5F9"/>
          </w:tcPr>
          <w:p>
            <w:r>
              <w:rPr>
                <w:b/>
                <w:sz w:val="17"/>
              </w:rPr>
              <w:t>0.24</w:t>
            </w:r>
          </w:p>
        </w:tc>
        <w:tc>
          <w:tcPr>
            <w:tcW w:type="dxa" w:w="1152"/>
            <w:tcMar>
              <w:top w:w="60" w:type="dxa"/>
              <w:bottom w:w="60" w:type="dxa"/>
              <w:left w:w="100" w:type="dxa"/>
              <w:right w:w="100" w:type="dxa"/>
            </w:tcMar>
            <w:shd w:val="clear" w:color="auto" w:fill="F1F5F9"/>
          </w:tcPr>
          <w:p>
            <w:r>
              <w:rPr>
                <w:b/>
                <w:sz w:val="17"/>
              </w:rPr>
              <w:t>0.5626</w:t>
            </w:r>
          </w:p>
        </w:tc>
        <w:tc>
          <w:tcPr>
            <w:tcW w:type="dxa" w:w="1152"/>
            <w:tcMar>
              <w:top w:w="60" w:type="dxa"/>
              <w:bottom w:w="60" w:type="dxa"/>
              <w:left w:w="100" w:type="dxa"/>
              <w:right w:w="100" w:type="dxa"/>
            </w:tcMar>
            <w:shd w:val="clear" w:color="auto" w:fill="F1F5F9"/>
          </w:tcPr>
          <w:p>
            <w:r>
              <w:rPr>
                <w:b/>
                <w:sz w:val="17"/>
              </w:rPr>
              <w:t>0.4320</w:t>
            </w:r>
          </w:p>
        </w:tc>
        <w:tc>
          <w:tcPr>
            <w:tcW w:type="dxa" w:w="1152"/>
            <w:tcMar>
              <w:top w:w="60" w:type="dxa"/>
              <w:bottom w:w="60" w:type="dxa"/>
              <w:left w:w="100" w:type="dxa"/>
              <w:right w:w="100" w:type="dxa"/>
            </w:tcMar>
            <w:shd w:val="clear" w:color="auto" w:fill="F1F5F9"/>
          </w:tcPr>
          <w:p>
            <w:r>
              <w:rPr>
                <w:b/>
                <w:sz w:val="17"/>
              </w:rPr>
              <w:t>0.8064</w:t>
            </w:r>
          </w:p>
        </w:tc>
        <w:tc>
          <w:tcPr>
            <w:tcW w:type="dxa" w:w="1152"/>
            <w:tcMar>
              <w:top w:w="60" w:type="dxa"/>
              <w:bottom w:w="60" w:type="dxa"/>
              <w:left w:w="100" w:type="dxa"/>
              <w:right w:w="100" w:type="dxa"/>
            </w:tcMar>
            <w:shd w:val="clear" w:color="auto" w:fill="F1F5F9"/>
          </w:tcPr>
          <w:p>
            <w:r>
              <w:rPr>
                <w:b/>
                <w:sz w:val="17"/>
              </w:rPr>
              <w:t>0.6168</w:t>
            </w:r>
          </w:p>
        </w:tc>
      </w:tr>
    </w:tbl>
    <w:p/>
    <w:p>
      <w:pPr>
        <w:pStyle w:val="Heading1"/>
      </w:pPr>
      <w:r>
        <w:rPr>
          <w:color w:val="1E293B"/>
        </w:rPr>
        <w:t>6. Decision Threshold Optimization</w:t>
      </w:r>
    </w:p>
    <w:p>
      <w:pPr>
        <w:spacing w:line="276" w:lineRule="auto"/>
      </w:pPr>
      <w:r>
        <w:t>Standard binary classifiers apply a default cutoff threshold of p &gt;= 0.50. In imbalanced conversion settings, this leads to high false negatives and low recall. We performed a granular out-of-fold threshold sweep between 0.10 and 0.80. The optimal threshold of 0.24 achieved the global maximum F1-Score of 0.5626, balancing precision (0.4320) and recall (0.8064).</w:t>
      </w:r>
    </w:p>
    <w:p>
      <w:pPr>
        <w:pStyle w:val="Heading1"/>
      </w:pPr>
      <w:r>
        <w:rPr>
          <w:color w:val="1E293B"/>
        </w:rPr>
        <w:t>7. Final Submission &amp; Conclusion</w:t>
      </w:r>
    </w:p>
    <w:p>
      <w:pPr>
        <w:spacing w:line="276" w:lineRule="auto"/>
      </w:pPr>
      <w:r>
        <w:t>The final submission file (submission.csv) contains predictions for the 3,000 private test samples. The model predicts 1,668 positive conversions (55.6% conversion rate). The pipeline demonstrates that careful feature engineering, handling of missingness signals, frequency encoding of high-cardinality identifiers, and rigorous threshold optimization produce substantial and reliable performance gains.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