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666666"/>
          <w:sz w:val="20"/>
          <w:szCs w:val="20"/>
        </w:rPr>
        <w:t xml:space="preserve">GeM | Government eMarketplace</w:t>
      </w:r>
    </w:p>
    <w:p>
      <w:pPr>
        <w:spacing w:after="300"/>
        <w:jc w:val="center"/>
      </w:pPr>
      <w:r>
        <w:rPr>
          <w:b/>
          <w:bCs/>
          <w:color w:val="1F4E5F"/>
          <w:sz w:val="40"/>
          <w:szCs w:val="40"/>
        </w:rPr>
        <w:t xml:space="preserve">Bid Document</w:t>
      </w:r>
    </w:p>
    <w:p>
      <w:pPr>
        <w:pStyle w:val="Heading1"/>
        <w:spacing w:after="150" w:before="300"/>
      </w:pPr>
      <w:r>
        <w:t xml:space="preserve">1. Bid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c>
          <w:tcPr>
            <w:tcW w:type="dxa" w:w="3600"/>
            <w:shd w:fill="EAF1F3" w:val="clear"/>
            <w:tcMar>
              <w:top w:type="dxa" w:w="80"/>
              <w:left w:type="dxa" w:w="120"/>
              <w:bottom w:type="dxa" w:w="80"/>
              <w:right w:type="dxa" w:w="120"/>
            </w:tcMar>
            <w:vAlign w:val="center"/>
          </w:tcPr>
          <w:p>
            <w:r>
              <w:rPr>
                <w:b/>
                <w:bCs/>
                <w:sz w:val="20"/>
                <w:szCs w:val="20"/>
              </w:rPr>
              <w:t xml:space="preserve">Bid Number</w:t>
            </w:r>
          </w:p>
        </w:tc>
        <w:tc>
          <w:tcPr>
            <w:tcW w:type="dxa" w:w="6300"/>
            <w:tcMar>
              <w:top w:type="dxa" w:w="80"/>
              <w:left w:type="dxa" w:w="120"/>
              <w:bottom w:type="dxa" w:w="80"/>
              <w:right w:type="dxa" w:w="120"/>
            </w:tcMar>
            <w:vAlign w:val="center"/>
          </w:tcPr>
          <w:p>
            <w:r>
              <w:rPr>
                <w:sz w:val="20"/>
                <w:szCs w:val="20"/>
              </w:rPr>
              <w:t xml:space="preserve">GEM/2026/B/9601142</w:t>
            </w:r>
          </w:p>
        </w:tc>
      </w:tr>
      <w:tr>
        <w:tc>
          <w:tcPr>
            <w:tcW w:type="dxa" w:w="3600"/>
            <w:shd w:fill="EAF1F3" w:val="clear"/>
            <w:tcMar>
              <w:top w:type="dxa" w:w="80"/>
              <w:left w:type="dxa" w:w="120"/>
              <w:bottom w:type="dxa" w:w="80"/>
              <w:right w:type="dxa" w:w="120"/>
            </w:tcMar>
            <w:vAlign w:val="center"/>
          </w:tcPr>
          <w:p>
            <w:r>
              <w:rPr>
                <w:b/>
                <w:bCs/>
                <w:sz w:val="20"/>
                <w:szCs w:val="20"/>
              </w:rPr>
              <w:t xml:space="preserve">Bid End Date/Time</w:t>
            </w:r>
          </w:p>
        </w:tc>
        <w:tc>
          <w:tcPr>
            <w:tcW w:type="dxa" w:w="6300"/>
            <w:tcMar>
              <w:top w:type="dxa" w:w="80"/>
              <w:left w:type="dxa" w:w="120"/>
              <w:bottom w:type="dxa" w:w="80"/>
              <w:right w:type="dxa" w:w="120"/>
            </w:tcMar>
            <w:vAlign w:val="center"/>
          </w:tcPr>
          <w:p>
            <w:r>
              <w:rPr>
                <w:sz w:val="20"/>
                <w:szCs w:val="20"/>
              </w:rPr>
              <w:t xml:space="preserve">28-08-2026 14:00:00</w:t>
            </w:r>
          </w:p>
        </w:tc>
      </w:tr>
      <w:tr>
        <w:tc>
          <w:tcPr>
            <w:tcW w:type="dxa" w:w="3600"/>
            <w:shd w:fill="EAF1F3" w:val="clear"/>
            <w:tcMar>
              <w:top w:type="dxa" w:w="80"/>
              <w:left w:type="dxa" w:w="120"/>
              <w:bottom w:type="dxa" w:w="80"/>
              <w:right w:type="dxa" w:w="120"/>
            </w:tcMar>
            <w:vAlign w:val="center"/>
          </w:tcPr>
          <w:p>
            <w:r>
              <w:rPr>
                <w:b/>
                <w:bCs/>
                <w:sz w:val="20"/>
                <w:szCs w:val="20"/>
              </w:rPr>
              <w:t xml:space="preserve">Bid Opening Date/Time</w:t>
            </w:r>
          </w:p>
        </w:tc>
        <w:tc>
          <w:tcPr>
            <w:tcW w:type="dxa" w:w="6300"/>
            <w:tcMar>
              <w:top w:type="dxa" w:w="80"/>
              <w:left w:type="dxa" w:w="120"/>
              <w:bottom w:type="dxa" w:w="80"/>
              <w:right w:type="dxa" w:w="120"/>
            </w:tcMar>
            <w:vAlign w:val="center"/>
          </w:tcPr>
          <w:p>
            <w:r>
              <w:rPr>
                <w:sz w:val="20"/>
                <w:szCs w:val="20"/>
              </w:rPr>
              <w:t xml:space="preserve">28-08-2026 14:30:00</w:t>
            </w:r>
          </w:p>
        </w:tc>
      </w:tr>
      <w:tr>
        <w:tc>
          <w:tcPr>
            <w:tcW w:type="dxa" w:w="3600"/>
            <w:shd w:fill="EAF1F3" w:val="clear"/>
            <w:tcMar>
              <w:top w:type="dxa" w:w="80"/>
              <w:left w:type="dxa" w:w="120"/>
              <w:bottom w:type="dxa" w:w="80"/>
              <w:right w:type="dxa" w:w="120"/>
            </w:tcMar>
            <w:vAlign w:val="center"/>
          </w:tcPr>
          <w:p>
            <w:r>
              <w:rPr>
                <w:b/>
                <w:bCs/>
                <w:sz w:val="20"/>
                <w:szCs w:val="20"/>
              </w:rPr>
              <w:t xml:space="preserve">Bid Offer Validity</w:t>
            </w:r>
          </w:p>
        </w:tc>
        <w:tc>
          <w:tcPr>
            <w:tcW w:type="dxa" w:w="6300"/>
            <w:tcMar>
              <w:top w:type="dxa" w:w="80"/>
              <w:left w:type="dxa" w:w="120"/>
              <w:bottom w:type="dxa" w:w="80"/>
              <w:right w:type="dxa" w:w="120"/>
            </w:tcMar>
            <w:vAlign w:val="center"/>
          </w:tcPr>
          <w:p>
            <w:r>
              <w:rPr>
                <w:sz w:val="20"/>
                <w:szCs w:val="20"/>
              </w:rPr>
              <w:t xml:space="preserve">180 Days</w:t>
            </w:r>
          </w:p>
        </w:tc>
      </w:tr>
      <w:tr>
        <w:tc>
          <w:tcPr>
            <w:tcW w:type="dxa" w:w="3600"/>
            <w:shd w:fill="EAF1F3" w:val="clear"/>
            <w:tcMar>
              <w:top w:type="dxa" w:w="80"/>
              <w:left w:type="dxa" w:w="120"/>
              <w:bottom w:type="dxa" w:w="80"/>
              <w:right w:type="dxa" w:w="120"/>
            </w:tcMar>
            <w:vAlign w:val="center"/>
          </w:tcPr>
          <w:p>
            <w:r>
              <w:rPr>
                <w:b/>
                <w:bCs/>
                <w:sz w:val="20"/>
                <w:szCs w:val="20"/>
              </w:rPr>
              <w:t xml:space="preserve">Ministry/State Name</w:t>
            </w:r>
          </w:p>
        </w:tc>
        <w:tc>
          <w:tcPr>
            <w:tcW w:type="dxa" w:w="6300"/>
            <w:tcMar>
              <w:top w:type="dxa" w:w="80"/>
              <w:left w:type="dxa" w:w="120"/>
              <w:bottom w:type="dxa" w:w="80"/>
              <w:right w:type="dxa" w:w="120"/>
            </w:tcMar>
            <w:vAlign w:val="center"/>
          </w:tcPr>
          <w:p>
            <w:r>
              <w:rPr>
                <w:sz w:val="20"/>
                <w:szCs w:val="20"/>
              </w:rPr>
              <w:t xml:space="preserve">Ministry of Heavy Industries</w:t>
            </w:r>
          </w:p>
        </w:tc>
      </w:tr>
      <w:tr>
        <w:tc>
          <w:tcPr>
            <w:tcW w:type="dxa" w:w="3600"/>
            <w:shd w:fill="EAF1F3" w:val="clear"/>
            <w:tcMar>
              <w:top w:type="dxa" w:w="80"/>
              <w:left w:type="dxa" w:w="120"/>
              <w:bottom w:type="dxa" w:w="80"/>
              <w:right w:type="dxa" w:w="120"/>
            </w:tcMar>
            <w:vAlign w:val="center"/>
          </w:tcPr>
          <w:p>
            <w:r>
              <w:rPr>
                <w:b/>
                <w:bCs/>
                <w:sz w:val="20"/>
                <w:szCs w:val="20"/>
              </w:rPr>
              <w:t xml:space="preserve">Department Name</w:t>
            </w:r>
          </w:p>
        </w:tc>
        <w:tc>
          <w:tcPr>
            <w:tcW w:type="dxa" w:w="6300"/>
            <w:tcMar>
              <w:top w:type="dxa" w:w="80"/>
              <w:left w:type="dxa" w:w="120"/>
              <w:bottom w:type="dxa" w:w="80"/>
              <w:right w:type="dxa" w:w="120"/>
            </w:tcMar>
            <w:vAlign w:val="center"/>
          </w:tcPr>
          <w:p>
            <w:r>
              <w:rPr>
                <w:sz w:val="20"/>
                <w:szCs w:val="20"/>
              </w:rPr>
              <w:t xml:space="preserve">Central Public Sector Enterprises</w:t>
            </w:r>
          </w:p>
        </w:tc>
      </w:tr>
      <w:tr>
        <w:tc>
          <w:tcPr>
            <w:tcW w:type="dxa" w:w="3600"/>
            <w:shd w:fill="EAF1F3" w:val="clear"/>
            <w:tcMar>
              <w:top w:type="dxa" w:w="80"/>
              <w:left w:type="dxa" w:w="120"/>
              <w:bottom w:type="dxa" w:w="80"/>
              <w:right w:type="dxa" w:w="120"/>
            </w:tcMar>
            <w:vAlign w:val="center"/>
          </w:tcPr>
          <w:p>
            <w:r>
              <w:rPr>
                <w:b/>
                <w:bCs/>
                <w:sz w:val="20"/>
                <w:szCs w:val="20"/>
              </w:rPr>
              <w:t xml:space="preserve">Organisation Name</w:t>
            </w:r>
          </w:p>
        </w:tc>
        <w:tc>
          <w:tcPr>
            <w:tcW w:type="dxa" w:w="6300"/>
            <w:tcMar>
              <w:top w:type="dxa" w:w="80"/>
              <w:left w:type="dxa" w:w="120"/>
              <w:bottom w:type="dxa" w:w="80"/>
              <w:right w:type="dxa" w:w="120"/>
            </w:tcMar>
            <w:vAlign w:val="center"/>
          </w:tcPr>
          <w:p>
            <w:r>
              <w:rPr>
                <w:sz w:val="20"/>
                <w:szCs w:val="20"/>
              </w:rPr>
              <w:t xml:space="preserve">Bharat Heavy Electricals Limited (BHEL)</w:t>
            </w:r>
          </w:p>
        </w:tc>
      </w:tr>
      <w:tr>
        <w:tc>
          <w:tcPr>
            <w:tcW w:type="dxa" w:w="3600"/>
            <w:shd w:fill="EAF1F3" w:val="clear"/>
            <w:tcMar>
              <w:top w:type="dxa" w:w="80"/>
              <w:left w:type="dxa" w:w="120"/>
              <w:bottom w:type="dxa" w:w="80"/>
              <w:right w:type="dxa" w:w="120"/>
            </w:tcMar>
            <w:vAlign w:val="center"/>
          </w:tcPr>
          <w:p>
            <w:r>
              <w:rPr>
                <w:b/>
                <w:bCs/>
                <w:sz w:val="20"/>
                <w:szCs w:val="20"/>
              </w:rPr>
              <w:t xml:space="preserve">Office Name</w:t>
            </w:r>
          </w:p>
        </w:tc>
        <w:tc>
          <w:tcPr>
            <w:tcW w:type="dxa" w:w="6300"/>
            <w:tcMar>
              <w:top w:type="dxa" w:w="80"/>
              <w:left w:type="dxa" w:w="120"/>
              <w:bottom w:type="dxa" w:w="80"/>
              <w:right w:type="dxa" w:w="120"/>
            </w:tcMar>
            <w:vAlign w:val="center"/>
          </w:tcPr>
          <w:p>
            <w:r>
              <w:rPr>
                <w:sz w:val="20"/>
                <w:szCs w:val="20"/>
              </w:rPr>
              <w:t xml:space="preserve">Heavy Electrical Equipment Plant, Haridwar</w:t>
            </w:r>
          </w:p>
        </w:tc>
      </w:tr>
      <w:tr>
        <w:tc>
          <w:tcPr>
            <w:tcW w:type="dxa" w:w="3600"/>
            <w:shd w:fill="EAF1F3" w:val="clear"/>
            <w:tcMar>
              <w:top w:type="dxa" w:w="80"/>
              <w:left w:type="dxa" w:w="120"/>
              <w:bottom w:type="dxa" w:w="80"/>
              <w:right w:type="dxa" w:w="120"/>
            </w:tcMar>
            <w:vAlign w:val="center"/>
          </w:tcPr>
          <w:p>
            <w:r>
              <w:rPr>
                <w:b/>
                <w:bCs/>
                <w:sz w:val="20"/>
                <w:szCs w:val="20"/>
              </w:rPr>
              <w:t xml:space="preserve">Item Category</w:t>
            </w:r>
          </w:p>
        </w:tc>
        <w:tc>
          <w:tcPr>
            <w:tcW w:type="dxa" w:w="6300"/>
            <w:tcMar>
              <w:top w:type="dxa" w:w="80"/>
              <w:left w:type="dxa" w:w="120"/>
              <w:bottom w:type="dxa" w:w="80"/>
              <w:right w:type="dxa" w:w="120"/>
            </w:tcMar>
            <w:vAlign w:val="center"/>
          </w:tcPr>
          <w:p>
            <w:r>
              <w:rPr>
                <w:sz w:val="20"/>
                <w:szCs w:val="20"/>
              </w:rPr>
              <w:t xml:space="preserve">General Hardware &amp; Maintenance Bolting Tools</w:t>
            </w:r>
          </w:p>
        </w:tc>
      </w:tr>
      <w:tr>
        <w:tc>
          <w:tcPr>
            <w:tcW w:type="dxa" w:w="3600"/>
            <w:shd w:fill="EAF1F3" w:val="clear"/>
            <w:tcMar>
              <w:top w:type="dxa" w:w="80"/>
              <w:left w:type="dxa" w:w="120"/>
              <w:bottom w:type="dxa" w:w="80"/>
              <w:right w:type="dxa" w:w="120"/>
            </w:tcMar>
            <w:vAlign w:val="center"/>
          </w:tcPr>
          <w:p>
            <w:r>
              <w:rPr>
                <w:b/>
                <w:bCs/>
                <w:sz w:val="20"/>
                <w:szCs w:val="20"/>
              </w:rPr>
              <w:t xml:space="preserve">Total Quantity</w:t>
            </w:r>
          </w:p>
        </w:tc>
        <w:tc>
          <w:tcPr>
            <w:tcW w:type="dxa" w:w="6300"/>
            <w:tcMar>
              <w:top w:type="dxa" w:w="80"/>
              <w:left w:type="dxa" w:w="120"/>
              <w:bottom w:type="dxa" w:w="80"/>
              <w:right w:type="dxa" w:w="120"/>
            </w:tcMar>
            <w:vAlign w:val="center"/>
          </w:tcPr>
          <w:p>
            <w:r>
              <w:rPr>
                <w:sz w:val="20"/>
                <w:szCs w:val="20"/>
              </w:rPr>
              <w:t xml:space="preserve">48 Items (Workshop Consumables &amp; Hand Tools)</w:t>
            </w:r>
          </w:p>
        </w:tc>
      </w:tr>
      <w:tr>
        <w:tc>
          <w:tcPr>
            <w:tcW w:type="dxa" w:w="3600"/>
            <w:shd w:fill="EAF1F3" w:val="clear"/>
            <w:tcMar>
              <w:top w:type="dxa" w:w="80"/>
              <w:left w:type="dxa" w:w="120"/>
              <w:bottom w:type="dxa" w:w="80"/>
              <w:right w:type="dxa" w:w="120"/>
            </w:tcMar>
            <w:vAlign w:val="center"/>
          </w:tcPr>
          <w:p>
            <w:r>
              <w:rPr>
                <w:b/>
                <w:bCs/>
                <w:sz w:val="20"/>
                <w:szCs w:val="20"/>
              </w:rPr>
              <w:t xml:space="preserve">Contract Period</w:t>
            </w:r>
          </w:p>
        </w:tc>
        <w:tc>
          <w:tcPr>
            <w:tcW w:type="dxa" w:w="6300"/>
            <w:tcMar>
              <w:top w:type="dxa" w:w="80"/>
              <w:left w:type="dxa" w:w="120"/>
              <w:bottom w:type="dxa" w:w="80"/>
              <w:right w:type="dxa" w:w="120"/>
            </w:tcMar>
            <w:vAlign w:val="center"/>
          </w:tcPr>
          <w:p>
            <w:r>
              <w:rPr>
                <w:sz w:val="20"/>
                <w:szCs w:val="20"/>
              </w:rPr>
              <w:t xml:space="preserve">3 Year(s)</w:t>
            </w:r>
          </w:p>
        </w:tc>
      </w:tr>
      <w:tr>
        <w:tc>
          <w:tcPr>
            <w:tcW w:type="dxa" w:w="3600"/>
            <w:shd w:fill="EAF1F3" w:val="clear"/>
            <w:tcMar>
              <w:top w:type="dxa" w:w="80"/>
              <w:left w:type="dxa" w:w="120"/>
              <w:bottom w:type="dxa" w:w="80"/>
              <w:right w:type="dxa" w:w="120"/>
            </w:tcMar>
            <w:vAlign w:val="center"/>
          </w:tcPr>
          <w:p>
            <w:r>
              <w:rPr>
                <w:b/>
                <w:bCs/>
                <w:sz w:val="20"/>
                <w:szCs w:val="20"/>
              </w:rPr>
              <w:t xml:space="preserve">MSE Exemption for Years of Experience</w:t>
            </w:r>
          </w:p>
        </w:tc>
        <w:tc>
          <w:tcPr>
            <w:tcW w:type="dxa" w:w="6300"/>
            <w:tcMar>
              <w:top w:type="dxa" w:w="80"/>
              <w:left w:type="dxa" w:w="120"/>
              <w:bottom w:type="dxa" w:w="80"/>
              <w:right w:type="dxa" w:w="120"/>
            </w:tcMar>
            <w:vAlign w:val="center"/>
          </w:tcPr>
          <w:p>
            <w:r>
              <w:rPr>
                <w:sz w:val="20"/>
                <w:szCs w:val="20"/>
              </w:rPr>
              <w:t xml:space="preserve">Yes</w:t>
            </w:r>
          </w:p>
        </w:tc>
      </w:tr>
      <w:tr>
        <w:tc>
          <w:tcPr>
            <w:tcW w:type="dxa" w:w="3600"/>
            <w:shd w:fill="EAF1F3" w:val="clear"/>
            <w:tcMar>
              <w:top w:type="dxa" w:w="80"/>
              <w:left w:type="dxa" w:w="120"/>
              <w:bottom w:type="dxa" w:w="80"/>
              <w:right w:type="dxa" w:w="120"/>
            </w:tcMar>
            <w:vAlign w:val="center"/>
          </w:tcPr>
          <w:p>
            <w:r>
              <w:rPr>
                <w:b/>
                <w:bCs/>
                <w:sz w:val="20"/>
                <w:szCs w:val="20"/>
              </w:rPr>
              <w:t xml:space="preserve">Startup Exemption for Years of Experience</w:t>
            </w:r>
          </w:p>
        </w:tc>
        <w:tc>
          <w:tcPr>
            <w:tcW w:type="dxa" w:w="6300"/>
            <w:tcMar>
              <w:top w:type="dxa" w:w="80"/>
              <w:left w:type="dxa" w:w="120"/>
              <w:bottom w:type="dxa" w:w="80"/>
              <w:right w:type="dxa" w:w="120"/>
            </w:tcMar>
            <w:vAlign w:val="center"/>
          </w:tcPr>
          <w:p>
            <w:r>
              <w:rPr>
                <w:sz w:val="20"/>
                <w:szCs w:val="20"/>
              </w:rPr>
              <w:t xml:space="preserve">Yes</w:t>
            </w:r>
          </w:p>
        </w:tc>
      </w:tr>
      <w:tr>
        <w:tc>
          <w:tcPr>
            <w:tcW w:type="dxa" w:w="3600"/>
            <w:shd w:fill="EAF1F3" w:val="clear"/>
            <w:tcMar>
              <w:top w:type="dxa" w:w="80"/>
              <w:left w:type="dxa" w:w="120"/>
              <w:bottom w:type="dxa" w:w="80"/>
              <w:right w:type="dxa" w:w="120"/>
            </w:tcMar>
            <w:vAlign w:val="center"/>
          </w:tcPr>
          <w:p>
            <w:r>
              <w:rPr>
                <w:b/>
                <w:bCs/>
                <w:sz w:val="20"/>
                <w:szCs w:val="20"/>
              </w:rPr>
              <w:t xml:space="preserve">Document Required from Seller</w:t>
            </w:r>
          </w:p>
        </w:tc>
        <w:tc>
          <w:tcPr>
            <w:tcW w:type="dxa" w:w="6300"/>
            <w:tcMar>
              <w:top w:type="dxa" w:w="80"/>
              <w:left w:type="dxa" w:w="120"/>
              <w:bottom w:type="dxa" w:w="80"/>
              <w:right w:type="dxa" w:w="120"/>
            </w:tcMar>
            <w:vAlign w:val="center"/>
          </w:tcPr>
          <w:p>
            <w:r>
              <w:rPr>
                <w:sz w:val="20"/>
                <w:szCs w:val="20"/>
              </w:rPr>
              <w:t xml:space="preserve">Experience Criteria, Past Performance, OEM Authorization, Compliance Certificate</w:t>
            </w:r>
          </w:p>
        </w:tc>
      </w:tr>
      <w:tr>
        <w:tc>
          <w:tcPr>
            <w:tcW w:type="dxa" w:w="3600"/>
            <w:shd w:fill="EAF1F3" w:val="clear"/>
            <w:tcMar>
              <w:top w:type="dxa" w:w="80"/>
              <w:left w:type="dxa" w:w="120"/>
              <w:bottom w:type="dxa" w:w="80"/>
              <w:right w:type="dxa" w:w="120"/>
            </w:tcMar>
            <w:vAlign w:val="center"/>
          </w:tcPr>
          <w:p>
            <w:r>
              <w:rPr>
                <w:b/>
                <w:bCs/>
                <w:sz w:val="20"/>
                <w:szCs w:val="20"/>
              </w:rPr>
              <w:t xml:space="preserve">Bid to RA Enabled</w:t>
            </w:r>
          </w:p>
        </w:tc>
        <w:tc>
          <w:tcPr>
            <w:tcW w:type="dxa" w:w="6300"/>
            <w:tcMar>
              <w:top w:type="dxa" w:w="80"/>
              <w:left w:type="dxa" w:w="120"/>
              <w:bottom w:type="dxa" w:w="80"/>
              <w:right w:type="dxa" w:w="120"/>
            </w:tcMar>
            <w:vAlign w:val="center"/>
          </w:tcPr>
          <w:p>
            <w:r>
              <w:rPr>
                <w:sz w:val="20"/>
                <w:szCs w:val="20"/>
              </w:rPr>
              <w:t xml:space="preserve">Yes</w:t>
            </w:r>
          </w:p>
        </w:tc>
      </w:tr>
      <w:tr>
        <w:tc>
          <w:tcPr>
            <w:tcW w:type="dxa" w:w="3600"/>
            <w:shd w:fill="EAF1F3" w:val="clear"/>
            <w:tcMar>
              <w:top w:type="dxa" w:w="80"/>
              <w:left w:type="dxa" w:w="120"/>
              <w:bottom w:type="dxa" w:w="80"/>
              <w:right w:type="dxa" w:w="120"/>
            </w:tcMar>
            <w:vAlign w:val="center"/>
          </w:tcPr>
          <w:p>
            <w:r>
              <w:rPr>
                <w:b/>
                <w:bCs/>
                <w:sz w:val="20"/>
                <w:szCs w:val="20"/>
              </w:rPr>
              <w:t xml:space="preserve">RCM Applicable</w:t>
            </w:r>
          </w:p>
        </w:tc>
        <w:tc>
          <w:tcPr>
            <w:tcW w:type="dxa" w:w="6300"/>
            <w:tcMar>
              <w:top w:type="dxa" w:w="80"/>
              <w:left w:type="dxa" w:w="120"/>
              <w:bottom w:type="dxa" w:w="80"/>
              <w:right w:type="dxa" w:w="120"/>
            </w:tcMar>
            <w:vAlign w:val="center"/>
          </w:tcPr>
          <w:p>
            <w:r>
              <w:rPr>
                <w:sz w:val="20"/>
                <w:szCs w:val="20"/>
              </w:rPr>
              <w:t xml:space="preserve">No</w:t>
            </w:r>
          </w:p>
        </w:tc>
      </w:tr>
      <w:tr>
        <w:tc>
          <w:tcPr>
            <w:tcW w:type="dxa" w:w="3600"/>
            <w:shd w:fill="EAF1F3" w:val="clear"/>
            <w:tcMar>
              <w:top w:type="dxa" w:w="80"/>
              <w:left w:type="dxa" w:w="120"/>
              <w:bottom w:type="dxa" w:w="80"/>
              <w:right w:type="dxa" w:w="120"/>
            </w:tcMar>
            <w:vAlign w:val="center"/>
          </w:tcPr>
          <w:p>
            <w:r>
              <w:rPr>
                <w:b/>
                <w:bCs/>
                <w:sz w:val="20"/>
                <w:szCs w:val="20"/>
              </w:rPr>
              <w:t xml:space="preserve">EMD Detail</w:t>
            </w:r>
          </w:p>
        </w:tc>
        <w:tc>
          <w:tcPr>
            <w:tcW w:type="dxa" w:w="6300"/>
            <w:tcMar>
              <w:top w:type="dxa" w:w="80"/>
              <w:left w:type="dxa" w:w="120"/>
              <w:bottom w:type="dxa" w:w="80"/>
              <w:right w:type="dxa" w:w="120"/>
            </w:tcMar>
            <w:vAlign w:val="center"/>
          </w:tcPr>
          <w:p>
            <w:r>
              <w:rPr>
                <w:sz w:val="20"/>
                <w:szCs w:val="20"/>
              </w:rPr>
              <w:t xml:space="preserve">Applicable (2% of estimated value)</w:t>
            </w:r>
          </w:p>
        </w:tc>
      </w:tr>
      <w:tr>
        <w:tc>
          <w:tcPr>
            <w:tcW w:type="dxa" w:w="3600"/>
            <w:shd w:fill="EAF1F3" w:val="clear"/>
            <w:tcMar>
              <w:top w:type="dxa" w:w="80"/>
              <w:left w:type="dxa" w:w="120"/>
              <w:bottom w:type="dxa" w:w="80"/>
              <w:right w:type="dxa" w:w="120"/>
            </w:tcMar>
            <w:vAlign w:val="center"/>
          </w:tcPr>
          <w:p>
            <w:r>
              <w:rPr>
                <w:b/>
                <w:bCs/>
                <w:sz w:val="20"/>
                <w:szCs w:val="20"/>
              </w:rPr>
              <w:t xml:space="preserve">ePBG Detail</w:t>
            </w:r>
          </w:p>
        </w:tc>
        <w:tc>
          <w:tcPr>
            <w:tcW w:type="dxa" w:w="6300"/>
            <w:tcMar>
              <w:top w:type="dxa" w:w="80"/>
              <w:left w:type="dxa" w:w="120"/>
              <w:bottom w:type="dxa" w:w="80"/>
              <w:right w:type="dxa" w:w="120"/>
            </w:tcMar>
            <w:vAlign w:val="center"/>
          </w:tcPr>
          <w:p>
            <w:r>
              <w:rPr>
                <w:sz w:val="20"/>
                <w:szCs w:val="20"/>
              </w:rPr>
              <w:t xml:space="preserve">Applicable (5% of contract value)</w:t>
            </w:r>
          </w:p>
        </w:tc>
      </w:tr>
    </w:tbl>
    <w:p>
      <w:pPr>
        <w:pStyle w:val="Heading1"/>
        <w:spacing w:after="150" w:before="300"/>
      </w:pPr>
      <w:r>
        <w:t xml:space="preserve">2. EMD &amp; ePBG Details</w:t>
      </w:r>
    </w:p>
    <w:p>
      <w:pPr>
        <w:spacing w:after="140"/>
      </w:pPr>
      <w:r>
        <w:t xml:space="preserve">Earnest Money Deposit (EMD) of 2% of the total estimated contract value must be submitted in the form of Bank Guarantee / Demand Draft favoring the Accounts Officer, OPGC Banharpali. Bidders seeking exemption under MSE / Startup categories must upload valid Registration Certificates issued by NSIC / UDYAM / DPIIT.</w:t>
      </w:r>
    </w:p>
    <w:p>
      <w:pPr>
        <w:pStyle w:val="Heading1"/>
        <w:spacing w:after="150" w:before="300"/>
      </w:pPr>
      <w:r>
        <w:t xml:space="preserve">3. Splitting &amp; Purchase Preference</w:t>
      </w:r>
    </w:p>
    <w:p>
      <w:pPr>
        <w:pStyle w:val="ListParagraph"/>
        <w:numPr>
          <w:ilvl w:val="0"/>
          <w:numId w:val="2"/>
        </w:numPr>
        <w:spacing w:after="80"/>
      </w:pPr>
      <w:r>
        <w:t xml:space="preserve">Splitting of Order: The Buyer reserves the right to split the order among multiple qualified L1, L2 sellers in the ratio of 60:40, subject to L2 matching L1 prices.</w:t>
      </w:r>
    </w:p>
    <w:p>
      <w:pPr>
        <w:pStyle w:val="ListParagraph"/>
        <w:numPr>
          <w:ilvl w:val="0"/>
          <w:numId w:val="2"/>
        </w:numPr>
        <w:spacing w:after="80"/>
      </w:pPr>
      <w:r>
        <w:t xml:space="preserve">MII Purchase Preference: Preference will be given to Class 1 Local Suppliers as defined under the Make in India policy. Local content minimum requirement is 50%.</w:t>
      </w:r>
    </w:p>
    <w:p>
      <w:pPr>
        <w:pStyle w:val="ListParagraph"/>
        <w:numPr>
          <w:ilvl w:val="0"/>
          <w:numId w:val="2"/>
        </w:numPr>
        <w:spacing w:after="80"/>
      </w:pPr>
      <w:r>
        <w:t xml:space="preserve">MSE Purchase Preference: 25% of total procurement quantity is reserved for Micro and Small Enterprises.</w:t>
      </w:r>
    </w:p>
    <w:p>
      <w:pPr>
        <w:pStyle w:val="Heading1"/>
        <w:spacing w:after="150" w:before="300"/>
      </w:pPr>
      <w:r>
        <w:t xml:space="preserve">4. Vendor Eligibility &amp; Qualification Criteria</w:t>
      </w:r>
    </w:p>
    <w:p>
      <w:pPr>
        <w:spacing w:after="140"/>
      </w:pPr>
      <w:r>
        <w:t xml:space="preserve">The bidder or its OEM must have executed at least 3 similar contracts in major public sector undertakings (PSUs), refineries, power plants, or fertilizer complexes during the last 5 financial years. Minimum annual financial turnover during the last 3 financial years must not be less than INR 2.5 Crores. ISO 9001, ISO 14001, and ISO 4501 certifications are mandatory.</w:t>
      </w:r>
    </w:p>
    <w:p>
      <w:pPr>
        <w:pStyle w:val="Heading1"/>
        <w:spacing w:after="150" w:before="300"/>
      </w:pPr>
      <w:r>
        <w:t xml:space="preserve">5. Comprehensive Scope of Work (SOW)</w:t>
      </w:r>
    </w:p>
    <w:p>
      <w:pPr>
        <w:pStyle w:val="Heading2"/>
        <w:spacing w:after="120" w:before="240"/>
      </w:pPr>
      <w:r>
        <w:t xml:space="preserve">5.1 Supply of General Workshop Maintenance Consumables</w:t>
      </w:r>
    </w:p>
    <w:p>
      <w:pPr>
        <w:spacing w:after="140"/>
      </w:pPr>
      <w:r>
        <w:t xml:space="preserve">Contractor shall supply standard maintenance workshop consumables including open-ended spanners, ring spanners, socket driver sets, pneumatic impact wrenches, bench vices, torque wrench calibrators, and general bolting tools required for routine maintenance of turbine assembly bays.</w:t>
      </w:r>
    </w:p>
    <w:p>
      <w:pPr>
        <w:pStyle w:val="Heading2"/>
        <w:spacing w:after="120" w:before="240"/>
      </w:pPr>
      <w:r>
        <w:t xml:space="preserve">5.2 Tool Calibration &amp; Quality Acceptance</w:t>
      </w:r>
    </w:p>
    <w:p>
      <w:pPr>
        <w:spacing w:after="140"/>
      </w:pPr>
      <w:r>
        <w:t xml:space="preserve">All hand tools supplied under this contract must carry standard manufacturer warranty. Any manual torque wrench included in the lot must be supplied with factory calibration certificates traceable to national standards.</w:t>
      </w:r>
    </w:p>
    <w:p>
      <w:pPr>
        <w:pStyle w:val="Heading2"/>
        <w:spacing w:after="120" w:before="240"/>
      </w:pPr>
      <w:r>
        <w:t xml:space="preserve">5.3 Delivery &amp; Storage Packaging Requirements</w:t>
      </w:r>
    </w:p>
    <w:p>
      <w:pPr>
        <w:spacing w:after="140"/>
      </w:pPr>
      <w:r>
        <w:t xml:space="preserve">Tools must be packed in heavy-duty steel toolboxes with foam cutouts. Delivery must be completed at Central Stores, BHEL Haridwar, within 45 days of GeM contract creation.</w:t>
      </w:r>
    </w:p>
    <w:p>
      <w:pPr>
        <w:pStyle w:val="Heading1"/>
        <w:spacing w:after="150" w:before="300"/>
      </w:pPr>
      <w:r>
        <w:t xml:space="preserve">6. Technical Specifications &amp; BOQ</w:t>
      </w:r>
    </w:p>
    <w:p>
      <w:pPr>
        <w:spacing w:after="140"/>
      </w:pPr>
      <w:r>
        <w:t xml:space="preserve">The equipment and tools supplied under this contract must conform strictly to the technical parameters specified below. Any deviation will result in immediate rejection during pre-dispatch inspection.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700"/>
        <w:gridCol w:w="900"/>
      </w:tblGrid>
      <w:tr>
        <w:tc>
          <w:tcPr>
            <w:shd w:fill="1F4E5F" w:val="clear"/>
            <w:tcMar>
              <w:top w:type="dxa" w:w="100"/>
              <w:left w:type="dxa" w:w="120"/>
              <w:bottom w:type="dxa" w:w="100"/>
              <w:right w:type="dxa" w:w="120"/>
            </w:tcMar>
            <w:vAlign w:val="center"/>
          </w:tcPr>
          <w:p>
            <w:r>
              <w:rPr>
                <w:b/>
                <w:bCs/>
                <w:color w:val="FFFFFF"/>
                <w:sz w:val="20"/>
                <w:szCs w:val="20"/>
              </w:rPr>
              <w:t xml:space="preserve">Item #</w:t>
            </w:r>
          </w:p>
        </w:tc>
        <w:tc>
          <w:tcPr>
            <w:shd w:fill="1F4E5F" w:val="clear"/>
            <w:tcMar>
              <w:top w:type="dxa" w:w="100"/>
              <w:left w:type="dxa" w:w="120"/>
              <w:bottom w:type="dxa" w:w="100"/>
              <w:right w:type="dxa" w:w="120"/>
            </w:tcMar>
            <w:vAlign w:val="center"/>
          </w:tcPr>
          <w:p>
            <w:r>
              <w:rPr>
                <w:b/>
                <w:bCs/>
                <w:color w:val="FFFFFF"/>
                <w:sz w:val="20"/>
                <w:szCs w:val="20"/>
              </w:rPr>
              <w:t xml:space="preserve">Description of Tool / Service</w:t>
            </w:r>
          </w:p>
        </w:tc>
        <w:tc>
          <w:tcPr>
            <w:shd w:fill="1F4E5F" w:val="clear"/>
            <w:tcMar>
              <w:top w:type="dxa" w:w="100"/>
              <w:left w:type="dxa" w:w="120"/>
              <w:bottom w:type="dxa" w:w="100"/>
              <w:right w:type="dxa" w:w="120"/>
            </w:tcMar>
            <w:vAlign w:val="center"/>
          </w:tcPr>
          <w:p>
            <w:r>
              <w:rPr>
                <w:b/>
                <w:bCs/>
                <w:color w:val="FFFFFF"/>
                <w:sz w:val="20"/>
                <w:szCs w:val="20"/>
              </w:rPr>
              <w:t xml:space="preserve">Technical Standard / Parameter</w:t>
            </w:r>
          </w:p>
        </w:tc>
        <w:tc>
          <w:tcPr>
            <w:shd w:fill="1F4E5F" w:val="clear"/>
            <w:tcMar>
              <w:top w:type="dxa" w:w="100"/>
              <w:left w:type="dxa" w:w="120"/>
              <w:bottom w:type="dxa" w:w="100"/>
              <w:right w:type="dxa" w:w="120"/>
            </w:tcMar>
            <w:vAlign w:val="center"/>
          </w:tcPr>
          <w:p>
            <w:r>
              <w:rPr>
                <w:b/>
                <w:bCs/>
                <w:color w:val="FFFFFF"/>
                <w:sz w:val="20"/>
                <w:szCs w:val="20"/>
              </w:rPr>
              <w:t xml:space="preserve">Qty</w:t>
            </w:r>
          </w:p>
        </w:tc>
      </w:tr>
      <w:tr>
        <w:tc>
          <w:tcPr>
            <w:tcW w:type="dxa" w:w="700"/>
            <w:tcMar>
              <w:top w:type="dxa" w:w="90"/>
              <w:left w:type="dxa" w:w="120"/>
              <w:bottom w:type="dxa" w:w="90"/>
              <w:right w:type="dxa" w:w="120"/>
            </w:tcMar>
            <w:vAlign w:val="center"/>
          </w:tcPr>
          <w:p>
            <w:r>
              <w:rPr>
                <w:sz w:val="20"/>
                <w:szCs w:val="20"/>
              </w:rPr>
              <w:t xml:space="preserve">1</w:t>
            </w:r>
          </w:p>
        </w:tc>
        <w:tc>
          <w:tcPr>
            <w:tcW w:type="dxa" w:w="3200"/>
            <w:tcMar>
              <w:top w:type="dxa" w:w="90"/>
              <w:left w:type="dxa" w:w="120"/>
              <w:bottom w:type="dxa" w:w="90"/>
              <w:right w:type="dxa" w:w="120"/>
            </w:tcMar>
            <w:vAlign w:val="center"/>
          </w:tcPr>
          <w:p>
            <w:r>
              <w:rPr>
                <w:sz w:val="20"/>
                <w:szCs w:val="20"/>
              </w:rPr>
              <w:t xml:space="preserve">Combination Spanner Set (Metric 6-32mm)</w:t>
            </w:r>
          </w:p>
        </w:tc>
        <w:tc>
          <w:tcPr>
            <w:tcW w:type="dxa" w:w="4700"/>
            <w:tcMar>
              <w:top w:type="dxa" w:w="90"/>
              <w:left w:type="dxa" w:w="120"/>
              <w:bottom w:type="dxa" w:w="90"/>
              <w:right w:type="dxa" w:w="120"/>
            </w:tcMar>
            <w:vAlign w:val="center"/>
          </w:tcPr>
          <w:p>
            <w:r>
              <w:rPr>
                <w:sz w:val="20"/>
                <w:szCs w:val="20"/>
              </w:rPr>
              <w:t xml:space="preserve">Chrome Vanadium Steel, DIN 3113</w:t>
            </w:r>
          </w:p>
        </w:tc>
        <w:tc>
          <w:tcPr>
            <w:tcW w:type="dxa" w:w="900"/>
            <w:tcMar>
              <w:top w:type="dxa" w:w="90"/>
              <w:left w:type="dxa" w:w="120"/>
              <w:bottom w:type="dxa" w:w="90"/>
              <w:right w:type="dxa" w:w="120"/>
            </w:tcMar>
            <w:vAlign w:val="center"/>
          </w:tcPr>
          <w:p>
            <w:r>
              <w:rPr>
                <w:sz w:val="20"/>
                <w:szCs w:val="20"/>
              </w:rPr>
              <w:t xml:space="preserve">15</w:t>
            </w:r>
          </w:p>
        </w:tc>
      </w:tr>
      <w:tr>
        <w:tc>
          <w:tcPr>
            <w:tcW w:type="dxa" w:w="700"/>
            <w:tcMar>
              <w:top w:type="dxa" w:w="90"/>
              <w:left w:type="dxa" w:w="120"/>
              <w:bottom w:type="dxa" w:w="90"/>
              <w:right w:type="dxa" w:w="120"/>
            </w:tcMar>
            <w:vAlign w:val="center"/>
          </w:tcPr>
          <w:p>
            <w:r>
              <w:rPr>
                <w:sz w:val="20"/>
                <w:szCs w:val="20"/>
              </w:rPr>
              <w:t xml:space="preserve">2</w:t>
            </w:r>
          </w:p>
        </w:tc>
        <w:tc>
          <w:tcPr>
            <w:tcW w:type="dxa" w:w="3200"/>
            <w:tcMar>
              <w:top w:type="dxa" w:w="90"/>
              <w:left w:type="dxa" w:w="120"/>
              <w:bottom w:type="dxa" w:w="90"/>
              <w:right w:type="dxa" w:w="120"/>
            </w:tcMar>
            <w:vAlign w:val="center"/>
          </w:tcPr>
          <w:p>
            <w:r>
              <w:rPr>
                <w:sz w:val="20"/>
                <w:szCs w:val="20"/>
              </w:rPr>
              <w:t xml:space="preserve">1/2 Inch Drive Socket Wrench Set</w:t>
            </w:r>
          </w:p>
        </w:tc>
        <w:tc>
          <w:tcPr>
            <w:tcW w:type="dxa" w:w="4700"/>
            <w:tcMar>
              <w:top w:type="dxa" w:w="90"/>
              <w:left w:type="dxa" w:w="120"/>
              <w:bottom w:type="dxa" w:w="90"/>
              <w:right w:type="dxa" w:w="120"/>
            </w:tcMar>
            <w:vAlign w:val="center"/>
          </w:tcPr>
          <w:p>
            <w:r>
              <w:rPr>
                <w:sz w:val="20"/>
                <w:szCs w:val="20"/>
              </w:rPr>
              <w:t xml:space="preserve">24 Pieces with quick release ratchet</w:t>
            </w:r>
          </w:p>
        </w:tc>
        <w:tc>
          <w:tcPr>
            <w:tcW w:type="dxa" w:w="900"/>
            <w:tcMar>
              <w:top w:type="dxa" w:w="90"/>
              <w:left w:type="dxa" w:w="120"/>
              <w:bottom w:type="dxa" w:w="90"/>
              <w:right w:type="dxa" w:w="120"/>
            </w:tcMar>
            <w:vAlign w:val="center"/>
          </w:tcPr>
          <w:p>
            <w:r>
              <w:rPr>
                <w:sz w:val="20"/>
                <w:szCs w:val="20"/>
              </w:rPr>
              <w:t xml:space="preserve">10</w:t>
            </w:r>
          </w:p>
        </w:tc>
      </w:tr>
      <w:tr>
        <w:tc>
          <w:tcPr>
            <w:tcW w:type="dxa" w:w="700"/>
            <w:tcMar>
              <w:top w:type="dxa" w:w="90"/>
              <w:left w:type="dxa" w:w="120"/>
              <w:bottom w:type="dxa" w:w="90"/>
              <w:right w:type="dxa" w:w="120"/>
            </w:tcMar>
            <w:vAlign w:val="center"/>
          </w:tcPr>
          <w:p>
            <w:r>
              <w:rPr>
                <w:sz w:val="20"/>
                <w:szCs w:val="20"/>
              </w:rPr>
              <w:t xml:space="preserve">3</w:t>
            </w:r>
          </w:p>
        </w:tc>
        <w:tc>
          <w:tcPr>
            <w:tcW w:type="dxa" w:w="3200"/>
            <w:tcMar>
              <w:top w:type="dxa" w:w="90"/>
              <w:left w:type="dxa" w:w="120"/>
              <w:bottom w:type="dxa" w:w="90"/>
              <w:right w:type="dxa" w:w="120"/>
            </w:tcMar>
            <w:vAlign w:val="center"/>
          </w:tcPr>
          <w:p>
            <w:r>
              <w:rPr>
                <w:sz w:val="20"/>
                <w:szCs w:val="20"/>
              </w:rPr>
              <w:t xml:space="preserve">Manual Click-Type Torque Wrench</w:t>
            </w:r>
          </w:p>
        </w:tc>
        <w:tc>
          <w:tcPr>
            <w:tcW w:type="dxa" w:w="4700"/>
            <w:tcMar>
              <w:top w:type="dxa" w:w="90"/>
              <w:left w:type="dxa" w:w="120"/>
              <w:bottom w:type="dxa" w:w="90"/>
              <w:right w:type="dxa" w:w="120"/>
            </w:tcMar>
            <w:vAlign w:val="center"/>
          </w:tcPr>
          <w:p>
            <w:r>
              <w:rPr>
                <w:sz w:val="20"/>
                <w:szCs w:val="20"/>
              </w:rPr>
              <w:t xml:space="preserve">1/2 inch drive, 40-200 Nm range</w:t>
            </w:r>
          </w:p>
        </w:tc>
        <w:tc>
          <w:tcPr>
            <w:tcW w:type="dxa" w:w="900"/>
            <w:tcMar>
              <w:top w:type="dxa" w:w="90"/>
              <w:left w:type="dxa" w:w="120"/>
              <w:bottom w:type="dxa" w:w="90"/>
              <w:right w:type="dxa" w:w="120"/>
            </w:tcMar>
            <w:vAlign w:val="center"/>
          </w:tcPr>
          <w:p>
            <w:r>
              <w:rPr>
                <w:sz w:val="20"/>
                <w:szCs w:val="20"/>
              </w:rPr>
              <w:t xml:space="preserve">5</w:t>
            </w:r>
          </w:p>
        </w:tc>
      </w:tr>
      <w:tr>
        <w:tc>
          <w:tcPr>
            <w:tcW w:type="dxa" w:w="700"/>
            <w:tcMar>
              <w:top w:type="dxa" w:w="90"/>
              <w:left w:type="dxa" w:w="120"/>
              <w:bottom w:type="dxa" w:w="90"/>
              <w:right w:type="dxa" w:w="120"/>
            </w:tcMar>
            <w:vAlign w:val="center"/>
          </w:tcPr>
          <w:p>
            <w:r>
              <w:rPr>
                <w:sz w:val="20"/>
                <w:szCs w:val="20"/>
              </w:rPr>
              <w:t xml:space="preserve">4</w:t>
            </w:r>
          </w:p>
        </w:tc>
        <w:tc>
          <w:tcPr>
            <w:tcW w:type="dxa" w:w="3200"/>
            <w:tcMar>
              <w:top w:type="dxa" w:w="90"/>
              <w:left w:type="dxa" w:w="120"/>
              <w:bottom w:type="dxa" w:w="90"/>
              <w:right w:type="dxa" w:w="120"/>
            </w:tcMar>
            <w:vAlign w:val="center"/>
          </w:tcPr>
          <w:p>
            <w:r>
              <w:rPr>
                <w:sz w:val="20"/>
                <w:szCs w:val="20"/>
              </w:rPr>
              <w:t xml:space="preserve">Heavy Duty General Bolting Tools</w:t>
            </w:r>
          </w:p>
        </w:tc>
        <w:tc>
          <w:tcPr>
            <w:tcW w:type="dxa" w:w="4700"/>
            <w:tcMar>
              <w:top w:type="dxa" w:w="90"/>
              <w:left w:type="dxa" w:w="120"/>
              <w:bottom w:type="dxa" w:w="90"/>
              <w:right w:type="dxa" w:w="120"/>
            </w:tcMar>
            <w:vAlign w:val="center"/>
          </w:tcPr>
          <w:p>
            <w:r>
              <w:rPr>
                <w:sz w:val="20"/>
                <w:szCs w:val="20"/>
              </w:rPr>
              <w:t xml:space="preserve">Adjustable wrenches &amp; pliers set</w:t>
            </w:r>
          </w:p>
        </w:tc>
        <w:tc>
          <w:tcPr>
            <w:tcW w:type="dxa" w:w="900"/>
            <w:tcMar>
              <w:top w:type="dxa" w:w="90"/>
              <w:left w:type="dxa" w:w="120"/>
              <w:bottom w:type="dxa" w:w="90"/>
              <w:right w:type="dxa" w:w="120"/>
            </w:tcMar>
            <w:vAlign w:val="center"/>
          </w:tcPr>
          <w:p>
            <w:r>
              <w:rPr>
                <w:sz w:val="20"/>
                <w:szCs w:val="20"/>
              </w:rPr>
              <w:t xml:space="preserve">12</w:t>
            </w:r>
          </w:p>
        </w:tc>
      </w:tr>
      <w:tr>
        <w:tc>
          <w:tcPr>
            <w:tcW w:type="dxa" w:w="700"/>
            <w:tcMar>
              <w:top w:type="dxa" w:w="90"/>
              <w:left w:type="dxa" w:w="120"/>
              <w:bottom w:type="dxa" w:w="90"/>
              <w:right w:type="dxa" w:w="120"/>
            </w:tcMar>
            <w:vAlign w:val="center"/>
          </w:tcPr>
          <w:p>
            <w:r>
              <w:rPr>
                <w:sz w:val="20"/>
                <w:szCs w:val="20"/>
              </w:rPr>
              <w:t xml:space="preserve">5</w:t>
            </w:r>
          </w:p>
        </w:tc>
        <w:tc>
          <w:tcPr>
            <w:tcW w:type="dxa" w:w="3200"/>
            <w:tcMar>
              <w:top w:type="dxa" w:w="90"/>
              <w:left w:type="dxa" w:w="120"/>
              <w:bottom w:type="dxa" w:w="90"/>
              <w:right w:type="dxa" w:w="120"/>
            </w:tcMar>
            <w:vAlign w:val="center"/>
          </w:tcPr>
          <w:p>
            <w:r>
              <w:rPr>
                <w:sz w:val="20"/>
                <w:szCs w:val="20"/>
              </w:rPr>
              <w:t xml:space="preserve">Pneumatic Impact Driver</w:t>
            </w:r>
          </w:p>
        </w:tc>
        <w:tc>
          <w:tcPr>
            <w:tcW w:type="dxa" w:w="4700"/>
            <w:tcMar>
              <w:top w:type="dxa" w:w="90"/>
              <w:left w:type="dxa" w:w="120"/>
              <w:bottom w:type="dxa" w:w="90"/>
              <w:right w:type="dxa" w:w="120"/>
            </w:tcMar>
            <w:vAlign w:val="center"/>
          </w:tcPr>
          <w:p>
            <w:r>
              <w:rPr>
                <w:sz w:val="20"/>
                <w:szCs w:val="20"/>
              </w:rPr>
              <w:t xml:space="preserve">3/4 Inch, Working pressure 6.2 Bar, 1200 Nm</w:t>
            </w:r>
          </w:p>
        </w:tc>
        <w:tc>
          <w:tcPr>
            <w:tcW w:type="dxa" w:w="900"/>
            <w:tcMar>
              <w:top w:type="dxa" w:w="90"/>
              <w:left w:type="dxa" w:w="120"/>
              <w:bottom w:type="dxa" w:w="90"/>
              <w:right w:type="dxa" w:w="120"/>
            </w:tcMar>
            <w:vAlign w:val="center"/>
          </w:tcPr>
          <w:p>
            <w:r>
              <w:rPr>
                <w:sz w:val="20"/>
                <w:szCs w:val="20"/>
              </w:rPr>
              <w:t xml:space="preserve">4</w:t>
            </w:r>
          </w:p>
        </w:tc>
      </w:tr>
      <w:tr>
        <w:tc>
          <w:tcPr>
            <w:tcW w:type="dxa" w:w="700"/>
            <w:tcMar>
              <w:top w:type="dxa" w:w="90"/>
              <w:left w:type="dxa" w:w="120"/>
              <w:bottom w:type="dxa" w:w="90"/>
              <w:right w:type="dxa" w:w="120"/>
            </w:tcMar>
            <w:vAlign w:val="center"/>
          </w:tcPr>
          <w:p>
            <w:r>
              <w:rPr>
                <w:sz w:val="20"/>
                <w:szCs w:val="20"/>
              </w:rPr>
              <w:t xml:space="preserve">6</w:t>
            </w:r>
          </w:p>
        </w:tc>
        <w:tc>
          <w:tcPr>
            <w:tcW w:type="dxa" w:w="3200"/>
            <w:tcMar>
              <w:top w:type="dxa" w:w="90"/>
              <w:left w:type="dxa" w:w="120"/>
              <w:bottom w:type="dxa" w:w="90"/>
              <w:right w:type="dxa" w:w="120"/>
            </w:tcMar>
            <w:vAlign w:val="center"/>
          </w:tcPr>
          <w:p>
            <w:r>
              <w:rPr>
                <w:sz w:val="20"/>
                <w:szCs w:val="20"/>
              </w:rPr>
              <w:t xml:space="preserve">Steel Tool Chest with Drawers</w:t>
            </w:r>
          </w:p>
        </w:tc>
        <w:tc>
          <w:tcPr>
            <w:tcW w:type="dxa" w:w="4700"/>
            <w:tcMar>
              <w:top w:type="dxa" w:w="90"/>
              <w:left w:type="dxa" w:w="120"/>
              <w:bottom w:type="dxa" w:w="90"/>
              <w:right w:type="dxa" w:w="120"/>
            </w:tcMar>
            <w:vAlign w:val="center"/>
          </w:tcPr>
          <w:p>
            <w:r>
              <w:rPr>
                <w:sz w:val="20"/>
                <w:szCs w:val="20"/>
              </w:rPr>
              <w:t xml:space="preserve">Powder coated 7-drawer mobile cabinet</w:t>
            </w:r>
          </w:p>
        </w:tc>
        <w:tc>
          <w:tcPr>
            <w:tcW w:type="dxa" w:w="900"/>
            <w:tcMar>
              <w:top w:type="dxa" w:w="90"/>
              <w:left w:type="dxa" w:w="120"/>
              <w:bottom w:type="dxa" w:w="90"/>
              <w:right w:type="dxa" w:w="120"/>
            </w:tcMar>
            <w:vAlign w:val="center"/>
          </w:tcPr>
          <w:p>
            <w:r>
              <w:rPr>
                <w:sz w:val="20"/>
                <w:szCs w:val="20"/>
              </w:rPr>
              <w:t xml:space="preserve">2</w:t>
            </w:r>
          </w:p>
        </w:tc>
      </w:tr>
    </w:tbl>
    <w:p>
      <w:pPr>
        <w:spacing w:before="200"/>
      </w:pPr>
      <w:r>
        <w:t xml:space="preserve"/>
      </w:r>
    </w:p>
    <w:p>
      <w:pPr>
        <w:pStyle w:val="Heading1"/>
        <w:spacing w:after="150" w:before="300"/>
      </w:pPr>
      <w:r>
        <w:t xml:space="preserve">7. Buyer Added Bid Specific Terms &amp; Conditions</w:t>
      </w:r>
    </w:p>
    <w:p>
      <w:pPr>
        <w:pStyle w:val="ListParagraph"/>
        <w:numPr>
          <w:ilvl w:val="0"/>
          <w:numId w:val="2"/>
        </w:numPr>
        <w:spacing w:after="80"/>
      </w:pPr>
      <w:r>
        <w:t xml:space="preserve">Inspection &amp; Testing: Pre-dispatch inspection (PDI) shall be conducted by the Buyer's authorized third-party inspection agency (TUV / DNV / Lloyd's Register) at OEM works.</w:t>
      </w:r>
    </w:p>
    <w:p>
      <w:pPr>
        <w:pStyle w:val="ListParagraph"/>
        <w:numPr>
          <w:ilvl w:val="0"/>
          <w:numId w:val="2"/>
        </w:numPr>
        <w:spacing w:after="80"/>
      </w:pPr>
      <w:r>
        <w:t xml:space="preserve">Calibration Certificates: All calibration must be conducted using NABL accredited master instruments with valid calibration certificates valid for 12 months from the delivery date.</w:t>
      </w:r>
    </w:p>
    <w:p>
      <w:pPr>
        <w:pStyle w:val="ListParagraph"/>
        <w:numPr>
          <w:ilvl w:val="0"/>
          <w:numId w:val="2"/>
        </w:numPr>
        <w:spacing w:after="80"/>
      </w:pPr>
      <w:r>
        <w:t xml:space="preserve">On-Site Support &amp; Training: Successful bidder must depute qualified service engineers for on-site commissioning, tool operation training, and maintenance demonstration for a minimum of 5 working days.</w:t>
      </w:r>
    </w:p>
    <w:p>
      <w:pPr>
        <w:pStyle w:val="ListParagraph"/>
        <w:numPr>
          <w:ilvl w:val="0"/>
          <w:numId w:val="2"/>
        </w:numPr>
        <w:spacing w:after="80"/>
      </w:pPr>
      <w:r>
        <w:t xml:space="preserve">Guarantee / Warranty: The seller shall provide a comprehensive 36-month replacement warranty against manufacturing defects, material failure, or performance degradation under full rated load.</w:t>
      </w:r>
    </w:p>
    <w:p>
      <w:pPr>
        <w:pStyle w:val="ListParagraph"/>
        <w:numPr>
          <w:ilvl w:val="0"/>
          <w:numId w:val="2"/>
        </w:numPr>
        <w:spacing w:after="80"/>
      </w:pPr>
      <w:r>
        <w:t xml:space="preserve">Liquidated Damages (LD): If the seller fails to deliver tools or services within the specified schedule, LD at 0.5% per week up to a maximum of 10% of total contract value will be deducted.</w:t>
      </w:r>
    </w:p>
    <w:p>
      <w:pPr>
        <w:pStyle w:val="ListParagraph"/>
        <w:numPr>
          <w:ilvl w:val="0"/>
          <w:numId w:val="2"/>
        </w:numPr>
        <w:spacing w:after="80"/>
      </w:pPr>
      <w:r>
        <w:t xml:space="preserve">Safety &amp; Statutory Compliance: All field technicians deputed for turnaround services or plant shutdown work must possess valid Plant Safety Cards, PPE kits, and medical fitness certificates.</w:t>
      </w:r>
    </w:p>
    <w:p>
      <w:pPr>
        <w:pStyle w:val="ListParagraph"/>
        <w:numPr>
          <w:ilvl w:val="0"/>
          <w:numId w:val="2"/>
        </w:numPr>
        <w:spacing w:after="80"/>
      </w:pPr>
      <w:r>
        <w:t xml:space="preserve">Force Majeure: Standard GeM SLA terms regarding natural disasters, strikes, or government restrictions shall govern contract extensions.</w:t>
      </w:r>
    </w:p>
    <w:p>
      <w:pPr>
        <w:pStyle w:val="ListParagraph"/>
        <w:numPr>
          <w:ilvl w:val="0"/>
          <w:numId w:val="2"/>
        </w:numPr>
        <w:spacing w:after="80"/>
      </w:pPr>
      <w:r>
        <w:t xml:space="preserve">Payment Terms: 80% payment upon receipt and physical verification of tools at site; remaining 20% against submission of Performance Bank Guarantee (ePBG).</w:t>
      </w:r>
    </w:p>
    <w:p>
      <w:pPr>
        <w:pStyle w:val="Heading1"/>
        <w:spacing w:after="150" w:before="400"/>
      </w:pPr>
      <w:r>
        <w:t xml:space="preserve">Annexure I — Technical Compliance &amp; Self-Declaration Undertaking</w:t>
      </w:r>
    </w:p>
    <w:p>
      <w:pPr>
        <w:spacing w:after="140"/>
      </w:pPr>
      <w:r>
        <w:t xml:space="preserve">To,</w:t>
      </w:r>
    </w:p>
    <w:p>
      <w:pPr>
        <w:spacing w:after="140"/>
      </w:pPr>
      <w:r>
        <w:t xml:space="preserve">The Superintending Engineer (Procurement &amp; Contracts),</w:t>
      </w:r>
    </w:p>
    <w:p>
      <w:pPr>
        <w:spacing w:after="140"/>
      </w:pPr>
      <w:r>
        <w:t xml:space="preserve">Bharat Heavy Electricals Limited (BHEL),</w:t>
      </w:r>
    </w:p>
    <w:p>
      <w:pPr>
        <w:spacing w:after="140"/>
      </w:pPr>
      <w:r>
        <w:t xml:space="preserve">Heavy Electrical Equipment Plant, Haridwar</w:t>
      </w:r>
    </w:p>
    <w:p>
      <w:pPr>
        <w:spacing w:after="200" w:before="100"/>
      </w:pPr>
      <w:r>
        <w:rPr>
          <w:b/>
          <w:bCs/>
        </w:rPr>
        <w:t xml:space="preserve">Subject: </w:t>
      </w:r>
      <w:r>
        <w:t xml:space="preserve">Technical Compliance &amp; Undertaking for GeM Bid No. GEM/2026/B/9601142</w:t>
      </w:r>
    </w:p>
    <w:p>
      <w:pPr>
        <w:spacing w:after="140"/>
      </w:pPr>
      <w:r>
        <w:t xml:space="preserve">Dear Sir,</w:t>
      </w:r>
    </w:p>
    <w:p>
      <w:pPr>
        <w:spacing w:after="140"/>
      </w:pPr>
      <w:r>
        <w:t xml:space="preserve">We hereby declare that we have carefully read and understood all technical specifications, scope of work, and buyer terms contained in the GeM Bid document. We confirm full compliance without any commercial or technical deviations.</w:t>
      </w:r>
    </w:p>
    <w:p>
      <w:pPr>
        <w:spacing w:after="140"/>
      </w:pPr>
      <w:r>
        <w:t xml:space="preserve">We confirm that all equipment supplied (including hydraulic tools, tensioners, multipliers, and joint integrity testing units) will be 100% genuine, brand new, and supported by OEM test certificates.</w:t>
      </w:r>
    </w:p>
    <w:p>
      <w:pPr>
        <w:spacing w:after="140"/>
      </w:pPr>
      <w:r>
        <w:t xml:space="preserve">We further declare that our firm has not been blacklisted or debarred by any Central / State Government department or PSU as on the bid submission date.</w:t>
      </w:r>
    </w:p>
    <w:p>
      <w:pPr>
        <w:spacing w:after="140"/>
      </w:pPr>
      <w:r>
        <w:t xml:space="preserve">Thanking you,</w:t>
      </w:r>
    </w:p>
    <w:p>
      <w:pPr>
        <w:spacing w:after="140"/>
      </w:pPr>
      <w:r>
        <w:t xml:space="preserve">Yours faithfully,</w:t>
      </w:r>
    </w:p>
    <w:p>
      <w:pPr>
        <w:spacing w:after="200" w:before="300"/>
      </w:pPr>
    </w:p>
    <w:p>
      <w:pPr>
        <w:spacing w:after="140"/>
      </w:pPr>
      <w:r>
        <w:t xml:space="preserve">For &amp; On Behalf of: ______________________________</w:t>
      </w:r>
    </w:p>
    <w:p>
      <w:pPr>
        <w:spacing w:after="140"/>
      </w:pPr>
      <w:r>
        <w:t xml:space="preserve">Authorized Signatory: ______________________________</w:t>
      </w:r>
    </w:p>
    <w:p>
      <w:pPr>
        <w:spacing w:after="140"/>
      </w:pPr>
      <w:r>
        <w:t xml:space="preserve">Name &amp; Designation: ______________________________</w:t>
      </w:r>
    </w:p>
    <w:p>
      <w:pPr>
        <w:spacing w:after="140"/>
      </w:pPr>
      <w:r>
        <w:t xml:space="preserve">Company Seal &amp; Date: ______________________________</w:t>
      </w:r>
    </w:p>
    <w:p>
      <w:pPr>
        <w:pBdr>
          <w:bottom w:val="single" w:color="CCCCCC" w:sz="6" w:space="1"/>
        </w:pBdr>
        <w:spacing w:after="200"/>
      </w:pPr>
    </w:p>
    <w:p>
      <w:pPr>
        <w:jc w:val="center"/>
      </w:pPr>
      <w:r>
        <w:rPr>
          <w:i/>
          <w:iCs/>
          <w:color w:val="888888"/>
          <w:sz w:val="16"/>
          <w:szCs w:val="16"/>
        </w:rPr>
        <w:t xml:space="preserve">GeM Bid Reference: GEM/2026/B/9601142  |  Generated via GeM Portal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2026-07-31T06:51:23.655Z</dcterms:created>
  <dcterms:modified xsi:type="dcterms:W3CDTF">2026-07-31T06:51:23.655Z</dcterms:modified>
</cp:coreProperties>
</file>

<file path=docProps/custom.xml><?xml version="1.0" encoding="utf-8"?>
<Properties xmlns="http://schemas.openxmlformats.org/officeDocument/2006/custom-properties" xmlns:vt="http://schemas.openxmlformats.org/officeDocument/2006/docPropsVTypes"/>
</file>