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666666"/>
          <w:sz w:val="20"/>
          <w:szCs w:val="20"/>
        </w:rPr>
        <w:t xml:space="preserve">GeM | Government eMarketplace</w:t>
      </w:r>
    </w:p>
    <w:p>
      <w:pPr>
        <w:spacing w:after="300"/>
        <w:jc w:val="center"/>
      </w:pPr>
      <w:r>
        <w:rPr>
          <w:b/>
          <w:bCs/>
          <w:color w:val="1F4E5F"/>
          <w:sz w:val="40"/>
          <w:szCs w:val="40"/>
        </w:rPr>
        <w:t xml:space="preserve">Bid Document</w:t>
      </w:r>
    </w:p>
    <w:p>
      <w:pPr>
        <w:pStyle w:val="Heading1"/>
        <w:spacing w:after="150" w:before="300"/>
      </w:pPr>
      <w:r>
        <w:t xml:space="preserve">1. Bid Details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600"/>
        <w:gridCol w:w="6300"/>
      </w:tblGrid>
      <w:tr>
        <w:tc>
          <w:tcPr>
            <w:tcW w:type="dxa" w:w="3600"/>
            <w:shd w:fill="EAF1F3" w:val="clear"/>
            <w:tcMar>
              <w:top w:type="dxa" w:w="80"/>
              <w:left w:type="dxa" w:w="120"/>
              <w:bottom w:type="dxa" w:w="80"/>
              <w:right w:type="dxa" w:w="120"/>
            </w:tcMar>
            <w:vAlign w:val="center"/>
          </w:tcPr>
          <w:p>
            <w:r>
              <w:rPr>
                <w:b/>
                <w:bCs/>
                <w:sz w:val="20"/>
                <w:szCs w:val="20"/>
              </w:rPr>
              <w:t xml:space="preserve">Bid Number</w:t>
            </w:r>
          </w:p>
        </w:tc>
        <w:tc>
          <w:tcPr>
            <w:tcW w:type="dxa" w:w="6300"/>
            <w:tcMar>
              <w:top w:type="dxa" w:w="80"/>
              <w:left w:type="dxa" w:w="120"/>
              <w:bottom w:type="dxa" w:w="80"/>
              <w:right w:type="dxa" w:w="120"/>
            </w:tcMar>
            <w:vAlign w:val="center"/>
          </w:tcPr>
          <w:p>
            <w:r>
              <w:rPr>
                <w:sz w:val="20"/>
                <w:szCs w:val="20"/>
              </w:rPr>
              <w:t xml:space="preserve">GEM/2026/B/9852104</w:t>
            </w:r>
          </w:p>
        </w:tc>
      </w:tr>
      <w:tr>
        <w:tc>
          <w:tcPr>
            <w:tcW w:type="dxa" w:w="3600"/>
            <w:shd w:fill="EAF1F3" w:val="clear"/>
            <w:tcMar>
              <w:top w:type="dxa" w:w="80"/>
              <w:left w:type="dxa" w:w="120"/>
              <w:bottom w:type="dxa" w:w="80"/>
              <w:right w:type="dxa" w:w="120"/>
            </w:tcMar>
            <w:vAlign w:val="center"/>
          </w:tcPr>
          <w:p>
            <w:r>
              <w:rPr>
                <w:b/>
                <w:bCs/>
                <w:sz w:val="20"/>
                <w:szCs w:val="20"/>
              </w:rPr>
              <w:t xml:space="preserve">Bid End Date/Time</w:t>
            </w:r>
          </w:p>
        </w:tc>
        <w:tc>
          <w:tcPr>
            <w:tcW w:type="dxa" w:w="6300"/>
            <w:tcMar>
              <w:top w:type="dxa" w:w="80"/>
              <w:left w:type="dxa" w:w="120"/>
              <w:bottom w:type="dxa" w:w="80"/>
              <w:right w:type="dxa" w:w="120"/>
            </w:tcMar>
            <w:vAlign w:val="center"/>
          </w:tcPr>
          <w:p>
            <w:r>
              <w:rPr>
                <w:sz w:val="20"/>
                <w:szCs w:val="20"/>
              </w:rPr>
              <w:t xml:space="preserve">24-08-2026 15:00:00</w:t>
            </w:r>
          </w:p>
        </w:tc>
      </w:tr>
      <w:tr>
        <w:tc>
          <w:tcPr>
            <w:tcW w:type="dxa" w:w="3600"/>
            <w:shd w:fill="EAF1F3" w:val="clear"/>
            <w:tcMar>
              <w:top w:type="dxa" w:w="80"/>
              <w:left w:type="dxa" w:w="120"/>
              <w:bottom w:type="dxa" w:w="80"/>
              <w:right w:type="dxa" w:w="120"/>
            </w:tcMar>
            <w:vAlign w:val="center"/>
          </w:tcPr>
          <w:p>
            <w:r>
              <w:rPr>
                <w:b/>
                <w:bCs/>
                <w:sz w:val="20"/>
                <w:szCs w:val="20"/>
              </w:rPr>
              <w:t xml:space="preserve">Bid Opening Date/Time</w:t>
            </w:r>
          </w:p>
        </w:tc>
        <w:tc>
          <w:tcPr>
            <w:tcW w:type="dxa" w:w="6300"/>
            <w:tcMar>
              <w:top w:type="dxa" w:w="80"/>
              <w:left w:type="dxa" w:w="120"/>
              <w:bottom w:type="dxa" w:w="80"/>
              <w:right w:type="dxa" w:w="120"/>
            </w:tcMar>
            <w:vAlign w:val="center"/>
          </w:tcPr>
          <w:p>
            <w:r>
              <w:rPr>
                <w:sz w:val="20"/>
                <w:szCs w:val="20"/>
              </w:rPr>
              <w:t xml:space="preserve">24-08-2026 15:30:00</w:t>
            </w:r>
          </w:p>
        </w:tc>
      </w:tr>
      <w:tr>
        <w:tc>
          <w:tcPr>
            <w:tcW w:type="dxa" w:w="3600"/>
            <w:shd w:fill="EAF1F3" w:val="clear"/>
            <w:tcMar>
              <w:top w:type="dxa" w:w="80"/>
              <w:left w:type="dxa" w:w="120"/>
              <w:bottom w:type="dxa" w:w="80"/>
              <w:right w:type="dxa" w:w="120"/>
            </w:tcMar>
            <w:vAlign w:val="center"/>
          </w:tcPr>
          <w:p>
            <w:r>
              <w:rPr>
                <w:b/>
                <w:bCs/>
                <w:sz w:val="20"/>
                <w:szCs w:val="20"/>
              </w:rPr>
              <w:t xml:space="preserve">Bid Offer Validity</w:t>
            </w:r>
          </w:p>
        </w:tc>
        <w:tc>
          <w:tcPr>
            <w:tcW w:type="dxa" w:w="6300"/>
            <w:tcMar>
              <w:top w:type="dxa" w:w="80"/>
              <w:left w:type="dxa" w:w="120"/>
              <w:bottom w:type="dxa" w:w="80"/>
              <w:right w:type="dxa" w:w="120"/>
            </w:tcMar>
            <w:vAlign w:val="center"/>
          </w:tcPr>
          <w:p>
            <w:r>
              <w:rPr>
                <w:sz w:val="20"/>
                <w:szCs w:val="20"/>
              </w:rPr>
              <w:t xml:space="preserve">180 Days</w:t>
            </w:r>
          </w:p>
        </w:tc>
      </w:tr>
      <w:tr>
        <w:tc>
          <w:tcPr>
            <w:tcW w:type="dxa" w:w="3600"/>
            <w:shd w:fill="EAF1F3" w:val="clear"/>
            <w:tcMar>
              <w:top w:type="dxa" w:w="80"/>
              <w:left w:type="dxa" w:w="120"/>
              <w:bottom w:type="dxa" w:w="80"/>
              <w:right w:type="dxa" w:w="120"/>
            </w:tcMar>
            <w:vAlign w:val="center"/>
          </w:tcPr>
          <w:p>
            <w:r>
              <w:rPr>
                <w:b/>
                <w:bCs/>
                <w:sz w:val="20"/>
                <w:szCs w:val="20"/>
              </w:rPr>
              <w:t xml:space="preserve">Ministry/State Name</w:t>
            </w:r>
          </w:p>
        </w:tc>
        <w:tc>
          <w:tcPr>
            <w:tcW w:type="dxa" w:w="6300"/>
            <w:tcMar>
              <w:top w:type="dxa" w:w="80"/>
              <w:left w:type="dxa" w:w="120"/>
              <w:bottom w:type="dxa" w:w="80"/>
              <w:right w:type="dxa" w:w="120"/>
            </w:tcMar>
            <w:vAlign w:val="center"/>
          </w:tcPr>
          <w:p>
            <w:r>
              <w:rPr>
                <w:sz w:val="20"/>
                <w:szCs w:val="20"/>
              </w:rPr>
              <w:t xml:space="preserve">Ministry of Petroleum and Natural Gas</w:t>
            </w:r>
          </w:p>
        </w:tc>
      </w:tr>
      <w:tr>
        <w:tc>
          <w:tcPr>
            <w:tcW w:type="dxa" w:w="3600"/>
            <w:shd w:fill="EAF1F3" w:val="clear"/>
            <w:tcMar>
              <w:top w:type="dxa" w:w="80"/>
              <w:left w:type="dxa" w:w="120"/>
              <w:bottom w:type="dxa" w:w="80"/>
              <w:right w:type="dxa" w:w="120"/>
            </w:tcMar>
            <w:vAlign w:val="center"/>
          </w:tcPr>
          <w:p>
            <w:r>
              <w:rPr>
                <w:b/>
                <w:bCs/>
                <w:sz w:val="20"/>
                <w:szCs w:val="20"/>
              </w:rPr>
              <w:t xml:space="preserve">Department Name</w:t>
            </w:r>
          </w:p>
        </w:tc>
        <w:tc>
          <w:tcPr>
            <w:tcW w:type="dxa" w:w="6300"/>
            <w:tcMar>
              <w:top w:type="dxa" w:w="80"/>
              <w:left w:type="dxa" w:w="120"/>
              <w:bottom w:type="dxa" w:w="80"/>
              <w:right w:type="dxa" w:w="120"/>
            </w:tcMar>
            <w:vAlign w:val="center"/>
          </w:tcPr>
          <w:p>
            <w:r>
              <w:rPr>
                <w:sz w:val="20"/>
                <w:szCs w:val="20"/>
              </w:rPr>
              <w:t xml:space="preserve">Refineries &amp; Petrochemicals Division</w:t>
            </w:r>
          </w:p>
        </w:tc>
      </w:tr>
      <w:tr>
        <w:tc>
          <w:tcPr>
            <w:tcW w:type="dxa" w:w="3600"/>
            <w:shd w:fill="EAF1F3" w:val="clear"/>
            <w:tcMar>
              <w:top w:type="dxa" w:w="80"/>
              <w:left w:type="dxa" w:w="120"/>
              <w:bottom w:type="dxa" w:w="80"/>
              <w:right w:type="dxa" w:w="120"/>
            </w:tcMar>
            <w:vAlign w:val="center"/>
          </w:tcPr>
          <w:p>
            <w:r>
              <w:rPr>
                <w:b/>
                <w:bCs/>
                <w:sz w:val="20"/>
                <w:szCs w:val="20"/>
              </w:rPr>
              <w:t xml:space="preserve">Organisation Name</w:t>
            </w:r>
          </w:p>
        </w:tc>
        <w:tc>
          <w:tcPr>
            <w:tcW w:type="dxa" w:w="6300"/>
            <w:tcMar>
              <w:top w:type="dxa" w:w="80"/>
              <w:left w:type="dxa" w:w="120"/>
              <w:bottom w:type="dxa" w:w="80"/>
              <w:right w:type="dxa" w:w="120"/>
            </w:tcMar>
            <w:vAlign w:val="center"/>
          </w:tcPr>
          <w:p>
            <w:r>
              <w:rPr>
                <w:sz w:val="20"/>
                <w:szCs w:val="20"/>
              </w:rPr>
              <w:t xml:space="preserve">Indian Oil Corporation Limited (IOCL)</w:t>
            </w:r>
          </w:p>
        </w:tc>
      </w:tr>
      <w:tr>
        <w:tc>
          <w:tcPr>
            <w:tcW w:type="dxa" w:w="3600"/>
            <w:shd w:fill="EAF1F3" w:val="clear"/>
            <w:tcMar>
              <w:top w:type="dxa" w:w="80"/>
              <w:left w:type="dxa" w:w="120"/>
              <w:bottom w:type="dxa" w:w="80"/>
              <w:right w:type="dxa" w:w="120"/>
            </w:tcMar>
            <w:vAlign w:val="center"/>
          </w:tcPr>
          <w:p>
            <w:r>
              <w:rPr>
                <w:b/>
                <w:bCs/>
                <w:sz w:val="20"/>
                <w:szCs w:val="20"/>
              </w:rPr>
              <w:t xml:space="preserve">Office Name</w:t>
            </w:r>
          </w:p>
        </w:tc>
        <w:tc>
          <w:tcPr>
            <w:tcW w:type="dxa" w:w="6300"/>
            <w:tcMar>
              <w:top w:type="dxa" w:w="80"/>
              <w:left w:type="dxa" w:w="120"/>
              <w:bottom w:type="dxa" w:w="80"/>
              <w:right w:type="dxa" w:w="120"/>
            </w:tcMar>
            <w:vAlign w:val="center"/>
          </w:tcPr>
          <w:p>
            <w:r>
              <w:rPr>
                <w:sz w:val="20"/>
                <w:szCs w:val="20"/>
              </w:rPr>
              <w:t xml:space="preserve">Gujarat Refinery, Vadodara</w:t>
            </w:r>
          </w:p>
        </w:tc>
      </w:tr>
      <w:tr>
        <w:tc>
          <w:tcPr>
            <w:tcW w:type="dxa" w:w="3600"/>
            <w:shd w:fill="EAF1F3" w:val="clear"/>
            <w:tcMar>
              <w:top w:type="dxa" w:w="80"/>
              <w:left w:type="dxa" w:w="120"/>
              <w:bottom w:type="dxa" w:w="80"/>
              <w:right w:type="dxa" w:w="120"/>
            </w:tcMar>
            <w:vAlign w:val="center"/>
          </w:tcPr>
          <w:p>
            <w:r>
              <w:rPr>
                <w:b/>
                <w:bCs/>
                <w:sz w:val="20"/>
                <w:szCs w:val="20"/>
              </w:rPr>
              <w:t xml:space="preserve">Item Category</w:t>
            </w:r>
          </w:p>
        </w:tc>
        <w:tc>
          <w:tcPr>
            <w:tcW w:type="dxa" w:w="6300"/>
            <w:tcMar>
              <w:top w:type="dxa" w:w="80"/>
              <w:left w:type="dxa" w:w="120"/>
              <w:bottom w:type="dxa" w:w="80"/>
              <w:right w:type="dxa" w:w="120"/>
            </w:tcMar>
            <w:vAlign w:val="center"/>
          </w:tcPr>
          <w:p>
            <w:r>
              <w:rPr>
                <w:sz w:val="20"/>
                <w:szCs w:val="20"/>
              </w:rPr>
              <w:t xml:space="preserve">Controlled Bolting Equipment &amp; Turnaround Services</w:t>
            </w:r>
          </w:p>
        </w:tc>
      </w:tr>
      <w:tr>
        <w:tc>
          <w:tcPr>
            <w:tcW w:type="dxa" w:w="3600"/>
            <w:shd w:fill="EAF1F3" w:val="clear"/>
            <w:tcMar>
              <w:top w:type="dxa" w:w="80"/>
              <w:left w:type="dxa" w:w="120"/>
              <w:bottom w:type="dxa" w:w="80"/>
              <w:right w:type="dxa" w:w="120"/>
            </w:tcMar>
            <w:vAlign w:val="center"/>
          </w:tcPr>
          <w:p>
            <w:r>
              <w:rPr>
                <w:b/>
                <w:bCs/>
                <w:sz w:val="20"/>
                <w:szCs w:val="20"/>
              </w:rPr>
              <w:t xml:space="preserve">Total Quantity</w:t>
            </w:r>
          </w:p>
        </w:tc>
        <w:tc>
          <w:tcPr>
            <w:tcW w:type="dxa" w:w="6300"/>
            <w:tcMar>
              <w:top w:type="dxa" w:w="80"/>
              <w:left w:type="dxa" w:w="120"/>
              <w:bottom w:type="dxa" w:w="80"/>
              <w:right w:type="dxa" w:w="120"/>
            </w:tcMar>
            <w:vAlign w:val="center"/>
          </w:tcPr>
          <w:p>
            <w:r>
              <w:rPr>
                <w:sz w:val="20"/>
                <w:szCs w:val="20"/>
              </w:rPr>
              <w:t xml:space="preserve">1 Package (Comprehensive Service &amp; Supply)</w:t>
            </w:r>
          </w:p>
        </w:tc>
      </w:tr>
      <w:tr>
        <w:tc>
          <w:tcPr>
            <w:tcW w:type="dxa" w:w="3600"/>
            <w:shd w:fill="EAF1F3" w:val="clear"/>
            <w:tcMar>
              <w:top w:type="dxa" w:w="80"/>
              <w:left w:type="dxa" w:w="120"/>
              <w:bottom w:type="dxa" w:w="80"/>
              <w:right w:type="dxa" w:w="120"/>
            </w:tcMar>
            <w:vAlign w:val="center"/>
          </w:tcPr>
          <w:p>
            <w:r>
              <w:rPr>
                <w:b/>
                <w:bCs/>
                <w:sz w:val="20"/>
                <w:szCs w:val="20"/>
              </w:rPr>
              <w:t xml:space="preserve">Contract Period</w:t>
            </w:r>
          </w:p>
        </w:tc>
        <w:tc>
          <w:tcPr>
            <w:tcW w:type="dxa" w:w="6300"/>
            <w:tcMar>
              <w:top w:type="dxa" w:w="80"/>
              <w:left w:type="dxa" w:w="120"/>
              <w:bottom w:type="dxa" w:w="80"/>
              <w:right w:type="dxa" w:w="120"/>
            </w:tcMar>
            <w:vAlign w:val="center"/>
          </w:tcPr>
          <w:p>
            <w:r>
              <w:rPr>
                <w:sz w:val="20"/>
                <w:szCs w:val="20"/>
              </w:rPr>
              <w:t xml:space="preserve">3 Year(s)</w:t>
            </w:r>
          </w:p>
        </w:tc>
      </w:tr>
      <w:tr>
        <w:tc>
          <w:tcPr>
            <w:tcW w:type="dxa" w:w="3600"/>
            <w:shd w:fill="EAF1F3" w:val="clear"/>
            <w:tcMar>
              <w:top w:type="dxa" w:w="80"/>
              <w:left w:type="dxa" w:w="120"/>
              <w:bottom w:type="dxa" w:w="80"/>
              <w:right w:type="dxa" w:w="120"/>
            </w:tcMar>
            <w:vAlign w:val="center"/>
          </w:tcPr>
          <w:p>
            <w:r>
              <w:rPr>
                <w:b/>
                <w:bCs/>
                <w:sz w:val="20"/>
                <w:szCs w:val="20"/>
              </w:rPr>
              <w:t xml:space="preserve">MSE Exemption for Years of Experience</w:t>
            </w:r>
          </w:p>
        </w:tc>
        <w:tc>
          <w:tcPr>
            <w:tcW w:type="dxa" w:w="6300"/>
            <w:tcMar>
              <w:top w:type="dxa" w:w="80"/>
              <w:left w:type="dxa" w:w="120"/>
              <w:bottom w:type="dxa" w:w="80"/>
              <w:right w:type="dxa" w:w="120"/>
            </w:tcMar>
            <w:vAlign w:val="center"/>
          </w:tcPr>
          <w:p>
            <w:r>
              <w:rPr>
                <w:sz w:val="20"/>
                <w:szCs w:val="20"/>
              </w:rPr>
              <w:t xml:space="preserve">Yes</w:t>
            </w:r>
          </w:p>
        </w:tc>
      </w:tr>
      <w:tr>
        <w:tc>
          <w:tcPr>
            <w:tcW w:type="dxa" w:w="3600"/>
            <w:shd w:fill="EAF1F3" w:val="clear"/>
            <w:tcMar>
              <w:top w:type="dxa" w:w="80"/>
              <w:left w:type="dxa" w:w="120"/>
              <w:bottom w:type="dxa" w:w="80"/>
              <w:right w:type="dxa" w:w="120"/>
            </w:tcMar>
            <w:vAlign w:val="center"/>
          </w:tcPr>
          <w:p>
            <w:r>
              <w:rPr>
                <w:b/>
                <w:bCs/>
                <w:sz w:val="20"/>
                <w:szCs w:val="20"/>
              </w:rPr>
              <w:t xml:space="preserve">Startup Exemption for Years of Experience</w:t>
            </w:r>
          </w:p>
        </w:tc>
        <w:tc>
          <w:tcPr>
            <w:tcW w:type="dxa" w:w="6300"/>
            <w:tcMar>
              <w:top w:type="dxa" w:w="80"/>
              <w:left w:type="dxa" w:w="120"/>
              <w:bottom w:type="dxa" w:w="80"/>
              <w:right w:type="dxa" w:w="120"/>
            </w:tcMar>
            <w:vAlign w:val="center"/>
          </w:tcPr>
          <w:p>
            <w:r>
              <w:rPr>
                <w:sz w:val="20"/>
                <w:szCs w:val="20"/>
              </w:rPr>
              <w:t xml:space="preserve">Yes</w:t>
            </w:r>
          </w:p>
        </w:tc>
      </w:tr>
      <w:tr>
        <w:tc>
          <w:tcPr>
            <w:tcW w:type="dxa" w:w="3600"/>
            <w:shd w:fill="EAF1F3" w:val="clear"/>
            <w:tcMar>
              <w:top w:type="dxa" w:w="80"/>
              <w:left w:type="dxa" w:w="120"/>
              <w:bottom w:type="dxa" w:w="80"/>
              <w:right w:type="dxa" w:w="120"/>
            </w:tcMar>
            <w:vAlign w:val="center"/>
          </w:tcPr>
          <w:p>
            <w:r>
              <w:rPr>
                <w:b/>
                <w:bCs/>
                <w:sz w:val="20"/>
                <w:szCs w:val="20"/>
              </w:rPr>
              <w:t xml:space="preserve">Document Required from Seller</w:t>
            </w:r>
          </w:p>
        </w:tc>
        <w:tc>
          <w:tcPr>
            <w:tcW w:type="dxa" w:w="6300"/>
            <w:tcMar>
              <w:top w:type="dxa" w:w="80"/>
              <w:left w:type="dxa" w:w="120"/>
              <w:bottom w:type="dxa" w:w="80"/>
              <w:right w:type="dxa" w:w="120"/>
            </w:tcMar>
            <w:vAlign w:val="center"/>
          </w:tcPr>
          <w:p>
            <w:r>
              <w:rPr>
                <w:sz w:val="20"/>
                <w:szCs w:val="20"/>
              </w:rPr>
              <w:t xml:space="preserve">Experience Criteria, Past Performance, OEM Authorization, Compliance Certificate</w:t>
            </w:r>
          </w:p>
        </w:tc>
      </w:tr>
      <w:tr>
        <w:tc>
          <w:tcPr>
            <w:tcW w:type="dxa" w:w="3600"/>
            <w:shd w:fill="EAF1F3" w:val="clear"/>
            <w:tcMar>
              <w:top w:type="dxa" w:w="80"/>
              <w:left w:type="dxa" w:w="120"/>
              <w:bottom w:type="dxa" w:w="80"/>
              <w:right w:type="dxa" w:w="120"/>
            </w:tcMar>
            <w:vAlign w:val="center"/>
          </w:tcPr>
          <w:p>
            <w:r>
              <w:rPr>
                <w:b/>
                <w:bCs/>
                <w:sz w:val="20"/>
                <w:szCs w:val="20"/>
              </w:rPr>
              <w:t xml:space="preserve">Bid to RA Enabled</w:t>
            </w:r>
          </w:p>
        </w:tc>
        <w:tc>
          <w:tcPr>
            <w:tcW w:type="dxa" w:w="6300"/>
            <w:tcMar>
              <w:top w:type="dxa" w:w="80"/>
              <w:left w:type="dxa" w:w="120"/>
              <w:bottom w:type="dxa" w:w="80"/>
              <w:right w:type="dxa" w:w="120"/>
            </w:tcMar>
            <w:vAlign w:val="center"/>
          </w:tcPr>
          <w:p>
            <w:r>
              <w:rPr>
                <w:sz w:val="20"/>
                <w:szCs w:val="20"/>
              </w:rPr>
              <w:t xml:space="preserve">Yes</w:t>
            </w:r>
          </w:p>
        </w:tc>
      </w:tr>
      <w:tr>
        <w:tc>
          <w:tcPr>
            <w:tcW w:type="dxa" w:w="3600"/>
            <w:shd w:fill="EAF1F3" w:val="clear"/>
            <w:tcMar>
              <w:top w:type="dxa" w:w="80"/>
              <w:left w:type="dxa" w:w="120"/>
              <w:bottom w:type="dxa" w:w="80"/>
              <w:right w:type="dxa" w:w="120"/>
            </w:tcMar>
            <w:vAlign w:val="center"/>
          </w:tcPr>
          <w:p>
            <w:r>
              <w:rPr>
                <w:b/>
                <w:bCs/>
                <w:sz w:val="20"/>
                <w:szCs w:val="20"/>
              </w:rPr>
              <w:t xml:space="preserve">RCM Applicable</w:t>
            </w:r>
          </w:p>
        </w:tc>
        <w:tc>
          <w:tcPr>
            <w:tcW w:type="dxa" w:w="6300"/>
            <w:tcMar>
              <w:top w:type="dxa" w:w="80"/>
              <w:left w:type="dxa" w:w="120"/>
              <w:bottom w:type="dxa" w:w="80"/>
              <w:right w:type="dxa" w:w="120"/>
            </w:tcMar>
            <w:vAlign w:val="center"/>
          </w:tcPr>
          <w:p>
            <w:r>
              <w:rPr>
                <w:sz w:val="20"/>
                <w:szCs w:val="20"/>
              </w:rPr>
              <w:t xml:space="preserve">No</w:t>
            </w:r>
          </w:p>
        </w:tc>
      </w:tr>
      <w:tr>
        <w:tc>
          <w:tcPr>
            <w:tcW w:type="dxa" w:w="3600"/>
            <w:shd w:fill="EAF1F3" w:val="clear"/>
            <w:tcMar>
              <w:top w:type="dxa" w:w="80"/>
              <w:left w:type="dxa" w:w="120"/>
              <w:bottom w:type="dxa" w:w="80"/>
              <w:right w:type="dxa" w:w="120"/>
            </w:tcMar>
            <w:vAlign w:val="center"/>
          </w:tcPr>
          <w:p>
            <w:r>
              <w:rPr>
                <w:b/>
                <w:bCs/>
                <w:sz w:val="20"/>
                <w:szCs w:val="20"/>
              </w:rPr>
              <w:t xml:space="preserve">EMD Detail</w:t>
            </w:r>
          </w:p>
        </w:tc>
        <w:tc>
          <w:tcPr>
            <w:tcW w:type="dxa" w:w="6300"/>
            <w:tcMar>
              <w:top w:type="dxa" w:w="80"/>
              <w:left w:type="dxa" w:w="120"/>
              <w:bottom w:type="dxa" w:w="80"/>
              <w:right w:type="dxa" w:w="120"/>
            </w:tcMar>
            <w:vAlign w:val="center"/>
          </w:tcPr>
          <w:p>
            <w:r>
              <w:rPr>
                <w:sz w:val="20"/>
                <w:szCs w:val="20"/>
              </w:rPr>
              <w:t xml:space="preserve">Applicable (2% of estimated value)</w:t>
            </w:r>
          </w:p>
        </w:tc>
      </w:tr>
      <w:tr>
        <w:tc>
          <w:tcPr>
            <w:tcW w:type="dxa" w:w="3600"/>
            <w:shd w:fill="EAF1F3" w:val="clear"/>
            <w:tcMar>
              <w:top w:type="dxa" w:w="80"/>
              <w:left w:type="dxa" w:w="120"/>
              <w:bottom w:type="dxa" w:w="80"/>
              <w:right w:type="dxa" w:w="120"/>
            </w:tcMar>
            <w:vAlign w:val="center"/>
          </w:tcPr>
          <w:p>
            <w:r>
              <w:rPr>
                <w:b/>
                <w:bCs/>
                <w:sz w:val="20"/>
                <w:szCs w:val="20"/>
              </w:rPr>
              <w:t xml:space="preserve">ePBG Detail</w:t>
            </w:r>
          </w:p>
        </w:tc>
        <w:tc>
          <w:tcPr>
            <w:tcW w:type="dxa" w:w="6300"/>
            <w:tcMar>
              <w:top w:type="dxa" w:w="80"/>
              <w:left w:type="dxa" w:w="120"/>
              <w:bottom w:type="dxa" w:w="80"/>
              <w:right w:type="dxa" w:w="120"/>
            </w:tcMar>
            <w:vAlign w:val="center"/>
          </w:tcPr>
          <w:p>
            <w:r>
              <w:rPr>
                <w:sz w:val="20"/>
                <w:szCs w:val="20"/>
              </w:rPr>
              <w:t xml:space="preserve">Applicable (5% of contract value)</w:t>
            </w:r>
          </w:p>
        </w:tc>
      </w:tr>
    </w:tbl>
    <w:p>
      <w:pPr>
        <w:pStyle w:val="Heading1"/>
        <w:spacing w:after="150" w:before="300"/>
      </w:pPr>
      <w:r>
        <w:t xml:space="preserve">2. EMD &amp; ePBG Details</w:t>
      </w:r>
    </w:p>
    <w:p>
      <w:pPr>
        <w:spacing w:after="140"/>
      </w:pPr>
      <w:r>
        <w:t xml:space="preserve">Earnest Money Deposit (EMD) of 2% of the total estimated contract value must be submitted in the form of Bank Guarantee / Demand Draft favoring the Accounts Officer, OPGC Banharpali. Bidders seeking exemption under MSE / Startup categories must upload valid Registration Certificates issued by NSIC / UDYAM / DPIIT.</w:t>
      </w:r>
    </w:p>
    <w:p>
      <w:pPr>
        <w:pStyle w:val="Heading1"/>
        <w:spacing w:after="150" w:before="300"/>
      </w:pPr>
      <w:r>
        <w:t xml:space="preserve">3. Splitting &amp; Purchase Preference</w:t>
      </w:r>
    </w:p>
    <w:p>
      <w:pPr>
        <w:pStyle w:val="ListParagraph"/>
        <w:numPr>
          <w:ilvl w:val="0"/>
          <w:numId w:val="2"/>
        </w:numPr>
        <w:spacing w:after="80"/>
      </w:pPr>
      <w:r>
        <w:t xml:space="preserve">Splitting of Order: The Buyer reserves the right to split the order among multiple qualified L1, L2 sellers in the ratio of 60:40, subject to L2 matching L1 prices.</w:t>
      </w:r>
    </w:p>
    <w:p>
      <w:pPr>
        <w:pStyle w:val="ListParagraph"/>
        <w:numPr>
          <w:ilvl w:val="0"/>
          <w:numId w:val="2"/>
        </w:numPr>
        <w:spacing w:after="80"/>
      </w:pPr>
      <w:r>
        <w:t xml:space="preserve">MII Purchase Preference: Preference will be given to Class 1 Local Suppliers as defined under the Make in India policy. Local content minimum requirement is 50%.</w:t>
      </w:r>
    </w:p>
    <w:p>
      <w:pPr>
        <w:pStyle w:val="ListParagraph"/>
        <w:numPr>
          <w:ilvl w:val="0"/>
          <w:numId w:val="2"/>
        </w:numPr>
        <w:spacing w:after="80"/>
      </w:pPr>
      <w:r>
        <w:t xml:space="preserve">MSE Purchase Preference: 25% of total procurement quantity is reserved for Micro and Small Enterprises.</w:t>
      </w:r>
    </w:p>
    <w:p>
      <w:pPr>
        <w:pStyle w:val="Heading1"/>
        <w:spacing w:after="150" w:before="300"/>
      </w:pPr>
      <w:r>
        <w:t xml:space="preserve">4. Vendor Eligibility &amp; Qualification Criteria</w:t>
      </w:r>
    </w:p>
    <w:p>
      <w:pPr>
        <w:spacing w:after="140"/>
      </w:pPr>
      <w:r>
        <w:t xml:space="preserve">The bidder or its OEM must have executed at least 3 similar contracts in major public sector undertakings (PSUs), refineries, power plants, or fertilizer complexes during the last 5 financial years. Minimum annual financial turnover during the last 3 financial years must not be less than INR 2.5 Crores. ISO 9001, ISO 14001, and ISO 45001 certifications are mandatory.</w:t>
      </w:r>
    </w:p>
    <w:p>
      <w:pPr>
        <w:pStyle w:val="Heading1"/>
        <w:spacing w:after="150" w:before="300"/>
      </w:pPr>
      <w:r>
        <w:t xml:space="preserve">5. Comprehensive Scope of Work (SOW)</w:t>
      </w:r>
    </w:p>
    <w:p>
      <w:pPr>
        <w:pStyle w:val="Heading2"/>
        <w:spacing w:after="120" w:before="240"/>
      </w:pPr>
      <w:r>
        <w:t xml:space="preserve">5.1 Plant Shutdown &amp; Turnaround Maintenance Bolting Services</w:t>
      </w:r>
    </w:p>
    <w:p>
      <w:pPr>
        <w:spacing w:after="140"/>
      </w:pPr>
      <w:r>
        <w:t xml:space="preserve">The contractor shall mobilize certified personnel and high-capacity equipment for annual plant shutdown maintenance across Hydrocracker and Crude Distillation Units. Services demand 24/7 technical execution for controlled bolting on high-pressure reactor vessel heads, heat exchanger end covers, and steam reformer piping.</w:t>
      </w:r>
    </w:p>
    <w:p>
      <w:pPr>
        <w:pStyle w:val="Heading2"/>
        <w:spacing w:after="120" w:before="240"/>
      </w:pPr>
      <w:r>
        <w:t xml:space="preserve">5.2 Supply &amp; Operation of Hydraulic Torque Wrench Systems</w:t>
      </w:r>
    </w:p>
    <w:p>
      <w:pPr>
        <w:spacing w:after="140"/>
      </w:pPr>
      <w:r>
        <w:t xml:space="preserve">Contractor must deploy low-profile and square-drive hydraulic torque wrench tools capable of working up to 35,000 Nm torque output. All hydraulic torque wrenches must feature multi-axis swivel couplings, anti-reverse ratchets, and digital electric power packs to ensure exact torque application during flange joint tightening.</w:t>
      </w:r>
    </w:p>
    <w:p>
      <w:pPr>
        <w:pStyle w:val="Heading2"/>
        <w:spacing w:after="120" w:before="240"/>
      </w:pPr>
      <w:r>
        <w:t xml:space="preserve">5.3 Hydraulic Bolt Tensioning &amp; Pre-tensioning Protocol</w:t>
      </w:r>
    </w:p>
    <w:p>
      <w:pPr>
        <w:spacing w:after="140"/>
      </w:pPr>
      <w:r>
        <w:t xml:space="preserve">For critical high-temperature flanges, the vendor must supply multi-stage hydraulic bolt tensioning equipment and specialized bolt tensioner units. Execution of stud bolt tensioning must adhere strictly to ASME PCC-1 Guidelines for Bolted Flange Joint Assembly to achieve uniform pre-tensioning and prevent joint leakage.</w:t>
      </w:r>
    </w:p>
    <w:p>
      <w:pPr>
        <w:pStyle w:val="Heading2"/>
        <w:spacing w:after="120" w:before="240"/>
      </w:pPr>
      <w:r>
        <w:t xml:space="preserve">5.4 Flange Joint Integrity &amp; Flange Management Program</w:t>
      </w:r>
    </w:p>
    <w:p>
      <w:pPr>
        <w:spacing w:after="140"/>
      </w:pPr>
      <w:r>
        <w:t xml:space="preserve">The scope encompasses a total flange management service including joint tagging, ultrasonic bolt elongation measurement, flange face inspection, gasket replacement, nut splitter deployment for corroded fasteners, and final flange joint integrity testing prior to plant pressurization.</w:t>
      </w:r>
    </w:p>
    <w:p>
      <w:pPr>
        <w:pStyle w:val="Heading1"/>
        <w:spacing w:after="150" w:before="300"/>
      </w:pPr>
      <w:r>
        <w:t xml:space="preserve">6. Technical Specifications &amp; BOQ</w:t>
      </w:r>
    </w:p>
    <w:p>
      <w:pPr>
        <w:spacing w:after="140"/>
      </w:pPr>
      <w:r>
        <w:t xml:space="preserve">The equipment and tools supplied under this contract must conform strictly to the technical parameters specified below. Any deviation will result in immediate rejection during pre-dispatch inspection.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4700"/>
        <w:gridCol w:w="900"/>
      </w:tblGrid>
      <w:tr>
        <w:tc>
          <w:tcPr>
            <w:shd w:fill="1F4E5F" w:val="clear"/>
            <w:tcMar>
              <w:top w:type="dxa" w:w="100"/>
              <w:left w:type="dxa" w:w="120"/>
              <w:bottom w:type="dxa" w:w="100"/>
              <w:right w:type="dxa" w:w="120"/>
            </w:tcMar>
            <w:vAlign w:val="center"/>
          </w:tcPr>
          <w:p>
            <w:r>
              <w:rPr>
                <w:b/>
                <w:bCs/>
                <w:color w:val="FFFFFF"/>
                <w:sz w:val="20"/>
                <w:szCs w:val="20"/>
              </w:rPr>
              <w:t xml:space="preserve">Item #</w:t>
            </w:r>
          </w:p>
        </w:tc>
        <w:tc>
          <w:tcPr>
            <w:shd w:fill="1F4E5F" w:val="clear"/>
            <w:tcMar>
              <w:top w:type="dxa" w:w="100"/>
              <w:left w:type="dxa" w:w="120"/>
              <w:bottom w:type="dxa" w:w="100"/>
              <w:right w:type="dxa" w:w="120"/>
            </w:tcMar>
            <w:vAlign w:val="center"/>
          </w:tcPr>
          <w:p>
            <w:r>
              <w:rPr>
                <w:b/>
                <w:bCs/>
                <w:color w:val="FFFFFF"/>
                <w:sz w:val="20"/>
                <w:szCs w:val="20"/>
              </w:rPr>
              <w:t xml:space="preserve">Description of Tool / Service</w:t>
            </w:r>
          </w:p>
        </w:tc>
        <w:tc>
          <w:tcPr>
            <w:shd w:fill="1F4E5F" w:val="clear"/>
            <w:tcMar>
              <w:top w:type="dxa" w:w="100"/>
              <w:left w:type="dxa" w:w="120"/>
              <w:bottom w:type="dxa" w:w="100"/>
              <w:right w:type="dxa" w:w="120"/>
            </w:tcMar>
            <w:vAlign w:val="center"/>
          </w:tcPr>
          <w:p>
            <w:r>
              <w:rPr>
                <w:b/>
                <w:bCs/>
                <w:color w:val="FFFFFF"/>
                <w:sz w:val="20"/>
                <w:szCs w:val="20"/>
              </w:rPr>
              <w:t xml:space="preserve">Technical Standard / Parameter</w:t>
            </w:r>
          </w:p>
        </w:tc>
        <w:tc>
          <w:tcPr>
            <w:shd w:fill="1F4E5F" w:val="clear"/>
            <w:tcMar>
              <w:top w:type="dxa" w:w="100"/>
              <w:left w:type="dxa" w:w="120"/>
              <w:bottom w:type="dxa" w:w="100"/>
              <w:right w:type="dxa" w:w="120"/>
            </w:tcMar>
            <w:vAlign w:val="center"/>
          </w:tcPr>
          <w:p>
            <w:r>
              <w:rPr>
                <w:b/>
                <w:bCs/>
                <w:color w:val="FFFFFF"/>
                <w:sz w:val="20"/>
                <w:szCs w:val="20"/>
              </w:rPr>
              <w:t xml:space="preserve">Qty</w:t>
            </w:r>
          </w:p>
        </w:tc>
      </w:tr>
      <w:tr>
        <w:tc>
          <w:tcPr>
            <w:tcW w:type="dxa" w:w="700"/>
            <w:tcMar>
              <w:top w:type="dxa" w:w="90"/>
              <w:left w:type="dxa" w:w="120"/>
              <w:bottom w:type="dxa" w:w="90"/>
              <w:right w:type="dxa" w:w="120"/>
            </w:tcMar>
            <w:vAlign w:val="center"/>
          </w:tcPr>
          <w:p>
            <w:r>
              <w:rPr>
                <w:sz w:val="20"/>
                <w:szCs w:val="20"/>
              </w:rPr>
              <w:t xml:space="preserve">1</w:t>
            </w:r>
          </w:p>
        </w:tc>
        <w:tc>
          <w:tcPr>
            <w:tcW w:type="dxa" w:w="3200"/>
            <w:tcMar>
              <w:top w:type="dxa" w:w="90"/>
              <w:left w:type="dxa" w:w="120"/>
              <w:bottom w:type="dxa" w:w="90"/>
              <w:right w:type="dxa" w:w="120"/>
            </w:tcMar>
            <w:vAlign w:val="center"/>
          </w:tcPr>
          <w:p>
            <w:r>
              <w:rPr>
                <w:sz w:val="20"/>
                <w:szCs w:val="20"/>
              </w:rPr>
              <w:t xml:space="preserve">Hydraulic Torque Wrench (Square Drive)</w:t>
            </w:r>
          </w:p>
        </w:tc>
        <w:tc>
          <w:tcPr>
            <w:tcW w:type="dxa" w:w="4700"/>
            <w:tcMar>
              <w:top w:type="dxa" w:w="90"/>
              <w:left w:type="dxa" w:w="120"/>
              <w:bottom w:type="dxa" w:w="90"/>
              <w:right w:type="dxa" w:w="120"/>
            </w:tcMar>
            <w:vAlign w:val="center"/>
          </w:tcPr>
          <w:p>
            <w:r>
              <w:rPr>
                <w:sz w:val="20"/>
                <w:szCs w:val="20"/>
              </w:rPr>
              <w:t xml:space="preserve">Max Torque 15,000 Nm, 1.5 inch drive</w:t>
            </w:r>
          </w:p>
        </w:tc>
        <w:tc>
          <w:tcPr>
            <w:tcW w:type="dxa" w:w="900"/>
            <w:tcMar>
              <w:top w:type="dxa" w:w="90"/>
              <w:left w:type="dxa" w:w="120"/>
              <w:bottom w:type="dxa" w:w="90"/>
              <w:right w:type="dxa" w:w="120"/>
            </w:tcMar>
            <w:vAlign w:val="center"/>
          </w:tcPr>
          <w:p>
            <w:r>
              <w:rPr>
                <w:sz w:val="20"/>
                <w:szCs w:val="20"/>
              </w:rPr>
              <w:t xml:space="preserve">4</w:t>
            </w:r>
          </w:p>
        </w:tc>
      </w:tr>
      <w:tr>
        <w:tc>
          <w:tcPr>
            <w:tcW w:type="dxa" w:w="700"/>
            <w:tcMar>
              <w:top w:type="dxa" w:w="90"/>
              <w:left w:type="dxa" w:w="120"/>
              <w:bottom w:type="dxa" w:w="90"/>
              <w:right w:type="dxa" w:w="120"/>
            </w:tcMar>
            <w:vAlign w:val="center"/>
          </w:tcPr>
          <w:p>
            <w:r>
              <w:rPr>
                <w:sz w:val="20"/>
                <w:szCs w:val="20"/>
              </w:rPr>
              <w:t xml:space="preserve">2</w:t>
            </w:r>
          </w:p>
        </w:tc>
        <w:tc>
          <w:tcPr>
            <w:tcW w:type="dxa" w:w="3200"/>
            <w:tcMar>
              <w:top w:type="dxa" w:w="90"/>
              <w:left w:type="dxa" w:w="120"/>
              <w:bottom w:type="dxa" w:w="90"/>
              <w:right w:type="dxa" w:w="120"/>
            </w:tcMar>
            <w:vAlign w:val="center"/>
          </w:tcPr>
          <w:p>
            <w:r>
              <w:rPr>
                <w:sz w:val="20"/>
                <w:szCs w:val="20"/>
              </w:rPr>
              <w:t xml:space="preserve">Low Profile Hydraulic Torque Wrench</w:t>
            </w:r>
          </w:p>
        </w:tc>
        <w:tc>
          <w:tcPr>
            <w:tcW w:type="dxa" w:w="4700"/>
            <w:tcMar>
              <w:top w:type="dxa" w:w="90"/>
              <w:left w:type="dxa" w:w="120"/>
              <w:bottom w:type="dxa" w:w="90"/>
              <w:right w:type="dxa" w:w="120"/>
            </w:tcMar>
            <w:vAlign w:val="center"/>
          </w:tcPr>
          <w:p>
            <w:r>
              <w:rPr>
                <w:sz w:val="20"/>
                <w:szCs w:val="20"/>
              </w:rPr>
              <w:t xml:space="preserve">Hex sizes 50mm to 110mm</w:t>
            </w:r>
          </w:p>
        </w:tc>
        <w:tc>
          <w:tcPr>
            <w:tcW w:type="dxa" w:w="900"/>
            <w:tcMar>
              <w:top w:type="dxa" w:w="90"/>
              <w:left w:type="dxa" w:w="120"/>
              <w:bottom w:type="dxa" w:w="90"/>
              <w:right w:type="dxa" w:w="120"/>
            </w:tcMar>
            <w:vAlign w:val="center"/>
          </w:tcPr>
          <w:p>
            <w:r>
              <w:rPr>
                <w:sz w:val="20"/>
                <w:szCs w:val="20"/>
              </w:rPr>
              <w:t xml:space="preserve">6</w:t>
            </w:r>
          </w:p>
        </w:tc>
      </w:tr>
      <w:tr>
        <w:tc>
          <w:tcPr>
            <w:tcW w:type="dxa" w:w="700"/>
            <w:tcMar>
              <w:top w:type="dxa" w:w="90"/>
              <w:left w:type="dxa" w:w="120"/>
              <w:bottom w:type="dxa" w:w="90"/>
              <w:right w:type="dxa" w:w="120"/>
            </w:tcMar>
            <w:vAlign w:val="center"/>
          </w:tcPr>
          <w:p>
            <w:r>
              <w:rPr>
                <w:sz w:val="20"/>
                <w:szCs w:val="20"/>
              </w:rPr>
              <w:t xml:space="preserve">3</w:t>
            </w:r>
          </w:p>
        </w:tc>
        <w:tc>
          <w:tcPr>
            <w:tcW w:type="dxa" w:w="3200"/>
            <w:tcMar>
              <w:top w:type="dxa" w:w="90"/>
              <w:left w:type="dxa" w:w="120"/>
              <w:bottom w:type="dxa" w:w="90"/>
              <w:right w:type="dxa" w:w="120"/>
            </w:tcMar>
            <w:vAlign w:val="center"/>
          </w:tcPr>
          <w:p>
            <w:r>
              <w:rPr>
                <w:sz w:val="20"/>
                <w:szCs w:val="20"/>
              </w:rPr>
              <w:t xml:space="preserve">Top-Side Hydraulic Bolt Tensioner</w:t>
            </w:r>
          </w:p>
        </w:tc>
        <w:tc>
          <w:tcPr>
            <w:tcW w:type="dxa" w:w="4700"/>
            <w:tcMar>
              <w:top w:type="dxa" w:w="90"/>
              <w:left w:type="dxa" w:w="120"/>
              <w:bottom w:type="dxa" w:w="90"/>
              <w:right w:type="dxa" w:w="120"/>
            </w:tcMar>
            <w:vAlign w:val="center"/>
          </w:tcPr>
          <w:p>
            <w:r>
              <w:rPr>
                <w:sz w:val="20"/>
                <w:szCs w:val="20"/>
              </w:rPr>
              <w:t xml:space="preserve">Max Working Pressure 1500 Bar</w:t>
            </w:r>
          </w:p>
        </w:tc>
        <w:tc>
          <w:tcPr>
            <w:tcW w:type="dxa" w:w="900"/>
            <w:tcMar>
              <w:top w:type="dxa" w:w="90"/>
              <w:left w:type="dxa" w:w="120"/>
              <w:bottom w:type="dxa" w:w="90"/>
              <w:right w:type="dxa" w:w="120"/>
            </w:tcMar>
            <w:vAlign w:val="center"/>
          </w:tcPr>
          <w:p>
            <w:r>
              <w:rPr>
                <w:sz w:val="20"/>
                <w:szCs w:val="20"/>
              </w:rPr>
              <w:t xml:space="preserve">8</w:t>
            </w:r>
          </w:p>
        </w:tc>
      </w:tr>
      <w:tr>
        <w:tc>
          <w:tcPr>
            <w:tcW w:type="dxa" w:w="700"/>
            <w:tcMar>
              <w:top w:type="dxa" w:w="90"/>
              <w:left w:type="dxa" w:w="120"/>
              <w:bottom w:type="dxa" w:w="90"/>
              <w:right w:type="dxa" w:w="120"/>
            </w:tcMar>
            <w:vAlign w:val="center"/>
          </w:tcPr>
          <w:p>
            <w:r>
              <w:rPr>
                <w:sz w:val="20"/>
                <w:szCs w:val="20"/>
              </w:rPr>
              <w:t xml:space="preserve">4</w:t>
            </w:r>
          </w:p>
        </w:tc>
        <w:tc>
          <w:tcPr>
            <w:tcW w:type="dxa" w:w="3200"/>
            <w:tcMar>
              <w:top w:type="dxa" w:w="90"/>
              <w:left w:type="dxa" w:w="120"/>
              <w:bottom w:type="dxa" w:w="90"/>
              <w:right w:type="dxa" w:w="120"/>
            </w:tcMar>
            <w:vAlign w:val="center"/>
          </w:tcPr>
          <w:p>
            <w:r>
              <w:rPr>
                <w:sz w:val="20"/>
                <w:szCs w:val="20"/>
              </w:rPr>
              <w:t xml:space="preserve">Hydraulic Nut Splitter Unit</w:t>
            </w:r>
          </w:p>
        </w:tc>
        <w:tc>
          <w:tcPr>
            <w:tcW w:type="dxa" w:w="4700"/>
            <w:tcMar>
              <w:top w:type="dxa" w:w="90"/>
              <w:left w:type="dxa" w:w="120"/>
              <w:bottom w:type="dxa" w:w="90"/>
              <w:right w:type="dxa" w:w="120"/>
            </w:tcMar>
            <w:vAlign w:val="center"/>
          </w:tcPr>
          <w:p>
            <w:r>
              <w:rPr>
                <w:sz w:val="20"/>
                <w:szCs w:val="20"/>
              </w:rPr>
              <w:t xml:space="preserve">Cuts M24 to M64 heavy hex nuts</w:t>
            </w:r>
          </w:p>
        </w:tc>
        <w:tc>
          <w:tcPr>
            <w:tcW w:type="dxa" w:w="900"/>
            <w:tcMar>
              <w:top w:type="dxa" w:w="90"/>
              <w:left w:type="dxa" w:w="120"/>
              <w:bottom w:type="dxa" w:w="90"/>
              <w:right w:type="dxa" w:w="120"/>
            </w:tcMar>
            <w:vAlign w:val="center"/>
          </w:tcPr>
          <w:p>
            <w:r>
              <w:rPr>
                <w:sz w:val="20"/>
                <w:szCs w:val="20"/>
              </w:rPr>
              <w:t xml:space="preserve">2</w:t>
            </w:r>
          </w:p>
        </w:tc>
      </w:tr>
      <w:tr>
        <w:tc>
          <w:tcPr>
            <w:tcW w:type="dxa" w:w="700"/>
            <w:tcMar>
              <w:top w:type="dxa" w:w="90"/>
              <w:left w:type="dxa" w:w="120"/>
              <w:bottom w:type="dxa" w:w="90"/>
              <w:right w:type="dxa" w:w="120"/>
            </w:tcMar>
            <w:vAlign w:val="center"/>
          </w:tcPr>
          <w:p>
            <w:r>
              <w:rPr>
                <w:sz w:val="20"/>
                <w:szCs w:val="20"/>
              </w:rPr>
              <w:t xml:space="preserve">5</w:t>
            </w:r>
          </w:p>
        </w:tc>
        <w:tc>
          <w:tcPr>
            <w:tcW w:type="dxa" w:w="3200"/>
            <w:tcMar>
              <w:top w:type="dxa" w:w="90"/>
              <w:left w:type="dxa" w:w="120"/>
              <w:bottom w:type="dxa" w:w="90"/>
              <w:right w:type="dxa" w:w="120"/>
            </w:tcMar>
            <w:vAlign w:val="center"/>
          </w:tcPr>
          <w:p>
            <w:r>
              <w:rPr>
                <w:sz w:val="20"/>
                <w:szCs w:val="20"/>
              </w:rPr>
              <w:t xml:space="preserve">High-Pressure Electric Torque Pump</w:t>
            </w:r>
          </w:p>
        </w:tc>
        <w:tc>
          <w:tcPr>
            <w:tcW w:type="dxa" w:w="4700"/>
            <w:tcMar>
              <w:top w:type="dxa" w:w="90"/>
              <w:left w:type="dxa" w:w="120"/>
              <w:bottom w:type="dxa" w:w="90"/>
              <w:right w:type="dxa" w:w="120"/>
            </w:tcMar>
            <w:vAlign w:val="center"/>
          </w:tcPr>
          <w:p>
            <w:r>
              <w:rPr>
                <w:sz w:val="20"/>
                <w:szCs w:val="20"/>
              </w:rPr>
              <w:t xml:space="preserve">700 Bar output, 230V, quad port</w:t>
            </w:r>
          </w:p>
        </w:tc>
        <w:tc>
          <w:tcPr>
            <w:tcW w:type="dxa" w:w="900"/>
            <w:tcMar>
              <w:top w:type="dxa" w:w="90"/>
              <w:left w:type="dxa" w:w="120"/>
              <w:bottom w:type="dxa" w:w="90"/>
              <w:right w:type="dxa" w:w="120"/>
            </w:tcMar>
            <w:vAlign w:val="center"/>
          </w:tcPr>
          <w:p>
            <w:r>
              <w:rPr>
                <w:sz w:val="20"/>
                <w:szCs w:val="20"/>
              </w:rPr>
              <w:t xml:space="preserve">3</w:t>
            </w:r>
          </w:p>
        </w:tc>
      </w:tr>
      <w:tr>
        <w:tc>
          <w:tcPr>
            <w:tcW w:type="dxa" w:w="700"/>
            <w:tcMar>
              <w:top w:type="dxa" w:w="90"/>
              <w:left w:type="dxa" w:w="120"/>
              <w:bottom w:type="dxa" w:w="90"/>
              <w:right w:type="dxa" w:w="120"/>
            </w:tcMar>
            <w:vAlign w:val="center"/>
          </w:tcPr>
          <w:p>
            <w:r>
              <w:rPr>
                <w:sz w:val="20"/>
                <w:szCs w:val="20"/>
              </w:rPr>
              <w:t xml:space="preserve">6</w:t>
            </w:r>
          </w:p>
        </w:tc>
        <w:tc>
          <w:tcPr>
            <w:tcW w:type="dxa" w:w="3200"/>
            <w:tcMar>
              <w:top w:type="dxa" w:w="90"/>
              <w:left w:type="dxa" w:w="120"/>
              <w:bottom w:type="dxa" w:w="90"/>
              <w:right w:type="dxa" w:w="120"/>
            </w:tcMar>
            <w:vAlign w:val="center"/>
          </w:tcPr>
          <w:p>
            <w:r>
              <w:rPr>
                <w:sz w:val="20"/>
                <w:szCs w:val="20"/>
              </w:rPr>
              <w:t xml:space="preserve">Flange Joint Integrity Test Kit</w:t>
            </w:r>
          </w:p>
        </w:tc>
        <w:tc>
          <w:tcPr>
            <w:tcW w:type="dxa" w:w="4700"/>
            <w:tcMar>
              <w:top w:type="dxa" w:w="90"/>
              <w:left w:type="dxa" w:w="120"/>
              <w:bottom w:type="dxa" w:w="90"/>
              <w:right w:type="dxa" w:w="120"/>
            </w:tcMar>
            <w:vAlign w:val="center"/>
          </w:tcPr>
          <w:p>
            <w:r>
              <w:rPr>
                <w:sz w:val="20"/>
                <w:szCs w:val="20"/>
              </w:rPr>
              <w:t xml:space="preserve">Nitrogen/Helium leak testing skid</w:t>
            </w:r>
          </w:p>
        </w:tc>
        <w:tc>
          <w:tcPr>
            <w:tcW w:type="dxa" w:w="900"/>
            <w:tcMar>
              <w:top w:type="dxa" w:w="90"/>
              <w:left w:type="dxa" w:w="120"/>
              <w:bottom w:type="dxa" w:w="90"/>
              <w:right w:type="dxa" w:w="120"/>
            </w:tcMar>
            <w:vAlign w:val="center"/>
          </w:tcPr>
          <w:p>
            <w:r>
              <w:rPr>
                <w:sz w:val="20"/>
                <w:szCs w:val="20"/>
              </w:rPr>
              <w:t xml:space="preserve">1</w:t>
            </w:r>
          </w:p>
        </w:tc>
      </w:tr>
    </w:tbl>
    <w:p>
      <w:pPr>
        <w:spacing w:before="200"/>
      </w:pPr>
      <w:r>
        <w:t xml:space="preserve"/>
      </w:r>
    </w:p>
    <w:p>
      <w:pPr>
        <w:pStyle w:val="Heading1"/>
        <w:spacing w:after="150" w:before="300"/>
      </w:pPr>
      <w:r>
        <w:t xml:space="preserve">7. Buyer Added Bid Specific Terms &amp; Conditions</w:t>
      </w:r>
    </w:p>
    <w:p>
      <w:pPr>
        <w:pStyle w:val="ListParagraph"/>
        <w:numPr>
          <w:ilvl w:val="0"/>
          <w:numId w:val="2"/>
        </w:numPr>
        <w:spacing w:after="80"/>
      </w:pPr>
      <w:r>
        <w:t xml:space="preserve">Inspection &amp; Testing: Pre-dispatch inspection (PDI) shall be conducted by the Buyer's authorized third-party inspection agency (TUV / DNV / Lloyd's Register) at OEM works.</w:t>
      </w:r>
    </w:p>
    <w:p>
      <w:pPr>
        <w:pStyle w:val="ListParagraph"/>
        <w:numPr>
          <w:ilvl w:val="0"/>
          <w:numId w:val="2"/>
        </w:numPr>
        <w:spacing w:after="80"/>
      </w:pPr>
      <w:r>
        <w:t xml:space="preserve">Calibration Certificates: All calibration must be conducted using NABL accredited master instruments with valid calibration certificates valid for 12 months from the delivery date.</w:t>
      </w:r>
    </w:p>
    <w:p>
      <w:pPr>
        <w:pStyle w:val="ListParagraph"/>
        <w:numPr>
          <w:ilvl w:val="0"/>
          <w:numId w:val="2"/>
        </w:numPr>
        <w:spacing w:after="80"/>
      </w:pPr>
      <w:r>
        <w:t xml:space="preserve">On-Site Support &amp; Training: Successful bidder must depute qualified service engineers for on-site commissioning, tool operation training, and maintenance demonstration for a minimum of 5 working days.</w:t>
      </w:r>
    </w:p>
    <w:p>
      <w:pPr>
        <w:pStyle w:val="ListParagraph"/>
        <w:numPr>
          <w:ilvl w:val="0"/>
          <w:numId w:val="2"/>
        </w:numPr>
        <w:spacing w:after="80"/>
      </w:pPr>
      <w:r>
        <w:t xml:space="preserve">Guarantee / Warranty: The seller shall provide a comprehensive 36-month replacement warranty against manufacturing defects, material failure, or performance degradation under full rated load.</w:t>
      </w:r>
    </w:p>
    <w:p>
      <w:pPr>
        <w:pStyle w:val="ListParagraph"/>
        <w:numPr>
          <w:ilvl w:val="0"/>
          <w:numId w:val="2"/>
        </w:numPr>
        <w:spacing w:after="80"/>
      </w:pPr>
      <w:r>
        <w:t xml:space="preserve">Liquidated Damages (LD): If the seller fails to deliver tools or services within the specified schedule, LD at 0.5% per week up to a maximum of 10% of total contract value will be deducted.</w:t>
      </w:r>
    </w:p>
    <w:p>
      <w:pPr>
        <w:pStyle w:val="ListParagraph"/>
        <w:numPr>
          <w:ilvl w:val="0"/>
          <w:numId w:val="2"/>
        </w:numPr>
        <w:spacing w:after="80"/>
      </w:pPr>
      <w:r>
        <w:t xml:space="preserve">Safety &amp; Statutory Compliance: All field technicians deputed for turnaround services or plant shutdown work must possess valid Plant Safety Cards, PPE kits, and medical fitness certificates.</w:t>
      </w:r>
    </w:p>
    <w:p>
      <w:pPr>
        <w:pStyle w:val="ListParagraph"/>
        <w:numPr>
          <w:ilvl w:val="0"/>
          <w:numId w:val="2"/>
        </w:numPr>
        <w:spacing w:after="80"/>
      </w:pPr>
      <w:r>
        <w:t xml:space="preserve">Force Majeure: Standard GeM SLA terms regarding natural disasters, strikes, or government restrictions shall govern contract extensions.</w:t>
      </w:r>
    </w:p>
    <w:p>
      <w:pPr>
        <w:pStyle w:val="ListParagraph"/>
        <w:numPr>
          <w:ilvl w:val="0"/>
          <w:numId w:val="2"/>
        </w:numPr>
        <w:spacing w:after="80"/>
      </w:pPr>
      <w:r>
        <w:t xml:space="preserve">Payment Terms: 80% payment upon receipt and physical verification of tools at site; remaining 20% against submission of Performance Bank Guarantee (ePBG).</w:t>
      </w:r>
    </w:p>
    <w:p>
      <w:pPr>
        <w:pStyle w:val="Heading1"/>
        <w:spacing w:after="150" w:before="400"/>
      </w:pPr>
      <w:r>
        <w:t xml:space="preserve">Annexure I — Technical Compliance &amp; Self-Declaration Undertaking</w:t>
      </w:r>
    </w:p>
    <w:p>
      <w:pPr>
        <w:spacing w:after="140"/>
      </w:pPr>
      <w:r>
        <w:t xml:space="preserve">To,</w:t>
      </w:r>
    </w:p>
    <w:p>
      <w:pPr>
        <w:spacing w:after="140"/>
      </w:pPr>
      <w:r>
        <w:t xml:space="preserve">The Superintending Engineer (Procurement &amp; Contracts),</w:t>
      </w:r>
    </w:p>
    <w:p>
      <w:pPr>
        <w:spacing w:after="140"/>
      </w:pPr>
      <w:r>
        <w:t xml:space="preserve">Indian Oil Corporation Limited (IOCL),</w:t>
      </w:r>
    </w:p>
    <w:p>
      <w:pPr>
        <w:spacing w:after="140"/>
      </w:pPr>
      <w:r>
        <w:t xml:space="preserve">Gujarat Refinery, Vadodara</w:t>
      </w:r>
    </w:p>
    <w:p>
      <w:pPr>
        <w:spacing w:after="200" w:before="100"/>
      </w:pPr>
      <w:r>
        <w:rPr>
          <w:b/>
          <w:bCs/>
        </w:rPr>
        <w:t xml:space="preserve">Subject: </w:t>
      </w:r>
      <w:r>
        <w:t xml:space="preserve">Technical Compliance &amp; Undertaking for GeM Bid No. GEM/2026/B/9852104</w:t>
      </w:r>
    </w:p>
    <w:p>
      <w:pPr>
        <w:spacing w:after="140"/>
      </w:pPr>
      <w:r>
        <w:t xml:space="preserve">Dear Sir,</w:t>
      </w:r>
    </w:p>
    <w:p>
      <w:pPr>
        <w:spacing w:after="140"/>
      </w:pPr>
      <w:r>
        <w:t xml:space="preserve">We hereby declare that we have carefully read and understood all technical specifications, scope of work, and buyer terms contained in the GeM Bid document. We confirm full compliance without any commercial or technical deviations.</w:t>
      </w:r>
    </w:p>
    <w:p>
      <w:pPr>
        <w:spacing w:after="140"/>
      </w:pPr>
      <w:r>
        <w:t xml:space="preserve">We confirm that all equipment supplied (including hydraulic tools, tensioners, multipliers, and joint integrity testing units) will be 100% genuine, brand new, and supported by OEM test certificates.</w:t>
      </w:r>
    </w:p>
    <w:p>
      <w:pPr>
        <w:spacing w:after="140"/>
      </w:pPr>
      <w:r>
        <w:t xml:space="preserve">We further declare that our firm has not been blacklisted or debarred by any Central / State Government department or PSU as on the bid submission date.</w:t>
      </w:r>
    </w:p>
    <w:p>
      <w:pPr>
        <w:spacing w:after="140"/>
      </w:pPr>
      <w:r>
        <w:t xml:space="preserve">Thanking you,</w:t>
      </w:r>
    </w:p>
    <w:p>
      <w:pPr>
        <w:spacing w:after="140"/>
      </w:pPr>
      <w:r>
        <w:t xml:space="preserve">Yours faithfully,</w:t>
      </w:r>
    </w:p>
    <w:p>
      <w:pPr>
        <w:spacing w:after="200" w:before="300"/>
      </w:pPr>
    </w:p>
    <w:p>
      <w:pPr>
        <w:spacing w:after="140"/>
      </w:pPr>
      <w:r>
        <w:t xml:space="preserve">For &amp; On Behalf of: ______________________________</w:t>
      </w:r>
    </w:p>
    <w:p>
      <w:pPr>
        <w:spacing w:after="140"/>
      </w:pPr>
      <w:r>
        <w:t xml:space="preserve">Authorized Signatory: ______________________________</w:t>
      </w:r>
    </w:p>
    <w:p>
      <w:pPr>
        <w:spacing w:after="140"/>
      </w:pPr>
      <w:r>
        <w:t xml:space="preserve">Name &amp; Designation: ______________________________</w:t>
      </w:r>
    </w:p>
    <w:p>
      <w:pPr>
        <w:spacing w:after="140"/>
      </w:pPr>
      <w:r>
        <w:t xml:space="preserve">Company Seal &amp; Date: ______________________________</w:t>
      </w:r>
    </w:p>
    <w:p>
      <w:pPr>
        <w:pBdr>
          <w:bottom w:val="single" w:color="CCCCCC" w:sz="6" w:space="1"/>
        </w:pBdr>
        <w:spacing w:after="200"/>
      </w:pPr>
    </w:p>
    <w:p>
      <w:pPr>
        <w:jc w:val="center"/>
      </w:pPr>
      <w:r>
        <w:rPr>
          <w:i/>
          <w:iCs/>
          <w:color w:val="888888"/>
          <w:sz w:val="16"/>
          <w:szCs w:val="16"/>
        </w:rPr>
        <w:t xml:space="preserve">GeM Bid Reference: GEM/2026/B/9852104  |  Generated via GeM Portal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2026-07-31T06:48:27.757Z</dcterms:created>
  <dcterms:modified xsi:type="dcterms:W3CDTF">2026-07-31T06:48:27.772Z</dcterms:modified>
</cp:coreProperties>
</file>

<file path=docProps/custom.xml><?xml version="1.0" encoding="utf-8"?>
<Properties xmlns="http://schemas.openxmlformats.org/officeDocument/2006/custom-properties" xmlns:vt="http://schemas.openxmlformats.org/officeDocument/2006/docPropsVTypes"/>
</file>