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tb9jj9k6kbh1" w:id="0"/>
      <w:bookmarkEnd w:id="0"/>
      <w:r w:rsidDel="00000000" w:rsidR="00000000" w:rsidRPr="00000000">
        <w:rPr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940425" cy="2623185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локализации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метод тестирования, который проверяет точность и пригодность настраиваемого содержимого для целевого языка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или региона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функциональность и удобство использования приложения.</w:t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тестировании локализации мы проверяем продукт для того, чтобы убедиться, что формат соответствует визуальным, социальным, культурным   и логистическим потребностям клиента.</w:t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Тестировать локализацию мобильного приложения (далее – МП) мы можем      с помощью системных настроек телефона (язык, время, дата, регион)                 и локальных настроек в МП (если они есть).</w:t>
      </w:r>
    </w:p>
    <w:p w:rsidR="00000000" w:rsidDel="00000000" w:rsidP="00000000" w:rsidRDefault="00000000" w:rsidRPr="00000000" w14:paraId="00000006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58256" cy="2691566"/>
            <wp:effectExtent b="0" l="0" r="0" t="0"/>
            <wp:docPr id="1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256" cy="269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85915" cy="2642434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5915" cy="2642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85"/>
        <w:gridCol w:w="4245"/>
        <w:tblGridChange w:id="0">
          <w:tblGrid>
            <w:gridCol w:w="5085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Системные Настройки телефона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Локальные настройки МП -Тинькофф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Первый шаг в тестировании локализации – это определение, что именно планируется локализовать.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омпания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может решить локализовать дату            и время, индексы и телефоны, но не язык. Или, к примеру, мобильное приложение будет использовать только языки, установленные в устройстве               – текст приложения будет на определенном едином языке, а кнопки – на системном. В разных МП язык может автоматически устанавлива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ся в зависимости от разных условий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установленный системный язык;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установленный регион;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основании выставленного языка в маркете (AppStore, PlayMarket);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основании геопозиции пользователя.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стоит обратить внимание, что есть возможность того, что приложение не собираются локализов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ать и планируют выпуст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ть только для русск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оязычных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пользователей. Изменение языка в таком случае не предусмотрено, поэтому важно проверить, что при попытке смены языка в системе устройства все алерты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уведомления, всплывающие окна и т.п., в приложении будут отображаться корректно, а именно на языке, поддерживаемом в МП. </w:t>
      </w:r>
    </w:p>
    <w:p w:rsidR="00000000" w:rsidDel="00000000" w:rsidP="00000000" w:rsidRDefault="00000000" w:rsidRPr="00000000" w14:paraId="00000013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Полезный совет для тестировщиков - держать хотя бы один гаджет для тестирования, в системных настройках которого такие условия как язык           и регион будут отличаться от языка в МП. 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 настройках телефона стоит английский, приложение адаптируется только по Русскому языку, но при этом месяца стали переводиться на английский в соответствии с настройками самого гаджета.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063441" cy="341874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441" cy="341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системный язык не соответствует локальному в МП, приложение может предупреждать нас об этом с помощью алертов или модальных окон и т.д.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Пример: приложение Тинькофф. Системный язык Английский, приложение на Русском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  <w:drawing>
          <wp:inline distB="0" distT="0" distL="0" distR="0">
            <wp:extent cx="1717737" cy="3720443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737" cy="3720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Важно отметить, что локализация - это не просто перевод на несколько языков, а локализационное и лингвистическое тестирование. Лингвистическое тестирование в основном состоит из проверки орфографических, грамматических и стилистических ошибок. Так что же нужно тестировать в локализации?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Главная задача тестирования заключается в том, чтобы продукт выглядел так, как будто изначально был создан на языке целевой аудитории и полностью соответствовал культурным и региональным особенностям.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Давайте представим такую ситуацию: вы создали приложение и планируете выпустить его английскую, русскую и немецкую версии. Вы наняли лучших переводчиков, поэтому на 100% уверены в правильности орфографии               и грамматики. Но внезапно вы обнаружили, что длина немецких строк превышает лимит символов для некоторых кнопок в приложении или форматы времени и даты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МП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соответствуют региону. Тестирование локализации как раз и существует для того, чтобы не допустить подобные ситуации, ведь с переводным контентом проблемы могут возникнуть даже        в случае, когда тексты грамматически правильные.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both"/>
        <w:rPr/>
      </w:pPr>
      <w:bookmarkStart w:colFirst="0" w:colLast="0" w:name="_heading=h.xke0palwoux1" w:id="1"/>
      <w:bookmarkEnd w:id="1"/>
      <w:r w:rsidDel="00000000" w:rsidR="00000000" w:rsidRPr="00000000">
        <w:rPr>
          <w:rtl w:val="0"/>
        </w:rPr>
        <w:t xml:space="preserve">Что нужно тестировать?</w:t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heading=h.m8f52ampkdh4" w:id="2"/>
      <w:bookmarkEnd w:id="2"/>
      <w:r w:rsidDel="00000000" w:rsidR="00000000" w:rsidRPr="00000000">
        <w:rPr>
          <w:rtl w:val="0"/>
        </w:rPr>
        <w:t xml:space="preserve">1. Пользовательский интерфейс или внешний вид:</w:t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предназначен для того, чтобы программный продукт смотрелся безукоризненно на любом языке. Обязательно удостоверьтесь в следующем:</w:t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10"/>
        </w:numPr>
        <w:ind w:left="357"/>
        <w:jc w:val="both"/>
        <w:rPr/>
      </w:pPr>
      <w:bookmarkStart w:colFirst="0" w:colLast="0" w:name="_heading=h.e35j05qq4s6o" w:id="3"/>
      <w:bookmarkEnd w:id="3"/>
      <w:r w:rsidDel="00000000" w:rsidR="00000000" w:rsidRPr="00000000">
        <w:rPr>
          <w:vertAlign w:val="baseline"/>
          <w:rtl w:val="0"/>
        </w:rPr>
        <w:t xml:space="preserve">Все текстовые надписи на картинках локализованы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Пример бага: Переключили язык на Английский, но забыли про картинку          на главной странице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все кнопки, названия блюд, ресторанов переведены;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а вот огромная картинка «лучшие предложения ресторанов!» гордо висит на Русском, с английской кнопкой.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aaff"/>
        </w:rPr>
        <w:drawing>
          <wp:inline distB="0" distT="0" distL="0" distR="0">
            <wp:extent cx="3048000" cy="1447800"/>
            <wp:effectExtent b="0" l="0" r="0" t="0"/>
            <wp:docPr descr="https://blogger.googleusercontent.com/img/a/AVvXsEjMz0HHJ8O3XyKRVHams9QDP07vU6aceHIOLPgIRdIIomwQcTTX6PtKJoKnuLPxUlAGVIDF1SGo6aV4SCK1E6CWx2BUJmpaB1RY2Iytue9t30bvBZ3ACtpI1oE_-5tNcxj0qWukqyE3-omFil-WlE6FcdzvY8qZnr0CQAnrVzgGIKDqEZ5vAhL8cebB=s320" id="22" name="image7.jpg"/>
            <a:graphic>
              <a:graphicData uri="http://schemas.openxmlformats.org/drawingml/2006/picture">
                <pic:pic>
                  <pic:nvPicPr>
                    <pic:cNvPr descr="https://blogger.googleusercontent.com/img/a/AVvXsEjMz0HHJ8O3XyKRVHams9QDP07vU6aceHIOLPgIRdIIomwQcTTX6PtKJoKnuLPxUlAGVIDF1SGo6aV4SCK1E6CWx2BUJmpaB1RY2Iytue9t30bvBZ3ACtpI1oE_-5tNcxj0qWukqyE3-omFil-WlE6FcdzvY8qZnr0CQAnrVzgGIKDqEZ5vAhL8cebB=s320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10"/>
        </w:numPr>
        <w:spacing w:after="0" w:lineRule="auto"/>
        <w:ind w:left="357"/>
        <w:jc w:val="both"/>
        <w:rPr/>
      </w:pPr>
      <w:bookmarkStart w:colFirst="0" w:colLast="0" w:name="_heading=h.v5k2g9rgwh4z" w:id="4"/>
      <w:bookmarkEnd w:id="4"/>
      <w:r w:rsidDel="00000000" w:rsidR="00000000" w:rsidRPr="00000000">
        <w:rPr>
          <w:vertAlign w:val="baseline"/>
          <w:rtl w:val="0"/>
        </w:rPr>
        <w:t xml:space="preserve">Переносы и разрывы строк на страницах/экранах размещены правильно</w:t>
      </w:r>
    </w:p>
    <w:p w:rsidR="00000000" w:rsidDel="00000000" w:rsidP="00000000" w:rsidRDefault="00000000" w:rsidRPr="00000000" w14:paraId="00000027">
      <w:pPr>
        <w:pStyle w:val="Heading4"/>
        <w:numPr>
          <w:ilvl w:val="0"/>
          <w:numId w:val="10"/>
        </w:numPr>
        <w:ind w:left="357"/>
        <w:jc w:val="both"/>
        <w:rPr/>
      </w:pPr>
      <w:bookmarkStart w:colFirst="0" w:colLast="0" w:name="_heading=h.4nph63hq48kv" w:id="5"/>
      <w:bookmarkEnd w:id="5"/>
      <w:r w:rsidDel="00000000" w:rsidR="00000000" w:rsidRPr="00000000">
        <w:rPr>
          <w:vertAlign w:val="baseline"/>
          <w:rtl w:val="0"/>
        </w:rPr>
        <w:t xml:space="preserve">Длина строк не превышает существующие ограничения и текст отображается корректно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(иногда текст перевода длиннее оригинала и не помещается на кнопках)  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26310" cy="2866958"/>
            <wp:effectExtent b="0" l="0" r="0" t="0"/>
            <wp:docPr id="2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310" cy="2866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0"/>
          <w:numId w:val="10"/>
        </w:numPr>
        <w:spacing w:after="200" w:lineRule="auto"/>
        <w:ind w:left="357"/>
        <w:jc w:val="both"/>
        <w:rPr/>
      </w:pPr>
      <w:bookmarkStart w:colFirst="0" w:colLast="0" w:name="_heading=h.npr3tqr5qt1" w:id="6"/>
      <w:bookmarkEnd w:id="6"/>
      <w:r w:rsidDel="00000000" w:rsidR="00000000" w:rsidRPr="00000000">
        <w:rPr>
          <w:vertAlign w:val="baseline"/>
          <w:rtl w:val="0"/>
        </w:rPr>
        <w:t xml:space="preserve">Корректное отображение диалогов, всплывающих окон                             и уведомлений</w:t>
      </w:r>
    </w:p>
    <w:p w:rsidR="00000000" w:rsidDel="00000000" w:rsidP="00000000" w:rsidRDefault="00000000" w:rsidRPr="00000000" w14:paraId="0000002C">
      <w:pPr>
        <w:pStyle w:val="Heading4"/>
        <w:numPr>
          <w:ilvl w:val="0"/>
          <w:numId w:val="10"/>
        </w:numPr>
        <w:ind w:left="357"/>
        <w:jc w:val="both"/>
        <w:rPr/>
      </w:pPr>
      <w:bookmarkStart w:colFirst="0" w:colLast="0" w:name="_heading=h.xvnl0cad0u4w" w:id="7"/>
      <w:bookmarkEnd w:id="7"/>
      <w:r w:rsidDel="00000000" w:rsidR="00000000" w:rsidRPr="00000000">
        <w:rPr>
          <w:vertAlign w:val="baseline"/>
          <w:rtl w:val="0"/>
        </w:rPr>
        <w:t xml:space="preserve">Календари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В мире используются разнообразные календари и это стоит учитывать, когда идет оценка целевой аудитории, а также удобства использования вашего приложения для этого региона.</w:t>
      </w:r>
    </w:p>
    <w:p w:rsidR="00000000" w:rsidDel="00000000" w:rsidP="00000000" w:rsidRDefault="00000000" w:rsidRPr="00000000" w14:paraId="0000002E">
      <w:pPr>
        <w:pStyle w:val="Heading4"/>
        <w:numPr>
          <w:ilvl w:val="0"/>
          <w:numId w:val="10"/>
        </w:numPr>
        <w:ind w:left="357"/>
        <w:jc w:val="both"/>
        <w:rPr/>
      </w:pPr>
      <w:bookmarkStart w:colFirst="0" w:colLast="0" w:name="_heading=h.8dgwxaaf9h4n" w:id="8"/>
      <w:bookmarkEnd w:id="8"/>
      <w:r w:rsidDel="00000000" w:rsidR="00000000" w:rsidRPr="00000000">
        <w:rPr>
          <w:vertAlign w:val="baseline"/>
          <w:rtl w:val="0"/>
        </w:rPr>
        <w:t xml:space="preserve">Форматирование дат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Когда мы говорим о дате, обычно мы подразумеваем такие ее составляющие как день, месяц и год. Однако стоит отметить, что в мире не существует какого-либо общего используемого стандарта отображения этих данных,                а в некоторых случаях различия могут существовать даже в разных регионах одной страны.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Для отображения даты обычно используется маска вида DD/MM/YYYY, где D — день, M — месяц, а Y — год. При этом количество букв в каждой части обозначает количество символов, которые будут указаны в каждой секции. Например для маски вида DD/MM/YYYY дата будет выглядеть как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16/06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/2021, а для маски вида DD/MM/YY — 16/06/21.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По полноте отображения дат можно выделить 4 основных формата: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короткий (short) — 16.06.2020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средний (medium) — 16 Jun 2020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длинный (long) — 16 June 2020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полный (full) — Monday, 16 June 2020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40" w:line="384.00000000000006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Порядок даты, месяца и года тоже может отличаться: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40" w:line="384.00000000000006" w:lineRule="auto"/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ММ/DD/YYYY - США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jc w:val="right"/>
        <w:rPr>
          <w:rFonts w:ascii="Times New Roman" w:cs="Times New Roman" w:eastAsia="Times New Roman" w:hAnsi="Times New Roman"/>
          <w:color w:val="11111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DD/MM/YYYY - Россия, Великобритания, Германия, Италия, Франция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YYYY/MM/DD - Венгрия, Канада, Польша, Финляндия, Чехия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Не стоит забывать и о символах-разделителях. В зависимости от формата, разделители могут отличаться. Самые распространенные — косая черта (/), точка (.), пробел ( 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Каждый отдельный элемент в дате может быть записан в своём формате, который может меняться в зависимости от региона.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95" w:hanging="36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День: 01, 1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95" w:hanging="36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Месяц: 06, 6, June, Jun, J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95" w:hanging="36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Год: 2020, 20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95" w:hanging="36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День недели: Monday, Mon, Mo, M, 01, 1</w:t>
      </w:r>
    </w:p>
    <w:p w:rsidR="00000000" w:rsidDel="00000000" w:rsidP="00000000" w:rsidRDefault="00000000" w:rsidRPr="00000000" w14:paraId="00000041">
      <w:pPr>
        <w:pStyle w:val="Heading4"/>
        <w:numPr>
          <w:ilvl w:val="0"/>
          <w:numId w:val="10"/>
        </w:numPr>
        <w:ind w:left="357"/>
        <w:jc w:val="both"/>
        <w:rPr/>
      </w:pPr>
      <w:bookmarkStart w:colFirst="0" w:colLast="0" w:name="_heading=h.ug78fqsri6dd" w:id="9"/>
      <w:bookmarkEnd w:id="9"/>
      <w:r w:rsidDel="00000000" w:rsidR="00000000" w:rsidRPr="00000000">
        <w:rPr>
          <w:vertAlign w:val="baseline"/>
          <w:rtl w:val="0"/>
        </w:rPr>
        <w:t xml:space="preserve">Форматирование времени: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Как и в случае работы с датами и календарями, форматы времени                     не являются константой во всем мире. Хоть самым распространённым представлением является "часы, минуты, секунды", формат их написания         и разделительные символы могут сильно различаться: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u w:val="single"/>
          <w:rtl w:val="0"/>
        </w:rPr>
        <w:t xml:space="preserve">Использование 12-часового или 24-часового формата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.</w:t>
        <w:br w:type="textWrapping"/>
        <w:t xml:space="preserve">В большинстве европейских и азиатских регионов используется 24-часовой формат времени вместо 12-часового (AM/PM), который, к примеру, используется в США. Также AM/PM часть может отображаться на языке страны, а местоположение этой части может быть, как до, так и после числового значения времени.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u w:val="single"/>
          <w:rtl w:val="0"/>
        </w:rPr>
        <w:t xml:space="preserve">Разделительный символ для часов, минут и секунд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.</w:t>
        <w:br w:type="textWrapping"/>
        <w:t xml:space="preserve">Хотя двоеточие (:) и является самым распространённым разделителем,                         в некоторых азиатских языках используются идеографические символы. Кроме того, в некоторых регионах требуется использование символов "h", "m" и "s" для соответствующей части при отображении времени.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u w:val="single"/>
          <w:rtl w:val="0"/>
        </w:rPr>
        <w:t xml:space="preserve">Отображение часовых поясов.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 Наиболее распространенным форматом отображения часового пояса является формат вида: GMT +3:30. Один из вариантов отображения часового пояса, по совместительству — самый распространённый, — это отображение времени по Гринвичу (используется аббревиатура GMT — Greenwich Mean Time) или его современной замены UTC (Coordinated Universal Time). Затем следует символ, показывающий смещение времени в положительную (+) или отрицательную (-) сторону           от данного стандарта. Далее же идут конкретные значения смещения, отображаемые в часах и минутах (в некоторых часовых поясах используется 30-минутное или 45-минутное смещение.). Например, часовой пояс                 для Бангалора, Индия, будет отображаться как UTC +5:30, а для острова Чатем, Новая Зеландия, это будет UTC +12:45. Другой способ отображения часовых поясов — использование названий местных часовых поясов.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При проверке отображения часовых поясов вы должны принять во внимание следующее: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hd w:fill="ffffff" w:val="clear"/>
        <w:spacing w:after="90" w:line="240" w:lineRule="auto"/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Не все страны используют местные названия для часовых поясов.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hd w:fill="ffffff" w:val="clear"/>
        <w:spacing w:after="90" w:before="90" w:line="240" w:lineRule="auto"/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Аббревиатуры часовых поясов не уникальны.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hd w:fill="ffffff" w:val="clear"/>
        <w:spacing w:after="90" w:before="90" w:line="240" w:lineRule="auto"/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Не во всех странах используется летнее время, при этом летнее время может начинаться и заканчиваться в разные дни для разных стран.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hd w:fill="ffffff" w:val="clear"/>
        <w:spacing w:after="90" w:before="90" w:line="240" w:lineRule="auto"/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Один часовой пояс может иметь много разных названий в зависимости от страны и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0"/>
          <w:numId w:val="10"/>
        </w:numPr>
        <w:spacing w:before="200" w:lineRule="auto"/>
        <w:ind w:left="357"/>
        <w:jc w:val="both"/>
        <w:rPr/>
      </w:pPr>
      <w:bookmarkStart w:colFirst="0" w:colLast="0" w:name="_heading=h.ejax7mytfm7r" w:id="10"/>
      <w:bookmarkEnd w:id="10"/>
      <w:r w:rsidDel="00000000" w:rsidR="00000000" w:rsidRPr="00000000">
        <w:rPr>
          <w:vertAlign w:val="baseline"/>
          <w:rtl w:val="0"/>
        </w:rPr>
        <w:t xml:space="preserve">Формат валюты: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В качестве символа валюты может использоваться заранее определенный символ (например, европейский евро — €, Доллар США — $, Новый Израильский Шекель — ₪), комбинация букв (Доллар США — USD, Белорусский рубль — BYN), а также их сочетание (к примеру новый тайваньский доллар пишется как NT$). Местоположение символа валюты может быть как до, так и после цифрового значения суммы.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0"/>
          <w:numId w:val="10"/>
        </w:numPr>
        <w:spacing w:after="200" w:lineRule="auto"/>
        <w:ind w:left="357"/>
        <w:jc w:val="both"/>
        <w:rPr/>
      </w:pPr>
      <w:bookmarkStart w:colFirst="0" w:colLast="0" w:name="_heading=h.yrcc5eenywaa" w:id="11"/>
      <w:bookmarkEnd w:id="11"/>
      <w:r w:rsidDel="00000000" w:rsidR="00000000" w:rsidRPr="00000000">
        <w:rPr>
          <w:vertAlign w:val="baseline"/>
          <w:rtl w:val="0"/>
        </w:rPr>
        <w:t xml:space="preserve">Формат адреса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Адрес — это, пожалуй, самая нестандартная часть для проверки. Здесь стоит быть максимально внимательным и проявлять гибкость при проверке данных. Учитывайте то, что нет универсального порядка записи адреса. В разных странах способ написания может отличаться, к примеру где-то это может быть "Страна/Город/Улица/Дом/Квартира", а где-то "Улица/Дом/Квартира/ Страна/Город". Также некоторые данные могут опускаться либо наоборот, добавляться, в зависимости от страны. Есть достаточно распространённый пример: часто бывает так, что какое-нибудь поле, например, "State" (для USA) или "Province" (для Канады) делают обязательным при вводе адреса.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Варианты написания почтового индекса можно привести следующие: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95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только цифры, например 5 цифр у США и Франции (85001) или 6 цифр у Беларуси (220123)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95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почтовые индексы Канады состоят из двух групп по три символа - M5R 3H5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95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в некоторых странах/регионах код страны или региона вставляют перед почтовым индексом — F-92300</w:t>
      </w:r>
    </w:p>
    <w:p w:rsidR="00000000" w:rsidDel="00000000" w:rsidP="00000000" w:rsidRDefault="00000000" w:rsidRPr="00000000" w14:paraId="00000057">
      <w:pPr>
        <w:pStyle w:val="Heading4"/>
        <w:numPr>
          <w:ilvl w:val="0"/>
          <w:numId w:val="10"/>
        </w:numPr>
        <w:rPr>
          <w:b w:val="1"/>
          <w:sz w:val="28"/>
          <w:szCs w:val="28"/>
        </w:rPr>
      </w:pPr>
      <w:bookmarkStart w:colFirst="0" w:colLast="0" w:name="_heading=h.dn6ut65v52c" w:id="12"/>
      <w:bookmarkEnd w:id="12"/>
      <w:r w:rsidDel="00000000" w:rsidR="00000000" w:rsidRPr="00000000">
        <w:rPr>
          <w:rtl w:val="0"/>
        </w:rPr>
        <w:t xml:space="preserve">Формат телефонных номеров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Здесь может разниться количество чисел, так и их группировка, использование дополнительных символов и символов-разделителей, таких как дефис (-), точка (.), знак международного префикса (например знак плюс (+)), круглые открывающие и закрывающие скобки (), пробел ( ) и т.д. Обычно для записи номера телефона используется 7-11 цифр. 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8"/>
          <w:szCs w:val="28"/>
          <w:highlight w:val="white"/>
          <w:rtl w:val="0"/>
        </w:rPr>
        <w:t xml:space="preserve">  Китай - 1234 5678,                           Таиланд - (01) 234-5678 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8"/>
          <w:szCs w:val="28"/>
          <w:highlight w:val="white"/>
          <w:rtl w:val="0"/>
        </w:rPr>
        <w:t xml:space="preserve">  Франция - 01-23-45-67-89,               Великобритания - 0123 456 7890 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8"/>
          <w:szCs w:val="28"/>
          <w:highlight w:val="white"/>
          <w:rtl w:val="0"/>
        </w:rPr>
        <w:t xml:space="preserve">  США — (123) 456 7890                    Беларусь — +375-29-123-45-67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8"/>
          <w:szCs w:val="28"/>
          <w:highlight w:val="white"/>
          <w:rtl w:val="0"/>
        </w:rPr>
        <w:t xml:space="preserve">  Польша — (12) 345.67.89                 Сингапур — 123 4567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0"/>
          <w:numId w:val="10"/>
        </w:numPr>
        <w:ind w:left="357"/>
        <w:jc w:val="both"/>
        <w:rPr/>
      </w:pPr>
      <w:bookmarkStart w:colFirst="0" w:colLast="0" w:name="_heading=h.bepro2ucthtk" w:id="13"/>
      <w:bookmarkEnd w:id="13"/>
      <w:r w:rsidDel="00000000" w:rsidR="00000000" w:rsidRPr="00000000">
        <w:rPr>
          <w:vertAlign w:val="baseline"/>
          <w:rtl w:val="0"/>
        </w:rPr>
        <w:t xml:space="preserve">Первый день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Первый день недели может варьироваться в зависимости от региона/страны. Этот пункт стоит выделить отдельно, т.к. часто он остаётся незамеченным,    но от этого он не становится менее важным.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По привычке мы считаем что первый день недели это понедельник,                 так принято в России, Финляндии, Швеции, Дании и т.д.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Но во многих странах воскресенье с давних времен остается первым днём недели. В первую очередь к этим странам относятся страны Северной Америки, такие как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8"/>
            <w:szCs w:val="28"/>
            <w:highlight w:val="white"/>
            <w:rtl w:val="0"/>
          </w:rPr>
          <w:t xml:space="preserve">США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и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8"/>
            <w:szCs w:val="28"/>
            <w:highlight w:val="white"/>
            <w:rtl w:val="0"/>
          </w:rPr>
          <w:t xml:space="preserve">Канада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страны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8"/>
            <w:szCs w:val="28"/>
            <w:highlight w:val="white"/>
            <w:rtl w:val="0"/>
          </w:rPr>
          <w:t xml:space="preserve">Латинской Америки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8"/>
            <w:szCs w:val="28"/>
            <w:highlight w:val="white"/>
            <w:rtl w:val="0"/>
          </w:rPr>
          <w:t xml:space="preserve">Япония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          и некоторые другие страны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8"/>
            <w:szCs w:val="28"/>
            <w:highlight w:val="white"/>
            <w:rtl w:val="0"/>
          </w:rPr>
          <w:t xml:space="preserve">Азии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и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8"/>
            <w:szCs w:val="28"/>
            <w:highlight w:val="white"/>
            <w:rtl w:val="0"/>
          </w:rPr>
          <w:t xml:space="preserve">Африки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4"/>
        <w:numPr>
          <w:ilvl w:val="0"/>
          <w:numId w:val="10"/>
        </w:numPr>
        <w:ind w:left="357"/>
        <w:jc w:val="both"/>
        <w:rPr/>
      </w:pPr>
      <w:bookmarkStart w:colFirst="0" w:colLast="0" w:name="_heading=h.th4kfelvgkd0" w:id="14"/>
      <w:bookmarkEnd w:id="14"/>
      <w:r w:rsidDel="00000000" w:rsidR="00000000" w:rsidRPr="00000000">
        <w:rPr>
          <w:vertAlign w:val="baseline"/>
          <w:rtl w:val="0"/>
        </w:rPr>
        <w:t xml:space="preserve">Ориентация текста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Текст в разных регионах может читаться по-разному: у нас принято читать текст слева-направо сверху-вниз (построчно), в арабских странах, например, читают справа-налево (построчно)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numPr>
          <w:ilvl w:val="0"/>
          <w:numId w:val="10"/>
        </w:numPr>
        <w:ind w:left="357"/>
        <w:jc w:val="both"/>
        <w:rPr/>
      </w:pPr>
      <w:bookmarkStart w:colFirst="0" w:colLast="0" w:name="_heading=h.sbzwkp7mgyk4" w:id="15"/>
      <w:bookmarkEnd w:id="15"/>
      <w:r w:rsidDel="00000000" w:rsidR="00000000" w:rsidRPr="00000000">
        <w:rPr>
          <w:vertAlign w:val="baseline"/>
          <w:rtl w:val="0"/>
        </w:rPr>
        <w:t xml:space="preserve">Формат единицы измерения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США, как правило, используются единицы измерения традиционной американской системы – фунты для веса и футы с дюймами для длины.            В большинстве прочих стран применяется метрическая система. Большая часть стран также измеряет температуру по Цельсию, а в США это делается по Фаренгейту.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hd w:fill="ffffff" w:val="clear"/>
        <w:spacing w:after="280" w:before="280" w:line="240" w:lineRule="auto"/>
        <w:jc w:val="both"/>
        <w:rPr>
          <w:vertAlign w:val="baseline"/>
        </w:rPr>
      </w:pPr>
      <w:bookmarkStart w:colFirst="0" w:colLast="0" w:name="_heading=h.1ard27lrk59m" w:id="16"/>
      <w:bookmarkEnd w:id="16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vertAlign w:val="baseline"/>
          <w:rtl w:val="0"/>
        </w:rPr>
        <w:t xml:space="preserve">Функциональность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Это один из завершающих и важнейших этапов, когда нужно проверить правильно ли работает локализованное приложение. Отдельное внимание необходимо обратить на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numPr>
          <w:ilvl w:val="0"/>
          <w:numId w:val="7"/>
        </w:numPr>
        <w:shd w:fill="ffffff" w:val="clear"/>
        <w:spacing w:after="280" w:before="280" w:line="240" w:lineRule="auto"/>
        <w:ind w:left="720" w:hanging="360"/>
        <w:jc w:val="both"/>
        <w:rPr/>
      </w:pPr>
      <w:bookmarkStart w:colFirst="0" w:colLast="0" w:name="_heading=h.9fzkc8301jt6" w:id="17"/>
      <w:bookmarkEnd w:id="17"/>
      <w:r w:rsidDel="00000000" w:rsidR="00000000" w:rsidRPr="00000000">
        <w:rPr>
          <w:rtl w:val="0"/>
        </w:rPr>
        <w:t xml:space="preserve">Как именно реализован перевод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Мобильные приложения с точки зрения подхода к хранению строк, подлежащих переводу, можно разделить на три группы: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18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строки приходят с сервера;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18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строки хранятся в самом приложении;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beforeAutospacing="0" w:line="240" w:lineRule="auto"/>
        <w:ind w:left="118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часть строк хранится в приложении, часть — приходит с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Путь, который проходит перевод с сервера до пользователя, лежит через продакшен-сервер, куда можно запросто доставить обновленные версии файлов с переводами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в нашем приложении переводы подгружаются          с сервера, важно проверять ошибки ответов (они должны быть переведены   на нужный нам язык).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случае отсутствия переводов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 сервера обратить внимание что сервер передает только коды в любом удобном для себя виде, а на клиенте происходит локализация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40" w:lineRule="auto"/>
        <w:jc w:val="both"/>
        <w:rPr>
          <w:rFonts w:ascii="Times New Roman" w:cs="Times New Roman" w:eastAsia="Times New Roman" w:hAnsi="Times New Roman"/>
          <w:color w:val="11111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Если не удалось по какой то причине получит/загрузить перевод с сервера ошибки будут воспроизводиться на языке по умолчанию.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numPr>
          <w:ilvl w:val="0"/>
          <w:numId w:val="6"/>
        </w:numPr>
        <w:shd w:fill="ffffff" w:val="clear"/>
        <w:spacing w:line="240" w:lineRule="auto"/>
        <w:ind w:left="720" w:hanging="360"/>
        <w:jc w:val="both"/>
        <w:rPr>
          <w:u w:val="none"/>
          <w:vertAlign w:val="baseline"/>
        </w:rPr>
      </w:pPr>
      <w:bookmarkStart w:colFirst="0" w:colLast="0" w:name="_heading=h.4y691bgitxon" w:id="18"/>
      <w:bookmarkEnd w:id="18"/>
      <w:r w:rsidDel="00000000" w:rsidR="00000000" w:rsidRPr="00000000">
        <w:rPr>
          <w:vertAlign w:val="baseline"/>
          <w:rtl w:val="0"/>
        </w:rPr>
        <w:t xml:space="preserve">Функционал локализованного приложения или сайта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- Гиперссылки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 (убедитесь, что они работают во всех языковых версиях, легальны для указанного региона и не будут блокироваться местными или региональными файрволами).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 - Валидация полей ввода и вывода.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 Не всегда пользователи могут вводить данные на их языке при использовании их или другой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локали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  <w:rtl w:val="0"/>
        </w:rPr>
        <w:t xml:space="preserve">, также как                       и вывод не всегда может отображаться корректно. Поддержку специальных символов для различных локалей и языков.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u w:val="none"/>
          <w:vertAlign w:val="baseline"/>
        </w:rPr>
      </w:pPr>
      <w:bookmarkStart w:colFirst="0" w:colLast="0" w:name="_heading=h.zbgmk864zjbq" w:id="19"/>
      <w:bookmarkEnd w:id="19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Функцию сортировки списков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1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Переключили язык на английский,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выбор города остается на русском: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00" w:line="240" w:lineRule="auto"/>
        <w:jc w:val="center"/>
        <w:rPr>
          <w:b w:val="0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3aaff"/>
        </w:rPr>
        <w:drawing>
          <wp:inline distB="114300" distT="114300" distL="114300" distR="114300">
            <wp:extent cx="5943600" cy="116586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392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0"/>
          <w:numId w:val="1"/>
        </w:numPr>
        <w:shd w:fill="ffffff" w:val="clear"/>
        <w:spacing w:after="200" w:lineRule="auto"/>
        <w:ind w:left="720" w:hanging="360"/>
        <w:jc w:val="both"/>
        <w:rPr/>
      </w:pPr>
      <w:bookmarkStart w:colFirst="0" w:colLast="0" w:name="_heading=h.siewv3hkr623" w:id="20"/>
      <w:bookmarkEnd w:id="20"/>
      <w:r w:rsidDel="00000000" w:rsidR="00000000" w:rsidRPr="00000000">
        <w:rPr>
          <w:vertAlign w:val="baseline"/>
          <w:rtl w:val="0"/>
        </w:rPr>
        <w:t xml:space="preserve">Тестирование со сбитыми датой и временем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 важно протестировать приложение со сбитым временем в системных настройках для проверки корректности работы приложения.</w:t>
      </w:r>
    </w:p>
    <w:p w:rsidR="00000000" w:rsidDel="00000000" w:rsidP="00000000" w:rsidRDefault="00000000" w:rsidRPr="00000000" w14:paraId="00000078">
      <w:pPr>
        <w:shd w:fill="ffffff" w:val="clear"/>
        <w:spacing w:after="180" w:before="18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в приложении есть какие-либо таймеры или другая связь со временем, также можно в системных настройках изменить дату, время или часовой пояс, и данные в приложении изменятся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7A">
      <w:pPr>
        <w:shd w:fill="ffffff" w:val="clear"/>
        <w:spacing w:after="0" w:before="18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Изначально было время 10:55, затем было переведено время на 5 часов назад. Счетчики в приложении также изменились. </w:t>
      </w:r>
    </w:p>
    <w:p w:rsidR="00000000" w:rsidDel="00000000" w:rsidP="00000000" w:rsidRDefault="00000000" w:rsidRPr="00000000" w14:paraId="0000007B">
      <w:pPr>
        <w:shd w:fill="ffffff" w:val="clear"/>
        <w:spacing w:after="180" w:before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Многие игры и приложения на мобильные телефоны, можно “обмануть”, переведя время. 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перевода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перевода</w:t>
            </w:r>
          </w:p>
        </w:tc>
      </w:tr>
      <w:tr>
        <w:trPr>
          <w:cantSplit w:val="0"/>
          <w:trHeight w:val="836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428875" cy="4842510"/>
                  <wp:effectExtent b="0" l="0" r="0" t="0"/>
                  <wp:docPr id="2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316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4842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657475" cy="4804410"/>
                  <wp:effectExtent b="0" l="0" r="0" t="0"/>
                  <wp:docPr id="2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3556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804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eading=h.ctrc5qfu9pm3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jc33zcre83g4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НЕ НУЖНО проверять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тестировании локализации не имеет смысла проверять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данные, которые приходят к нам с сервера (контент), так как локализация по большему счету        в МП происходит на клиенте.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93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a6a6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4">
    <w:name w:val="heading 4"/>
    <w:basedOn w:val="Normal"/>
    <w:next w:val="Normal"/>
    <w:pPr>
      <w:ind w:left="357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5525D"/>
  </w:style>
  <w:style w:type="paragraph" w:styleId="4">
    <w:name w:val="heading 4"/>
    <w:basedOn w:val="a"/>
    <w:link w:val="40"/>
    <w:uiPriority w:val="9"/>
    <w:qFormat w:val="1"/>
    <w:rsid w:val="0055525D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40" w:customStyle="1">
    <w:name w:val="Заголовок 4 Знак"/>
    <w:basedOn w:val="a0"/>
    <w:link w:val="4"/>
    <w:uiPriority w:val="9"/>
    <w:rsid w:val="0055525D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3">
    <w:name w:val="Normal (Web)"/>
    <w:basedOn w:val="a"/>
    <w:uiPriority w:val="99"/>
    <w:unhideWhenUsed w:val="1"/>
    <w:rsid w:val="0055525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55525D"/>
    <w:pPr>
      <w:ind w:left="720"/>
      <w:contextualSpacing w:val="1"/>
    </w:pPr>
  </w:style>
  <w:style w:type="character" w:styleId="a5">
    <w:name w:val="Hyperlink"/>
    <w:basedOn w:val="a0"/>
    <w:uiPriority w:val="99"/>
    <w:semiHidden w:val="1"/>
    <w:unhideWhenUsed w:val="1"/>
    <w:rsid w:val="00B71AD4"/>
    <w:rPr>
      <w:color w:val="0000ff"/>
      <w:u w:val="single"/>
    </w:rPr>
  </w:style>
  <w:style w:type="table" w:styleId="a6">
    <w:name w:val="Table Grid"/>
    <w:basedOn w:val="a1"/>
    <w:uiPriority w:val="39"/>
    <w:rsid w:val="00670E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annotation reference"/>
    <w:basedOn w:val="a0"/>
    <w:uiPriority w:val="99"/>
    <w:semiHidden w:val="1"/>
    <w:unhideWhenUsed w:val="1"/>
    <w:rsid w:val="00670ECC"/>
    <w:rPr>
      <w:sz w:val="16"/>
      <w:szCs w:val="16"/>
    </w:rPr>
  </w:style>
  <w:style w:type="paragraph" w:styleId="a8">
    <w:name w:val="annotation text"/>
    <w:basedOn w:val="a"/>
    <w:link w:val="a9"/>
    <w:uiPriority w:val="99"/>
    <w:semiHidden w:val="1"/>
    <w:unhideWhenUsed w:val="1"/>
    <w:rsid w:val="00670ECC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semiHidden w:val="1"/>
    <w:rsid w:val="00670EC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670ECC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670ECC"/>
    <w:rPr>
      <w:b w:val="1"/>
      <w:bCs w:val="1"/>
      <w:sz w:val="20"/>
      <w:szCs w:val="20"/>
    </w:rPr>
  </w:style>
  <w:style w:type="paragraph" w:styleId="ac">
    <w:name w:val="Balloon Text"/>
    <w:basedOn w:val="a"/>
    <w:link w:val="ad"/>
    <w:uiPriority w:val="99"/>
    <w:semiHidden w:val="1"/>
    <w:unhideWhenUsed w:val="1"/>
    <w:rsid w:val="00670EC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670ECC"/>
    <w:rPr>
      <w:rFonts w:ascii="Segoe UI" w:cs="Segoe UI" w:hAnsi="Segoe UI"/>
      <w:sz w:val="18"/>
      <w:szCs w:val="18"/>
    </w:rPr>
  </w:style>
  <w:style w:type="paragraph" w:styleId="ae">
    <w:name w:val="footnote text"/>
    <w:basedOn w:val="a"/>
    <w:link w:val="af"/>
    <w:uiPriority w:val="99"/>
    <w:semiHidden w:val="1"/>
    <w:unhideWhenUsed w:val="1"/>
    <w:rsid w:val="00FA3362"/>
    <w:pPr>
      <w:spacing w:after="0" w:line="240" w:lineRule="auto"/>
    </w:pPr>
    <w:rPr>
      <w:sz w:val="20"/>
      <w:szCs w:val="20"/>
    </w:rPr>
  </w:style>
  <w:style w:type="character" w:styleId="af" w:customStyle="1">
    <w:name w:val="Текст сноски Знак"/>
    <w:basedOn w:val="a0"/>
    <w:link w:val="ae"/>
    <w:uiPriority w:val="99"/>
    <w:semiHidden w:val="1"/>
    <w:rsid w:val="00FA3362"/>
    <w:rPr>
      <w:sz w:val="20"/>
      <w:szCs w:val="20"/>
    </w:rPr>
  </w:style>
  <w:style w:type="character" w:styleId="af0">
    <w:name w:val="footnote reference"/>
    <w:basedOn w:val="a0"/>
    <w:uiPriority w:val="99"/>
    <w:semiHidden w:val="1"/>
    <w:unhideWhenUsed w:val="1"/>
    <w:rsid w:val="00FA3362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4.jpg"/><Relationship Id="rId22" Type="http://schemas.openxmlformats.org/officeDocument/2006/relationships/image" Target="media/image3.png"/><Relationship Id="rId10" Type="http://schemas.openxmlformats.org/officeDocument/2006/relationships/image" Target="media/image10.png"/><Relationship Id="rId21" Type="http://schemas.openxmlformats.org/officeDocument/2006/relationships/image" Target="media/image8.png"/><Relationship Id="rId13" Type="http://schemas.openxmlformats.org/officeDocument/2006/relationships/image" Target="media/image9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ru.wikipedia.org/wiki/%D0%9A%D0%B0%D0%BD%D0%B0%D0%B4%D0%B0" TargetMode="External"/><Relationship Id="rId14" Type="http://schemas.openxmlformats.org/officeDocument/2006/relationships/hyperlink" Target="https://ru.wikipedia.org/wiki/%D0%A1%D0%A8%D0%90" TargetMode="External"/><Relationship Id="rId17" Type="http://schemas.openxmlformats.org/officeDocument/2006/relationships/hyperlink" Target="https://ru.wikipedia.org/wiki/%D0%AF%D0%BF%D0%BE%D0%BD%D0%B8%D1%8F" TargetMode="External"/><Relationship Id="rId16" Type="http://schemas.openxmlformats.org/officeDocument/2006/relationships/hyperlink" Target="https://ru.wikipedia.org/wiki/%D0%9B%D0%B0%D1%82%D0%B8%D0%BD%D1%81%D0%BA%D0%B0%D1%8F_%D0%90%D0%BC%D0%B5%D1%80%D0%B8%D0%BA%D0%B0" TargetMode="External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0%D1%84%D1%80%D0%B8%D0%BA%D0%B0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ru.wikipedia.org/wiki/%D0%90%D0%B7%D0%B8%D1%8F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vVSoCWxqT/nP+EPEaNjbCG+xg==">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2022-07-19T07:20:00Z</dcterms:created>
  <dc:creator>GPN-BM</dc:creator>
</cp:coreProperties>
</file>