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0FC5A" w14:textId="77777777" w:rsidR="00AD7E45" w:rsidRDefault="00000000">
      <w:pPr>
        <w:pStyle w:val="Title"/>
      </w:pPr>
      <w:r>
        <w:t>Analysis of El Cerrito’s Financial Crisis</w:t>
      </w:r>
    </w:p>
    <w:p w14:paraId="3D2DCF0E" w14:textId="77777777" w:rsidR="00AD7E45" w:rsidRDefault="00000000">
      <w:pPr>
        <w:pStyle w:val="Author"/>
      </w:pPr>
      <w:r>
        <w:t>Ira Sharenow</w:t>
      </w:r>
    </w:p>
    <w:p w14:paraId="216D1511" w14:textId="77777777" w:rsidR="00AD7E45" w:rsidRDefault="00000000">
      <w:pPr>
        <w:pStyle w:val="Date"/>
      </w:pPr>
      <w:r>
        <w:t>2025-07-15</w:t>
      </w:r>
    </w:p>
    <w:p w14:paraId="70CE03DD" w14:textId="77777777" w:rsidR="00AD7E45" w:rsidRDefault="00000000">
      <w:pPr>
        <w:pStyle w:val="Heading2"/>
      </w:pPr>
      <w:bookmarkStart w:id="0" w:name="historical-background"/>
      <w:r>
        <w:t>Historical Background</w:t>
      </w:r>
    </w:p>
    <w:p w14:paraId="2A773B8F" w14:textId="77777777" w:rsidR="00AD7E45" w:rsidRDefault="00000000">
      <w:pPr>
        <w:pStyle w:val="FirstParagraph"/>
      </w:pPr>
      <w:r>
        <w:t>El Cerrito is a small city located near Berkeley, California. It is a very pleasant place to live, but the city has had a long history of financial difficulties combined with an inadequate response from its council.</w:t>
      </w:r>
    </w:p>
    <w:p w14:paraId="3B34A39B" w14:textId="77777777" w:rsidR="00AD7E45" w:rsidRDefault="00000000">
      <w:pPr>
        <w:pStyle w:val="BodyText"/>
      </w:pPr>
      <w:r>
        <w:t xml:space="preserve">In a 2014 council report, the finance director stated that in the recently completed annual independent audit, the auditor concluded that El Cerrito might not be able to continue as a </w:t>
      </w:r>
      <w:r>
        <w:rPr>
          <w:i/>
          <w:iCs/>
        </w:rPr>
        <w:t>“going concern”</w:t>
      </w:r>
      <w:r>
        <w:t>. That is, the city was in danger of going bankrupt. The item was on the consent calendar and not discussed.</w:t>
      </w:r>
    </w:p>
    <w:p w14:paraId="6D755629" w14:textId="77777777" w:rsidR="00AD7E45" w:rsidRDefault="00000000">
      <w:pPr>
        <w:pStyle w:val="BodyText"/>
      </w:pPr>
      <w:r>
        <w:t>In 2019 there was another “going concern” audit. This time the finance director advised the council that management had proven the auditor wrong and the “going concern was going”. The council found this very reassuring.</w:t>
      </w:r>
    </w:p>
    <w:p w14:paraId="49774F77" w14:textId="77777777" w:rsidR="00AD7E45" w:rsidRDefault="00000000">
      <w:pPr>
        <w:pStyle w:val="BodyText"/>
      </w:pPr>
      <w:r>
        <w:t>However, in late 2019 the state auditor announced that her office was going to audit El Cerrito due to its overspending. That finally caught the government’s attention.</w:t>
      </w:r>
    </w:p>
    <w:p w14:paraId="013069B7" w14:textId="77777777" w:rsidR="00AD7E45" w:rsidRDefault="00000000">
      <w:pPr>
        <w:pStyle w:val="BodyText"/>
      </w:pPr>
      <w:r>
        <w:t>There were “going concern” audits in 2017, 2018, 2019, and 2020 without the city council taking corrective action.</w:t>
      </w:r>
    </w:p>
    <w:p w14:paraId="39545105" w14:textId="77777777" w:rsidR="00AD7E45" w:rsidRDefault="00000000">
      <w:pPr>
        <w:pStyle w:val="BodyText"/>
      </w:pPr>
      <w:r>
        <w:t>Fortunately, for the city a new real property transfer tax went into effect. It was projected to bring in about $2.7 million in new money. However, with historically low interest rates, for a few years, the tax brought in over $4 million per year.</w:t>
      </w:r>
    </w:p>
    <w:p w14:paraId="72B507DA" w14:textId="77777777" w:rsidR="00AD7E45" w:rsidRDefault="00000000">
      <w:pPr>
        <w:pStyle w:val="BodyText"/>
      </w:pPr>
      <w:r>
        <w:t>Homes that are sold cause the value of the home to be reset for property tax collections based on California Prop 13. This also led to a significant increase in revenue.</w:t>
      </w:r>
    </w:p>
    <w:p w14:paraId="25FB361A" w14:textId="77777777" w:rsidR="00AD7E45" w:rsidRDefault="00000000">
      <w:pPr>
        <w:pStyle w:val="BodyText"/>
      </w:pPr>
      <w:r>
        <w:t>There were changes in the sales tax laws which led to another increase in revenues for El Cerrito.</w:t>
      </w:r>
    </w:p>
    <w:p w14:paraId="31573952" w14:textId="77777777" w:rsidR="00AD7E45" w:rsidRDefault="00000000">
      <w:pPr>
        <w:pStyle w:val="BodyText"/>
      </w:pPr>
      <w:r>
        <w:t>Finally, the federal government gave El Cerrito $6.1 million in ARPA money to help those hurt by Covid. El Cerrito’s council chose to put the money in the general fund and had no programs to help those hurt by Covid.</w:t>
      </w:r>
    </w:p>
    <w:p w14:paraId="7A3EC944" w14:textId="77777777" w:rsidR="00AD7E45" w:rsidRDefault="00000000">
      <w:pPr>
        <w:pStyle w:val="BodyText"/>
      </w:pPr>
      <w:r>
        <w:t>On the expenditure side, during the Covid years of Fiscal Year 2020 through Fiscal Year 2023 services were cut sharply. Most notably, the senior center was permanently shut down. Also the size of government shrunk as many police officers and others left government service.</w:t>
      </w:r>
    </w:p>
    <w:p w14:paraId="55BC24AC" w14:textId="77777777" w:rsidR="00AD7E45" w:rsidRDefault="00000000">
      <w:pPr>
        <w:pStyle w:val="BodyText"/>
      </w:pPr>
      <w:r>
        <w:t xml:space="preserve">The consequence is that all of the above enabled the city build up its reserves in order to meet minimal standards. However, once the state audit department ended its audit of El </w:t>
      </w:r>
      <w:r>
        <w:lastRenderedPageBreak/>
        <w:t xml:space="preserve">Cerrito, management started to identify expensive urgent projects for which there was not enough money. This included buying a new fire engine, other fire department related safety equipment, and fixing the swimming pool. The council has only recently recognized that the city’s $89 million CalPERS Unfunded Accrued Liability (UAL) is </w:t>
      </w:r>
      <w:r>
        <w:rPr>
          <w:i/>
          <w:iCs/>
        </w:rPr>
        <w:t>crowding out</w:t>
      </w:r>
      <w:r>
        <w:t xml:space="preserve"> services.</w:t>
      </w:r>
    </w:p>
    <w:p w14:paraId="2DD7B4C6" w14:textId="77777777" w:rsidR="00AD7E45" w:rsidRDefault="00000000">
      <w:pPr>
        <w:pStyle w:val="BodyText"/>
      </w:pPr>
      <w:r>
        <w:t>In summary from 2014 to the present, there were strong indications that the city was in financial distress. However, the council has yet to develop a comprehensive plan to solve the city’s financial problems.</w:t>
      </w:r>
    </w:p>
    <w:p w14:paraId="473EE50C" w14:textId="77777777" w:rsidR="00AD7E45" w:rsidRDefault="00000000">
      <w:pPr>
        <w:pStyle w:val="BodyText"/>
      </w:pPr>
      <w:r>
        <w:t>There were tax hikes in 2010, 2014, and 2018. However, even with revenues growing rapidly, expenditures are growing even more rapidly For the next part of this report, I will present tables and charts that clearly demonstrate areas of considerable financial concern. There will be a small amount of text to introduce the tables and graphs.</w:t>
      </w:r>
    </w:p>
    <w:p w14:paraId="52E5E463" w14:textId="77777777" w:rsidR="00AD7E45" w:rsidRDefault="00000000">
      <w:pPr>
        <w:pStyle w:val="BodyText"/>
      </w:pPr>
      <w:r>
        <w:t>The data comes mostly from El Cerrito’s budget documents.</w:t>
      </w:r>
    </w:p>
    <w:p w14:paraId="58777A70" w14:textId="77777777" w:rsidR="00AD7E45" w:rsidRDefault="00000000">
      <w:pPr>
        <w:pStyle w:val="BodyText"/>
      </w:pPr>
      <w:r>
        <w:t>El Cerrito’s Unfunded Accrued Liability (UAL) payments are a primary reason why the city is in financial distress.</w:t>
      </w:r>
    </w:p>
    <w:p w14:paraId="7AA0F7AC" w14:textId="77777777" w:rsidR="00AD7E45" w:rsidRDefault="00000000">
      <w:pPr>
        <w:pStyle w:val="BodyText"/>
      </w:pPr>
      <w:r>
        <w:rPr>
          <w:noProof/>
        </w:rPr>
        <w:drawing>
          <wp:inline distT="0" distB="0" distL="0" distR="0" wp14:anchorId="13782A93" wp14:editId="04060A4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C-Budget-Analysis-20250715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C4A6B49" w14:textId="77777777" w:rsidR="00AD7E45" w:rsidRDefault="00000000">
      <w:r>
        <w:br w:type="page"/>
      </w:r>
    </w:p>
    <w:p w14:paraId="1E029548" w14:textId="77777777" w:rsidR="00AD7E45" w:rsidRDefault="00000000">
      <w:pPr>
        <w:pStyle w:val="BodyText"/>
      </w:pPr>
      <w:r>
        <w:lastRenderedPageBreak/>
        <w:t>An important indicator of financial health is the credit rating. El Cerrito had a long slide from AA- to BBB- but during Covid did improve to BBB.</w:t>
      </w:r>
    </w:p>
    <w:p w14:paraId="6425A2C0" w14:textId="77777777" w:rsidR="00AD7E45" w:rsidRDefault="00000000">
      <w:pPr>
        <w:pStyle w:val="BodyText"/>
      </w:pPr>
      <w:r>
        <w:rPr>
          <w:noProof/>
        </w:rPr>
        <w:drawing>
          <wp:inline distT="0" distB="0" distL="0" distR="0" wp14:anchorId="76C59E42" wp14:editId="165540F7">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C-Budget-Analysis-20250715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2E1976A" w14:textId="77777777" w:rsidR="00AD7E45" w:rsidRDefault="00000000">
      <w:r>
        <w:br w:type="page"/>
      </w:r>
    </w:p>
    <w:p w14:paraId="737A740E" w14:textId="77777777" w:rsidR="00AD7E45" w:rsidRDefault="00000000">
      <w:pPr>
        <w:pStyle w:val="BodyText"/>
      </w:pPr>
      <w:r>
        <w:lastRenderedPageBreak/>
        <w:t>During the Covid years, the city did build up a modest reserve. However, infrastructure needs were often not addressed. One measurement of infrastructure decline is the precipitous fall in the city’s Pavement Condition Index (PCI) even though there is a dedicated tax to pay for road repairs.</w:t>
      </w:r>
    </w:p>
    <w:p w14:paraId="3BC31FEB" w14:textId="77777777" w:rsidR="00AD7E45" w:rsidRDefault="00000000">
      <w:pPr>
        <w:pStyle w:val="BodyText"/>
      </w:pPr>
      <w:r>
        <w:rPr>
          <w:noProof/>
        </w:rPr>
        <w:drawing>
          <wp:inline distT="0" distB="0" distL="0" distR="0" wp14:anchorId="5FAA084A" wp14:editId="190CE071">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EC-Budget-Analysis-20250715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7AC4453" w14:textId="77777777" w:rsidR="00AD7E45" w:rsidRDefault="00000000">
      <w:r>
        <w:br w:type="page"/>
      </w:r>
    </w:p>
    <w:p w14:paraId="36C608B5" w14:textId="77777777" w:rsidR="00AD7E45" w:rsidRDefault="00000000">
      <w:pPr>
        <w:pStyle w:val="BodyText"/>
      </w:pPr>
      <w:r>
        <w:lastRenderedPageBreak/>
        <w:t>El Cerrito’s rate of increased spending has greatly outpaced inflation</w:t>
      </w:r>
    </w:p>
    <w:p w14:paraId="6648D873" w14:textId="77777777" w:rsidR="00AD7E45" w:rsidRDefault="00000000">
      <w:pPr>
        <w:pStyle w:val="BodyText"/>
      </w:pPr>
      <w:r>
        <w:rPr>
          <w:noProof/>
        </w:rPr>
        <w:drawing>
          <wp:inline distT="0" distB="0" distL="0" distR="0" wp14:anchorId="1E0B1590" wp14:editId="2A46E5DE">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EC-Budget-Analysis-20250715_files/figure-docx/chart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3A4A5AC" w14:textId="77777777" w:rsidR="00AD7E45" w:rsidRDefault="00000000">
      <w:r>
        <w:br w:type="page"/>
      </w:r>
    </w:p>
    <w:p w14:paraId="2E746E8F" w14:textId="77777777" w:rsidR="00AD7E45"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lastRenderedPageBreak/>
        <w:t>Indexed Actual Expenditures vs CPI (Base Year: 2018)</w:t>
      </w:r>
    </w:p>
    <w:tbl>
      <w:tblPr>
        <w:tblStyle w:val="Table"/>
        <w:tblW w:w="0" w:type="auto"/>
        <w:jc w:val="center"/>
        <w:tblLayout w:type="fixed"/>
        <w:tblLook w:val="0420" w:firstRow="1" w:lastRow="0" w:firstColumn="0" w:lastColumn="0" w:noHBand="0" w:noVBand="1"/>
      </w:tblPr>
      <w:tblGrid>
        <w:gridCol w:w="1511"/>
        <w:gridCol w:w="1970"/>
        <w:gridCol w:w="2887"/>
      </w:tblGrid>
      <w:tr w:rsidR="00AD7E45" w14:paraId="0C50FD40" w14:textId="77777777" w:rsidTr="00AD7E45">
        <w:trPr>
          <w:cnfStyle w:val="100000000000" w:firstRow="1" w:lastRow="0" w:firstColumn="0" w:lastColumn="0" w:oddVBand="0" w:evenVBand="0" w:oddHBand="0" w:evenHBand="0" w:firstRowFirstColumn="0" w:firstRowLastColumn="0" w:lastRowFirstColumn="0" w:lastRowLastColumn="0"/>
          <w:tblHeader/>
          <w:jc w:val="center"/>
        </w:trPr>
        <w:tc>
          <w:tcPr>
            <w:tcW w:w="15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C22AD5"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Fiscal Year</w:t>
            </w:r>
          </w:p>
        </w:tc>
        <w:tc>
          <w:tcPr>
            <w:tcW w:w="197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F200C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CPI (2018=100)</w:t>
            </w:r>
          </w:p>
        </w:tc>
        <w:tc>
          <w:tcPr>
            <w:tcW w:w="28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148C2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Expenditures (2018=100)</w:t>
            </w:r>
          </w:p>
        </w:tc>
      </w:tr>
      <w:tr w:rsidR="00AD7E45" w14:paraId="09AB2DB0" w14:textId="77777777" w:rsidTr="00AD7E45">
        <w:trPr>
          <w:jc w:val="center"/>
        </w:trPr>
        <w:tc>
          <w:tcPr>
            <w:tcW w:w="151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02E4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2025</w:t>
            </w:r>
          </w:p>
        </w:tc>
        <w:tc>
          <w:tcPr>
            <w:tcW w:w="197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B6D2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127.5187</w:t>
            </w:r>
          </w:p>
        </w:tc>
        <w:tc>
          <w:tcPr>
            <w:tcW w:w="288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8860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144.8599</w:t>
            </w:r>
          </w:p>
        </w:tc>
      </w:tr>
      <w:tr w:rsidR="00AD7E45" w14:paraId="0D0425AD"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47CA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2024</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FB41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123.5202</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DB06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141.0865</w:t>
            </w:r>
          </w:p>
        </w:tc>
      </w:tr>
      <w:tr w:rsidR="00AD7E45" w14:paraId="1A0E3C4A"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6064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2023</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CE1D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120.0633</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0A03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115.1657</w:t>
            </w:r>
          </w:p>
        </w:tc>
      </w:tr>
      <w:tr w:rsidR="00AD7E45" w14:paraId="2E4E2D6D"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B971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2022</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0D7C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112.4201</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3AA0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109.9078</w:t>
            </w:r>
          </w:p>
        </w:tc>
      </w:tr>
      <w:tr w:rsidR="00AD7E45" w14:paraId="0486A843"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17D8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2021</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8553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108.9821</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AF8C6"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105.3635</w:t>
            </w:r>
          </w:p>
        </w:tc>
      </w:tr>
      <w:tr w:rsidR="00AD7E45" w14:paraId="32177765"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1CE35"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2020</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0A61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107.2484</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17EBA"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108.5460</w:t>
            </w:r>
          </w:p>
        </w:tc>
      </w:tr>
      <w:tr w:rsidR="00AD7E45" w14:paraId="2E2C8DF0"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C1EA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2019</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0D905"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103.9077</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23AF5"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111.8811</w:t>
            </w:r>
          </w:p>
        </w:tc>
      </w:tr>
      <w:tr w:rsidR="00AD7E45" w14:paraId="160530D6" w14:textId="77777777" w:rsidTr="00AD7E45">
        <w:trPr>
          <w:jc w:val="center"/>
        </w:trPr>
        <w:tc>
          <w:tcPr>
            <w:tcW w:w="15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4E0E38"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2018</w:t>
            </w:r>
          </w:p>
        </w:tc>
        <w:tc>
          <w:tcPr>
            <w:tcW w:w="19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8478FA"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100.0000</w:t>
            </w:r>
          </w:p>
        </w:tc>
        <w:tc>
          <w:tcPr>
            <w:tcW w:w="28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21C165"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100.0000</w:t>
            </w:r>
          </w:p>
        </w:tc>
      </w:tr>
      <w:tr w:rsidR="00AD7E45" w14:paraId="0FB1A4A8" w14:textId="77777777" w:rsidTr="00AD7E45">
        <w:trPr>
          <w:jc w:val="center"/>
        </w:trPr>
        <w:tc>
          <w:tcPr>
            <w:tcW w:w="6368" w:type="dxa"/>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02F3FD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Source: El Cerrito Composite Budget File</w:t>
            </w:r>
          </w:p>
        </w:tc>
      </w:tr>
    </w:tbl>
    <w:p w14:paraId="2D066A51" w14:textId="77777777" w:rsidR="00AD7E45" w:rsidRDefault="00000000">
      <w:r>
        <w:br w:type="page"/>
      </w:r>
    </w:p>
    <w:p w14:paraId="6A29827C" w14:textId="77777777" w:rsidR="00AD7E45" w:rsidRDefault="00000000">
      <w:pPr>
        <w:pStyle w:val="BodyText"/>
      </w:pPr>
      <w:r>
        <w:rPr>
          <w:noProof/>
        </w:rPr>
        <w:lastRenderedPageBreak/>
        <w:drawing>
          <wp:inline distT="0" distB="0" distL="0" distR="0" wp14:anchorId="7CED4418" wp14:editId="355A53BE">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EC-Budget-Analysis-20250715_files/figure-docx/chart5a-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57FBFD0" w14:textId="77777777" w:rsidR="00AD7E45" w:rsidRDefault="00000000">
      <w:r>
        <w:br w:type="page"/>
      </w:r>
    </w:p>
    <w:p w14:paraId="20EE7691" w14:textId="77777777" w:rsidR="00AD7E45"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lastRenderedPageBreak/>
        <w:t>Indexed Expenditures vs CPI by Department (Base Year: 2018)</w:t>
      </w:r>
    </w:p>
    <w:tbl>
      <w:tblPr>
        <w:tblStyle w:val="Table"/>
        <w:tblW w:w="0" w:type="auto"/>
        <w:jc w:val="center"/>
        <w:tblLayout w:type="fixed"/>
        <w:tblLook w:val="0420" w:firstRow="1" w:lastRow="0" w:firstColumn="0" w:lastColumn="0" w:noHBand="0" w:noVBand="1"/>
      </w:tblPr>
      <w:tblGrid>
        <w:gridCol w:w="1511"/>
        <w:gridCol w:w="2881"/>
        <w:gridCol w:w="2887"/>
        <w:gridCol w:w="1970"/>
      </w:tblGrid>
      <w:tr w:rsidR="00AD7E45" w14:paraId="5BCC7975" w14:textId="77777777" w:rsidTr="00AD7E45">
        <w:trPr>
          <w:cnfStyle w:val="100000000000" w:firstRow="1" w:lastRow="0" w:firstColumn="0" w:lastColumn="0" w:oddVBand="0" w:evenVBand="0" w:oddHBand="0" w:evenHBand="0" w:firstRowFirstColumn="0" w:firstRowLastColumn="0" w:lastRowFirstColumn="0" w:lastRowLastColumn="0"/>
          <w:tblHeader/>
          <w:jc w:val="center"/>
        </w:trPr>
        <w:tc>
          <w:tcPr>
            <w:tcW w:w="15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4750A5"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Fiscal Year</w:t>
            </w:r>
          </w:p>
        </w:tc>
        <w:tc>
          <w:tcPr>
            <w:tcW w:w="288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EDBE16"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Department</w:t>
            </w:r>
          </w:p>
        </w:tc>
        <w:tc>
          <w:tcPr>
            <w:tcW w:w="28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A1F41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Expenditures (2018=100)</w:t>
            </w:r>
          </w:p>
        </w:tc>
        <w:tc>
          <w:tcPr>
            <w:tcW w:w="197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1DBC45"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CPI (2018=100)</w:t>
            </w:r>
          </w:p>
        </w:tc>
      </w:tr>
      <w:tr w:rsidR="00AD7E45" w14:paraId="50B5F217" w14:textId="77777777" w:rsidTr="00AD7E45">
        <w:trPr>
          <w:jc w:val="center"/>
        </w:trPr>
        <w:tc>
          <w:tcPr>
            <w:tcW w:w="151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C67E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2023</w:t>
            </w:r>
          </w:p>
        </w:tc>
        <w:tc>
          <w:tcPr>
            <w:tcW w:w="288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AE00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Fire</w:t>
            </w:r>
          </w:p>
        </w:tc>
        <w:tc>
          <w:tcPr>
            <w:tcW w:w="288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282C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128.38613</w:t>
            </w:r>
          </w:p>
        </w:tc>
        <w:tc>
          <w:tcPr>
            <w:tcW w:w="197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0ED2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120.0633</w:t>
            </w:r>
          </w:p>
        </w:tc>
      </w:tr>
      <w:tr w:rsidR="00AD7E45" w14:paraId="7125937D"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533C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2022</w:t>
            </w:r>
          </w:p>
        </w:tc>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0F1FA"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Fire</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FC7C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126.59340</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013D5"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112.4201</w:t>
            </w:r>
          </w:p>
        </w:tc>
      </w:tr>
      <w:tr w:rsidR="00AD7E45" w14:paraId="39F90577"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81CB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2021</w:t>
            </w:r>
          </w:p>
        </w:tc>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19CE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Fire</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DF5C8"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119.46644</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AD0C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108.9821</w:t>
            </w:r>
          </w:p>
        </w:tc>
      </w:tr>
      <w:tr w:rsidR="00AD7E45" w14:paraId="1709DEFE"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37A8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2020</w:t>
            </w:r>
          </w:p>
        </w:tc>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05B6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Fire</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FF19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109.78648</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2E50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107.2484</w:t>
            </w:r>
          </w:p>
        </w:tc>
      </w:tr>
      <w:tr w:rsidR="00AD7E45" w14:paraId="7AFD3B60"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C83B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2019</w:t>
            </w:r>
          </w:p>
        </w:tc>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72F8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Fire</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7DCC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109.66061</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CE29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103.9077</w:t>
            </w:r>
          </w:p>
        </w:tc>
      </w:tr>
      <w:tr w:rsidR="00AD7E45" w14:paraId="20BE6DB9"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BDC7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2018</w:t>
            </w:r>
          </w:p>
        </w:tc>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6A91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Fire</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2811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100.00000</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055F5"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100.0000</w:t>
            </w:r>
          </w:p>
        </w:tc>
      </w:tr>
      <w:tr w:rsidR="00AD7E45" w14:paraId="341D9A1F"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4244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2023</w:t>
            </w:r>
          </w:p>
        </w:tc>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FA77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Police</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8F9A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105.05490</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EE2B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120.0633</w:t>
            </w:r>
          </w:p>
        </w:tc>
      </w:tr>
      <w:tr w:rsidR="00AD7E45" w14:paraId="17EA2B87"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E74D8"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2022</w:t>
            </w:r>
          </w:p>
        </w:tc>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57DA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Police</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23AD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104.54180</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76B3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112.4201</w:t>
            </w:r>
          </w:p>
        </w:tc>
      </w:tr>
      <w:tr w:rsidR="00AD7E45" w14:paraId="57CB73F4"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4932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2021</w:t>
            </w:r>
          </w:p>
        </w:tc>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D8F4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Police</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EE11A"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104.51351</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E6669"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108.9821</w:t>
            </w:r>
          </w:p>
        </w:tc>
      </w:tr>
      <w:tr w:rsidR="00AD7E45" w14:paraId="53263D4C"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C3F1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2020</w:t>
            </w:r>
          </w:p>
        </w:tc>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E4148"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Police</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B49C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109.63792</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9992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107.2484</w:t>
            </w:r>
          </w:p>
        </w:tc>
      </w:tr>
      <w:tr w:rsidR="00AD7E45" w14:paraId="15653B54"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A604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2019</w:t>
            </w:r>
          </w:p>
        </w:tc>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D660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Police</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0F92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108.44914</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26339"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103.9077</w:t>
            </w:r>
          </w:p>
        </w:tc>
      </w:tr>
      <w:tr w:rsidR="00AD7E45" w14:paraId="44D023EB"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1D32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2018</w:t>
            </w:r>
          </w:p>
        </w:tc>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DECC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Police</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2AE25"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100.00000</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F9F5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100.0000</w:t>
            </w:r>
          </w:p>
        </w:tc>
      </w:tr>
      <w:tr w:rsidR="00AD7E45" w14:paraId="26ABC74A"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ED65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2023</w:t>
            </w:r>
          </w:p>
        </w:tc>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2D8D8"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Administration</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5CAA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167.94603</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D6AE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120.0633</w:t>
            </w:r>
          </w:p>
        </w:tc>
      </w:tr>
      <w:tr w:rsidR="00AD7E45" w14:paraId="7CA28A1F"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91669"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2022</w:t>
            </w:r>
          </w:p>
        </w:tc>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D7A49"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Administration</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9089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148.22983</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AE93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112.4201</w:t>
            </w:r>
          </w:p>
        </w:tc>
      </w:tr>
      <w:tr w:rsidR="00AD7E45" w14:paraId="1F0D2FC5"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9B39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2021</w:t>
            </w:r>
          </w:p>
        </w:tc>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C3452"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Administration</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02706"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95.86423</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5FDF9"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108.9821</w:t>
            </w:r>
          </w:p>
        </w:tc>
      </w:tr>
      <w:tr w:rsidR="00AD7E45" w14:paraId="1EB9AA21"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E6B36"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2020</w:t>
            </w:r>
          </w:p>
        </w:tc>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3DDD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Administration</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37306"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109.52974</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0A43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107.2484</w:t>
            </w:r>
          </w:p>
        </w:tc>
      </w:tr>
      <w:tr w:rsidR="00AD7E45" w14:paraId="630046E0"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0720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2019</w:t>
            </w:r>
          </w:p>
        </w:tc>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35FA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Administration</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9F6E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110.38677</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1658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103.9077</w:t>
            </w:r>
          </w:p>
        </w:tc>
      </w:tr>
      <w:tr w:rsidR="00AD7E45" w14:paraId="1AEC20D1"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BFBF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2018</w:t>
            </w:r>
          </w:p>
        </w:tc>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EA8A6"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Administration</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8A15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100.00000</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1CFC2"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100.0000</w:t>
            </w:r>
          </w:p>
        </w:tc>
      </w:tr>
      <w:tr w:rsidR="00AD7E45" w14:paraId="21461304"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3B582"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2023</w:t>
            </w:r>
          </w:p>
        </w:tc>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73649"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Recreation</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A645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98.45735</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72A1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120.0633</w:t>
            </w:r>
          </w:p>
        </w:tc>
      </w:tr>
      <w:tr w:rsidR="00AD7E45" w14:paraId="6360A72E"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43A7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2022</w:t>
            </w:r>
          </w:p>
        </w:tc>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317E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Recreation</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8053A"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82.88672</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D70E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112.4201</w:t>
            </w:r>
          </w:p>
        </w:tc>
      </w:tr>
      <w:tr w:rsidR="00AD7E45" w14:paraId="31E3C03B"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A6D1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2021</w:t>
            </w:r>
          </w:p>
        </w:tc>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731D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Recreation</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EF67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73.06202</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12CE2"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108.9821</w:t>
            </w:r>
          </w:p>
        </w:tc>
      </w:tr>
      <w:tr w:rsidR="00AD7E45" w14:paraId="2C403B25"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2611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2020</w:t>
            </w:r>
          </w:p>
        </w:tc>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37809"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Recreation</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0D27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102.14598</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6762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107.2484</w:t>
            </w:r>
          </w:p>
        </w:tc>
      </w:tr>
      <w:tr w:rsidR="00AD7E45" w14:paraId="55AEAD2A"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9C705"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2019</w:t>
            </w:r>
          </w:p>
        </w:tc>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4D6B8"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Recreation</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E2AC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110.60016</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B2D1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103.9077</w:t>
            </w:r>
          </w:p>
        </w:tc>
      </w:tr>
      <w:tr w:rsidR="00AD7E45" w14:paraId="05B55BB0"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61939"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2018</w:t>
            </w:r>
          </w:p>
        </w:tc>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267F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Recreation</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A3FE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100.00000</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3237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100.0000</w:t>
            </w:r>
          </w:p>
        </w:tc>
      </w:tr>
      <w:tr w:rsidR="00AD7E45" w14:paraId="1FFC62FC"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B2A49"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2023</w:t>
            </w:r>
          </w:p>
        </w:tc>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1E09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Public Works</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2429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104.95741</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29CF6"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120.0633</w:t>
            </w:r>
          </w:p>
        </w:tc>
      </w:tr>
      <w:tr w:rsidR="00AD7E45" w14:paraId="5CB1F05A"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E1A5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2022</w:t>
            </w:r>
          </w:p>
        </w:tc>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454D2"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Public Works</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6A30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88.04014</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919D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112.4201</w:t>
            </w:r>
          </w:p>
        </w:tc>
      </w:tr>
      <w:tr w:rsidR="00AD7E45" w14:paraId="62313F8E"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E87F6"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lastRenderedPageBreak/>
              <w:t>2020</w:t>
            </w:r>
          </w:p>
        </w:tc>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2A4F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Public Works</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02F5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86.03710</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5D82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107.2484</w:t>
            </w:r>
          </w:p>
        </w:tc>
      </w:tr>
      <w:tr w:rsidR="00AD7E45" w14:paraId="421D6A79"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0151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2019</w:t>
            </w:r>
          </w:p>
        </w:tc>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4BE8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Public Works</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F532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91.38097</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706D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103.9077</w:t>
            </w:r>
          </w:p>
        </w:tc>
      </w:tr>
      <w:tr w:rsidR="00AD7E45" w14:paraId="78C04797"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A8908"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2018</w:t>
            </w:r>
          </w:p>
        </w:tc>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7F962"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Public Works</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6F9A6"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100.00000</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40F0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100.0000</w:t>
            </w:r>
          </w:p>
        </w:tc>
      </w:tr>
      <w:tr w:rsidR="00AD7E45" w14:paraId="65027069"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76ED6"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2023</w:t>
            </w:r>
          </w:p>
        </w:tc>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3A855"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Community Development</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DC59A"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123.93187</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2A78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120.0633</w:t>
            </w:r>
          </w:p>
        </w:tc>
      </w:tr>
      <w:tr w:rsidR="00AD7E45" w14:paraId="4A41282D"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F6229"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2022</w:t>
            </w:r>
          </w:p>
        </w:tc>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5759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Community Development</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D12A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124.19526</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045C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112.4201</w:t>
            </w:r>
          </w:p>
        </w:tc>
      </w:tr>
      <w:tr w:rsidR="00AD7E45" w14:paraId="5EBA4AD8"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F143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2020</w:t>
            </w:r>
          </w:p>
        </w:tc>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6B7C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Community Development</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6140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101.55370</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C3C19"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107.2484</w:t>
            </w:r>
          </w:p>
        </w:tc>
      </w:tr>
      <w:tr w:rsidR="00AD7E45" w14:paraId="0B6DC00D"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6306A"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2019</w:t>
            </w:r>
          </w:p>
        </w:tc>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C1438"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Community Development</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08DA6"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102.22723</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6E2F6"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103.9077</w:t>
            </w:r>
          </w:p>
        </w:tc>
      </w:tr>
      <w:tr w:rsidR="00AD7E45" w14:paraId="7B35B57E" w14:textId="77777777" w:rsidTr="00AD7E45">
        <w:trPr>
          <w:jc w:val="center"/>
        </w:trPr>
        <w:tc>
          <w:tcPr>
            <w:tcW w:w="15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6D6D8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2018</w:t>
            </w:r>
          </w:p>
        </w:tc>
        <w:tc>
          <w:tcPr>
            <w:tcW w:w="28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103786"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Community Development</w:t>
            </w:r>
          </w:p>
        </w:tc>
        <w:tc>
          <w:tcPr>
            <w:tcW w:w="28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2EFB3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100.00000</w:t>
            </w:r>
          </w:p>
        </w:tc>
        <w:tc>
          <w:tcPr>
            <w:tcW w:w="19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67C67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100.0000</w:t>
            </w:r>
          </w:p>
        </w:tc>
      </w:tr>
      <w:tr w:rsidR="00AD7E45" w14:paraId="1FFEE250" w14:textId="77777777" w:rsidTr="00AD7E45">
        <w:trPr>
          <w:jc w:val="center"/>
        </w:trPr>
        <w:tc>
          <w:tcPr>
            <w:tcW w:w="9249" w:type="dxa"/>
            <w:gridSpan w:val="4"/>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680A32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Source: El Cerrito Composite Budget File</w:t>
            </w:r>
          </w:p>
        </w:tc>
      </w:tr>
    </w:tbl>
    <w:p w14:paraId="103CC8D1" w14:textId="77777777" w:rsidR="00AD7E45" w:rsidRDefault="00000000">
      <w:r>
        <w:br w:type="page"/>
      </w:r>
    </w:p>
    <w:p w14:paraId="06F0C4C8" w14:textId="77777777" w:rsidR="00AD7E45" w:rsidRDefault="00000000">
      <w:pPr>
        <w:pStyle w:val="BodyText"/>
      </w:pPr>
      <w:r>
        <w:lastRenderedPageBreak/>
        <w:t>The rate of growth of expenditures far exceeds the rate of growth of the Consumer Price Index (CPI)</w:t>
      </w:r>
    </w:p>
    <w:p w14:paraId="5DB9F1BD" w14:textId="77777777" w:rsidR="00AD7E45" w:rsidRDefault="00000000">
      <w:pPr>
        <w:pStyle w:val="BodyText"/>
      </w:pPr>
      <w:r>
        <w:rPr>
          <w:noProof/>
        </w:rPr>
        <w:drawing>
          <wp:inline distT="0" distB="0" distL="0" distR="0" wp14:anchorId="654B5FC9" wp14:editId="17A691F7">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EC-Budget-Analysis-20250715_files/figure-docx/chart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17BCBA2" w14:textId="77777777" w:rsidR="00AD7E45" w:rsidRDefault="00000000">
      <w:r>
        <w:br w:type="page"/>
      </w:r>
    </w:p>
    <w:p w14:paraId="453FD5E0" w14:textId="77777777" w:rsidR="00AD7E45"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lastRenderedPageBreak/>
        <w:t>Indexed Actual Expenditures vs CPI (Base Year: 2023)</w:t>
      </w:r>
    </w:p>
    <w:tbl>
      <w:tblPr>
        <w:tblStyle w:val="Table"/>
        <w:tblW w:w="0" w:type="auto"/>
        <w:jc w:val="center"/>
        <w:tblLayout w:type="fixed"/>
        <w:tblLook w:val="0420" w:firstRow="1" w:lastRow="0" w:firstColumn="0" w:lastColumn="0" w:noHBand="0" w:noVBand="1"/>
      </w:tblPr>
      <w:tblGrid>
        <w:gridCol w:w="1511"/>
        <w:gridCol w:w="1970"/>
        <w:gridCol w:w="2887"/>
      </w:tblGrid>
      <w:tr w:rsidR="00AD7E45" w14:paraId="5ECBEFDD" w14:textId="77777777" w:rsidTr="00AD7E45">
        <w:trPr>
          <w:cnfStyle w:val="100000000000" w:firstRow="1" w:lastRow="0" w:firstColumn="0" w:lastColumn="0" w:oddVBand="0" w:evenVBand="0" w:oddHBand="0" w:evenHBand="0" w:firstRowFirstColumn="0" w:firstRowLastColumn="0" w:lastRowFirstColumn="0" w:lastRowLastColumn="0"/>
          <w:tblHeader/>
          <w:jc w:val="center"/>
        </w:trPr>
        <w:tc>
          <w:tcPr>
            <w:tcW w:w="15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FCCBEA"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Fiscal Year</w:t>
            </w:r>
          </w:p>
        </w:tc>
        <w:tc>
          <w:tcPr>
            <w:tcW w:w="197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27AC2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CPI (2023=100)</w:t>
            </w:r>
          </w:p>
        </w:tc>
        <w:tc>
          <w:tcPr>
            <w:tcW w:w="28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04D77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Expenditures (2023=100)</w:t>
            </w:r>
          </w:p>
        </w:tc>
      </w:tr>
      <w:tr w:rsidR="00AD7E45" w14:paraId="1BF3333A" w14:textId="77777777" w:rsidTr="00AD7E45">
        <w:trPr>
          <w:jc w:val="center"/>
        </w:trPr>
        <w:tc>
          <w:tcPr>
            <w:tcW w:w="151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DCB2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2025</w:t>
            </w:r>
          </w:p>
        </w:tc>
        <w:tc>
          <w:tcPr>
            <w:tcW w:w="197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65C4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106.2096</w:t>
            </w:r>
          </w:p>
        </w:tc>
        <w:tc>
          <w:tcPr>
            <w:tcW w:w="288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FA90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125.7839</w:t>
            </w:r>
          </w:p>
        </w:tc>
      </w:tr>
      <w:tr w:rsidR="00AD7E45" w14:paraId="3B30B708"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103D2"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2024</w:t>
            </w:r>
          </w:p>
        </w:tc>
        <w:tc>
          <w:tcPr>
            <w:tcW w:w="19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C81A2"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102.8792</w:t>
            </w:r>
          </w:p>
        </w:tc>
        <w:tc>
          <w:tcPr>
            <w:tcW w:w="28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5DE5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122.5074</w:t>
            </w:r>
          </w:p>
        </w:tc>
      </w:tr>
      <w:tr w:rsidR="00AD7E45" w14:paraId="608A8F0D" w14:textId="77777777" w:rsidTr="00AD7E45">
        <w:trPr>
          <w:jc w:val="center"/>
        </w:trPr>
        <w:tc>
          <w:tcPr>
            <w:tcW w:w="15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EA838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2023</w:t>
            </w:r>
          </w:p>
        </w:tc>
        <w:tc>
          <w:tcPr>
            <w:tcW w:w="19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C5834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100.0000</w:t>
            </w:r>
          </w:p>
        </w:tc>
        <w:tc>
          <w:tcPr>
            <w:tcW w:w="28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4AFAF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100.0000</w:t>
            </w:r>
          </w:p>
        </w:tc>
      </w:tr>
      <w:tr w:rsidR="00AD7E45" w14:paraId="6AE5ABF5" w14:textId="77777777" w:rsidTr="00AD7E45">
        <w:trPr>
          <w:jc w:val="center"/>
        </w:trPr>
        <w:tc>
          <w:tcPr>
            <w:tcW w:w="6368" w:type="dxa"/>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E9EBDD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Source: El Cerrito Composite Budget File</w:t>
            </w:r>
          </w:p>
        </w:tc>
      </w:tr>
    </w:tbl>
    <w:p w14:paraId="0802C174" w14:textId="77777777" w:rsidR="00AD7E45" w:rsidRDefault="00000000">
      <w:r>
        <w:br w:type="page"/>
      </w:r>
    </w:p>
    <w:p w14:paraId="6CC444E5" w14:textId="77777777" w:rsidR="00AD7E45" w:rsidRDefault="00000000">
      <w:pPr>
        <w:pStyle w:val="BodyText"/>
      </w:pPr>
      <w:r>
        <w:lastRenderedPageBreak/>
        <w:t>Many departments, other than recreation, have increased spending rapidly</w:t>
      </w:r>
    </w:p>
    <w:p w14:paraId="40940984" w14:textId="77777777" w:rsidR="00AD7E45" w:rsidRDefault="00000000">
      <w:pPr>
        <w:pStyle w:val="BodyText"/>
      </w:pPr>
      <w:r>
        <w:rPr>
          <w:noProof/>
        </w:rPr>
        <w:drawing>
          <wp:inline distT="0" distB="0" distL="0" distR="0" wp14:anchorId="6C3A7271" wp14:editId="19453E5B">
            <wp:extent cx="5334000" cy="4478337"/>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EC-Budget-Analysis-20250715_files/figure-docx/chart1a-1.png"/>
                    <pic:cNvPicPr>
                      <a:picLocks noChangeAspect="1" noChangeArrowheads="1"/>
                    </pic:cNvPicPr>
                  </pic:nvPicPr>
                  <pic:blipFill>
                    <a:blip r:embed="rId13"/>
                    <a:stretch>
                      <a:fillRect/>
                    </a:stretch>
                  </pic:blipFill>
                  <pic:spPr bwMode="auto">
                    <a:xfrm>
                      <a:off x="0" y="0"/>
                      <a:ext cx="5334000" cy="4478337"/>
                    </a:xfrm>
                    <a:prstGeom prst="rect">
                      <a:avLst/>
                    </a:prstGeom>
                    <a:noFill/>
                    <a:ln w="9525">
                      <a:noFill/>
                      <a:headEnd/>
                      <a:tailEnd/>
                    </a:ln>
                  </pic:spPr>
                </pic:pic>
              </a:graphicData>
            </a:graphic>
          </wp:inline>
        </w:drawing>
      </w:r>
    </w:p>
    <w:p w14:paraId="0A3DDE67" w14:textId="77777777" w:rsidR="00AD7E45" w:rsidRDefault="00000000">
      <w:r>
        <w:br w:type="page"/>
      </w:r>
    </w:p>
    <w:p w14:paraId="0289D9E8" w14:textId="77777777" w:rsidR="00AD7E45" w:rsidRDefault="00000000">
      <w:pPr>
        <w:pStyle w:val="BodyText"/>
      </w:pPr>
      <w:r>
        <w:lastRenderedPageBreak/>
        <w:t>Expenditures often exceed revenues.</w:t>
      </w:r>
    </w:p>
    <w:p w14:paraId="7D794D81" w14:textId="77777777" w:rsidR="00AD7E45"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General Fund Revenues vs Expenditures – Actual</w:t>
      </w:r>
    </w:p>
    <w:tbl>
      <w:tblPr>
        <w:tblStyle w:val="Table"/>
        <w:tblW w:w="0" w:type="auto"/>
        <w:jc w:val="center"/>
        <w:tblLayout w:type="fixed"/>
        <w:tblLook w:val="0420" w:firstRow="1" w:lastRow="0" w:firstColumn="0" w:lastColumn="0" w:noHBand="0" w:noVBand="1"/>
      </w:tblPr>
      <w:tblGrid>
        <w:gridCol w:w="1511"/>
        <w:gridCol w:w="1695"/>
        <w:gridCol w:w="1634"/>
        <w:gridCol w:w="1951"/>
      </w:tblGrid>
      <w:tr w:rsidR="00AD7E45" w14:paraId="54B1981F" w14:textId="77777777" w:rsidTr="00AD7E45">
        <w:trPr>
          <w:cnfStyle w:val="100000000000" w:firstRow="1" w:lastRow="0" w:firstColumn="0" w:lastColumn="0" w:oddVBand="0" w:evenVBand="0" w:oddHBand="0" w:evenHBand="0" w:firstRowFirstColumn="0" w:firstRowLastColumn="0" w:lastRowFirstColumn="0" w:lastRowLastColumn="0"/>
          <w:tblHeader/>
          <w:jc w:val="center"/>
        </w:trPr>
        <w:tc>
          <w:tcPr>
            <w:tcW w:w="15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9F3ED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Fiscal Year</w:t>
            </w:r>
          </w:p>
        </w:tc>
        <w:tc>
          <w:tcPr>
            <w:tcW w:w="169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3B452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Expenditures</w:t>
            </w:r>
          </w:p>
        </w:tc>
        <w:tc>
          <w:tcPr>
            <w:tcW w:w="16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D9C596"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Revenues</w:t>
            </w:r>
          </w:p>
        </w:tc>
        <w:tc>
          <w:tcPr>
            <w:tcW w:w="19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7DD718"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Surplus / Deficit</w:t>
            </w:r>
          </w:p>
        </w:tc>
      </w:tr>
      <w:tr w:rsidR="00AD7E45" w14:paraId="1035E034" w14:textId="77777777" w:rsidTr="00AD7E45">
        <w:trPr>
          <w:jc w:val="center"/>
        </w:trPr>
        <w:tc>
          <w:tcPr>
            <w:tcW w:w="151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5C66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2025</w:t>
            </w:r>
          </w:p>
        </w:tc>
        <w:tc>
          <w:tcPr>
            <w:tcW w:w="16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897B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$53,774,044</w:t>
            </w:r>
          </w:p>
        </w:tc>
        <w:tc>
          <w:tcPr>
            <w:tcW w:w="16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1E3F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$51,696,979</w:t>
            </w:r>
          </w:p>
        </w:tc>
        <w:tc>
          <w:tcPr>
            <w:tcW w:w="1951" w:type="dxa"/>
            <w:tcBorders>
              <w:top w:val="single" w:sz="12" w:space="0" w:color="666666"/>
              <w:left w:val="none" w:sz="0" w:space="0" w:color="000000"/>
              <w:bottom w:val="none" w:sz="0" w:space="0" w:color="000000"/>
              <w:right w:val="none" w:sz="0" w:space="0" w:color="000000"/>
            </w:tcBorders>
            <w:shd w:val="clear" w:color="auto" w:fill="F6C6C6"/>
            <w:tcMar>
              <w:top w:w="0" w:type="dxa"/>
              <w:left w:w="0" w:type="dxa"/>
              <w:bottom w:w="0" w:type="dxa"/>
              <w:right w:w="0" w:type="dxa"/>
            </w:tcMar>
            <w:vAlign w:val="center"/>
          </w:tcPr>
          <w:p w14:paraId="3D340879"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$-2,077,065</w:t>
            </w:r>
          </w:p>
        </w:tc>
      </w:tr>
      <w:tr w:rsidR="00AD7E45" w14:paraId="6E4B873E"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6E0F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2024</w:t>
            </w:r>
          </w:p>
        </w:tc>
        <w:tc>
          <w:tcPr>
            <w:tcW w:w="1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2294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$52,373,313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704E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$52,123,574</w:t>
            </w:r>
          </w:p>
        </w:tc>
        <w:tc>
          <w:tcPr>
            <w:tcW w:w="1951" w:type="dxa"/>
            <w:tcBorders>
              <w:top w:val="none" w:sz="0" w:space="0" w:color="000000"/>
              <w:left w:val="none" w:sz="0" w:space="0" w:color="000000"/>
              <w:bottom w:val="none" w:sz="0" w:space="0" w:color="000000"/>
              <w:right w:val="none" w:sz="0" w:space="0" w:color="000000"/>
            </w:tcBorders>
            <w:shd w:val="clear" w:color="auto" w:fill="F6C6C6"/>
            <w:tcMar>
              <w:top w:w="0" w:type="dxa"/>
              <w:left w:w="0" w:type="dxa"/>
              <w:bottom w:w="0" w:type="dxa"/>
              <w:right w:w="0" w:type="dxa"/>
            </w:tcMar>
            <w:vAlign w:val="center"/>
          </w:tcPr>
          <w:p w14:paraId="4C54DA6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$-249,739</w:t>
            </w:r>
          </w:p>
        </w:tc>
      </w:tr>
      <w:tr w:rsidR="00AD7E45" w14:paraId="371FFA8B"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04FF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2023</w:t>
            </w:r>
          </w:p>
        </w:tc>
        <w:tc>
          <w:tcPr>
            <w:tcW w:w="1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83C59"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$42,751,143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0141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$51,041,921</w:t>
            </w:r>
          </w:p>
        </w:tc>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EEC6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$8,290,778</w:t>
            </w:r>
          </w:p>
        </w:tc>
      </w:tr>
      <w:tr w:rsidR="00AD7E45" w14:paraId="4D99EB7C"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B792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2022</w:t>
            </w:r>
          </w:p>
        </w:tc>
        <w:tc>
          <w:tcPr>
            <w:tcW w:w="1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3415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$40,799,328</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E18E6"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$50,279,362</w:t>
            </w:r>
          </w:p>
        </w:tc>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DD9D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$9,480,034</w:t>
            </w:r>
          </w:p>
        </w:tc>
      </w:tr>
      <w:tr w:rsidR="00AD7E45" w14:paraId="45446107"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BD59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2021</w:t>
            </w:r>
          </w:p>
        </w:tc>
        <w:tc>
          <w:tcPr>
            <w:tcW w:w="1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E61D2"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$39,112,429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B65D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$46,365,714</w:t>
            </w:r>
          </w:p>
        </w:tc>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EDDEA"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$7,253,285</w:t>
            </w:r>
          </w:p>
        </w:tc>
      </w:tr>
      <w:tr w:rsidR="00AD7E45" w14:paraId="5CBF6C01"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B2FA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2020</w:t>
            </w:r>
          </w:p>
        </w:tc>
        <w:tc>
          <w:tcPr>
            <w:tcW w:w="1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0A31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$40,293,805</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C850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$40,222,747</w:t>
            </w:r>
          </w:p>
        </w:tc>
        <w:tc>
          <w:tcPr>
            <w:tcW w:w="1951" w:type="dxa"/>
            <w:tcBorders>
              <w:top w:val="none" w:sz="0" w:space="0" w:color="000000"/>
              <w:left w:val="none" w:sz="0" w:space="0" w:color="000000"/>
              <w:bottom w:val="none" w:sz="0" w:space="0" w:color="000000"/>
              <w:right w:val="none" w:sz="0" w:space="0" w:color="000000"/>
            </w:tcBorders>
            <w:shd w:val="clear" w:color="auto" w:fill="F6C6C6"/>
            <w:tcMar>
              <w:top w:w="0" w:type="dxa"/>
              <w:left w:w="0" w:type="dxa"/>
              <w:bottom w:w="0" w:type="dxa"/>
              <w:right w:w="0" w:type="dxa"/>
            </w:tcMar>
            <w:vAlign w:val="center"/>
          </w:tcPr>
          <w:p w14:paraId="00F89D8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$-71,058</w:t>
            </w:r>
          </w:p>
        </w:tc>
      </w:tr>
      <w:tr w:rsidR="00AD7E45" w14:paraId="2FB31E1A" w14:textId="77777777" w:rsidTr="00AD7E45">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F42C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2019</w:t>
            </w:r>
          </w:p>
        </w:tc>
        <w:tc>
          <w:tcPr>
            <w:tcW w:w="1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223B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$41,531,860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0DF4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$41,388,598</w:t>
            </w:r>
          </w:p>
        </w:tc>
        <w:tc>
          <w:tcPr>
            <w:tcW w:w="1951" w:type="dxa"/>
            <w:tcBorders>
              <w:top w:val="none" w:sz="0" w:space="0" w:color="000000"/>
              <w:left w:val="none" w:sz="0" w:space="0" w:color="000000"/>
              <w:bottom w:val="none" w:sz="0" w:space="0" w:color="000000"/>
              <w:right w:val="none" w:sz="0" w:space="0" w:color="000000"/>
            </w:tcBorders>
            <w:shd w:val="clear" w:color="auto" w:fill="F6C6C6"/>
            <w:tcMar>
              <w:top w:w="0" w:type="dxa"/>
              <w:left w:w="0" w:type="dxa"/>
              <w:bottom w:w="0" w:type="dxa"/>
              <w:right w:w="0" w:type="dxa"/>
            </w:tcMar>
            <w:vAlign w:val="center"/>
          </w:tcPr>
          <w:p w14:paraId="1A72585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$-143,262</w:t>
            </w:r>
          </w:p>
        </w:tc>
      </w:tr>
      <w:tr w:rsidR="00AD7E45" w14:paraId="0C1644EB" w14:textId="77777777" w:rsidTr="00AD7E45">
        <w:trPr>
          <w:jc w:val="center"/>
        </w:trPr>
        <w:tc>
          <w:tcPr>
            <w:tcW w:w="15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969CE5"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2018</w:t>
            </w:r>
          </w:p>
        </w:tc>
        <w:tc>
          <w:tcPr>
            <w:tcW w:w="169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0DC1A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$37,121,413</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CBE46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$35,838,492</w:t>
            </w:r>
          </w:p>
        </w:tc>
        <w:tc>
          <w:tcPr>
            <w:tcW w:w="1951" w:type="dxa"/>
            <w:tcBorders>
              <w:top w:val="none" w:sz="0" w:space="0" w:color="000000"/>
              <w:left w:val="none" w:sz="0" w:space="0" w:color="000000"/>
              <w:bottom w:val="single" w:sz="12" w:space="0" w:color="666666"/>
              <w:right w:val="none" w:sz="0" w:space="0" w:color="000000"/>
            </w:tcBorders>
            <w:shd w:val="clear" w:color="auto" w:fill="F6C6C6"/>
            <w:tcMar>
              <w:top w:w="0" w:type="dxa"/>
              <w:left w:w="0" w:type="dxa"/>
              <w:bottom w:w="0" w:type="dxa"/>
              <w:right w:w="0" w:type="dxa"/>
            </w:tcMar>
            <w:vAlign w:val="center"/>
          </w:tcPr>
          <w:p w14:paraId="5907676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$-1,282,921</w:t>
            </w:r>
          </w:p>
        </w:tc>
      </w:tr>
      <w:tr w:rsidR="00AD7E45" w14:paraId="4140252B" w14:textId="77777777" w:rsidTr="00AD7E45">
        <w:trPr>
          <w:jc w:val="center"/>
        </w:trPr>
        <w:tc>
          <w:tcPr>
            <w:tcW w:w="6791" w:type="dxa"/>
            <w:gridSpan w:val="4"/>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D5E99D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Source: El Cerrito Composite Budget File</w:t>
            </w:r>
          </w:p>
        </w:tc>
      </w:tr>
    </w:tbl>
    <w:p w14:paraId="54DEC394" w14:textId="77777777" w:rsidR="00AD7E45" w:rsidRDefault="00000000">
      <w:r>
        <w:br w:type="page"/>
      </w:r>
    </w:p>
    <w:p w14:paraId="0101E042" w14:textId="77777777" w:rsidR="00AD7E45" w:rsidRDefault="00000000">
      <w:pPr>
        <w:pStyle w:val="BodyText"/>
      </w:pPr>
      <w:r>
        <w:lastRenderedPageBreak/>
        <w:t>Except for the Covid years, General Fund Spend often exceeds General Fund Revenues.</w:t>
      </w:r>
    </w:p>
    <w:p w14:paraId="4004EF23" w14:textId="77777777" w:rsidR="00AD7E45" w:rsidRDefault="00000000">
      <w:pPr>
        <w:pStyle w:val="BodyText"/>
      </w:pPr>
      <w:r>
        <w:rPr>
          <w:noProof/>
        </w:rPr>
        <w:drawing>
          <wp:inline distT="0" distB="0" distL="0" distR="0" wp14:anchorId="1075F2B7" wp14:editId="17ED1F2A">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EC-Budget-Analysis-20250715_files/figure-docx/chart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856DD2C" w14:textId="77777777" w:rsidR="00AD7E45" w:rsidRDefault="00000000">
      <w:r>
        <w:br w:type="page"/>
      </w:r>
    </w:p>
    <w:p w14:paraId="576F9C8D" w14:textId="77777777" w:rsidR="00AD7E45" w:rsidRDefault="00000000">
      <w:pPr>
        <w:pStyle w:val="BodyText"/>
      </w:pPr>
      <w:r>
        <w:lastRenderedPageBreak/>
        <w:t>Actual spending often exceeds initial budget projections</w:t>
      </w:r>
    </w:p>
    <w:p w14:paraId="6FD5B692" w14:textId="77777777" w:rsidR="00AD7E45" w:rsidRDefault="00000000">
      <w:pPr>
        <w:pStyle w:val="BodyText"/>
      </w:pPr>
      <w:r>
        <w:rPr>
          <w:noProof/>
        </w:rPr>
        <w:drawing>
          <wp:inline distT="0" distB="0" distL="0" distR="0" wp14:anchorId="7ED14913" wp14:editId="3DED4E4C">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EC-Budget-Analysis-20250715_files/figure-docx/chart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4C9E7B6" w14:textId="77777777" w:rsidR="00AD7E45" w:rsidRDefault="00000000">
      <w:r>
        <w:br w:type="page"/>
      </w:r>
    </w:p>
    <w:p w14:paraId="00CB27E2" w14:textId="77777777" w:rsidR="00AD7E45"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lastRenderedPageBreak/>
        <w:t>General Fund Expenditures – Actual vs Adopted</w:t>
      </w:r>
    </w:p>
    <w:tbl>
      <w:tblPr>
        <w:tblStyle w:val="Table"/>
        <w:tblW w:w="0" w:type="auto"/>
        <w:jc w:val="center"/>
        <w:tblLayout w:type="fixed"/>
        <w:tblLook w:val="0420" w:firstRow="1" w:lastRow="0" w:firstColumn="0" w:lastColumn="0" w:noHBand="0" w:noVBand="1"/>
      </w:tblPr>
      <w:tblGrid>
        <w:gridCol w:w="1475"/>
        <w:gridCol w:w="1585"/>
        <w:gridCol w:w="1511"/>
        <w:gridCol w:w="1634"/>
        <w:gridCol w:w="1634"/>
        <w:gridCol w:w="2037"/>
      </w:tblGrid>
      <w:tr w:rsidR="00AD7E45" w14:paraId="357F192C" w14:textId="77777777" w:rsidTr="00AD7E45">
        <w:trPr>
          <w:cnfStyle w:val="100000000000" w:firstRow="1" w:lastRow="0" w:firstColumn="0" w:lastColumn="0" w:oddVBand="0" w:evenVBand="0" w:oddHBand="0" w:evenHBand="0" w:firstRowFirstColumn="0" w:firstRowLastColumn="0" w:lastRowFirstColumn="0" w:lastRowLastColumn="0"/>
          <w:tblHeader/>
          <w:jc w:val="center"/>
        </w:trPr>
        <w:tc>
          <w:tcPr>
            <w:tcW w:w="147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C5B8D6"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Categories</w:t>
            </w:r>
          </w:p>
        </w:tc>
        <w:tc>
          <w:tcPr>
            <w:tcW w:w="158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5091E8"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Type</w:t>
            </w:r>
          </w:p>
        </w:tc>
        <w:tc>
          <w:tcPr>
            <w:tcW w:w="15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FA3E0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Fiscal Year</w:t>
            </w:r>
          </w:p>
        </w:tc>
        <w:tc>
          <w:tcPr>
            <w:tcW w:w="16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2B1C8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Adopted</w:t>
            </w:r>
          </w:p>
        </w:tc>
        <w:tc>
          <w:tcPr>
            <w:tcW w:w="16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F13D42"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Actual</w:t>
            </w:r>
          </w:p>
        </w:tc>
        <w:tc>
          <w:tcPr>
            <w:tcW w:w="20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C7CFE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Actual - Adopted</w:t>
            </w:r>
          </w:p>
        </w:tc>
      </w:tr>
      <w:tr w:rsidR="00AD7E45" w14:paraId="622197E1" w14:textId="77777777" w:rsidTr="00AD7E45">
        <w:trPr>
          <w:jc w:val="center"/>
        </w:trPr>
        <w:tc>
          <w:tcPr>
            <w:tcW w:w="147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5816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Total</w:t>
            </w:r>
          </w:p>
        </w:tc>
        <w:tc>
          <w:tcPr>
            <w:tcW w:w="158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327A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46769"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2025</w:t>
            </w:r>
          </w:p>
        </w:tc>
        <w:tc>
          <w:tcPr>
            <w:tcW w:w="16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0271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$51,352,492</w:t>
            </w:r>
          </w:p>
        </w:tc>
        <w:tc>
          <w:tcPr>
            <w:tcW w:w="16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9B36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$53,774,044</w:t>
            </w:r>
          </w:p>
        </w:tc>
        <w:tc>
          <w:tcPr>
            <w:tcW w:w="2037" w:type="dxa"/>
            <w:tcBorders>
              <w:top w:val="single" w:sz="12" w:space="0" w:color="666666"/>
              <w:left w:val="none" w:sz="0" w:space="0" w:color="000000"/>
              <w:bottom w:val="none" w:sz="0" w:space="0" w:color="000000"/>
              <w:right w:val="none" w:sz="0" w:space="0" w:color="000000"/>
            </w:tcBorders>
            <w:shd w:val="clear" w:color="auto" w:fill="F6C6C6"/>
            <w:tcMar>
              <w:top w:w="0" w:type="dxa"/>
              <w:left w:w="0" w:type="dxa"/>
              <w:bottom w:w="0" w:type="dxa"/>
              <w:right w:w="0" w:type="dxa"/>
            </w:tcMar>
            <w:vAlign w:val="center"/>
          </w:tcPr>
          <w:p w14:paraId="4453E915"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$2,421,552</w:t>
            </w:r>
          </w:p>
        </w:tc>
      </w:tr>
      <w:tr w:rsidR="00AD7E45" w14:paraId="7A2FF7E8" w14:textId="77777777" w:rsidTr="00AD7E45">
        <w:trPr>
          <w:jc w:val="center"/>
        </w:trPr>
        <w:tc>
          <w:tcPr>
            <w:tcW w:w="14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C76F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Total</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DC976"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68FE2"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A86A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$48,435,585</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D6FD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$52,373,313</w:t>
            </w:r>
          </w:p>
        </w:tc>
        <w:tc>
          <w:tcPr>
            <w:tcW w:w="2037" w:type="dxa"/>
            <w:tcBorders>
              <w:top w:val="none" w:sz="0" w:space="0" w:color="000000"/>
              <w:left w:val="none" w:sz="0" w:space="0" w:color="000000"/>
              <w:bottom w:val="none" w:sz="0" w:space="0" w:color="000000"/>
              <w:right w:val="none" w:sz="0" w:space="0" w:color="000000"/>
            </w:tcBorders>
            <w:shd w:val="clear" w:color="auto" w:fill="F6C6C6"/>
            <w:tcMar>
              <w:top w:w="0" w:type="dxa"/>
              <w:left w:w="0" w:type="dxa"/>
              <w:bottom w:w="0" w:type="dxa"/>
              <w:right w:w="0" w:type="dxa"/>
            </w:tcMar>
            <w:vAlign w:val="center"/>
          </w:tcPr>
          <w:p w14:paraId="63777E2A"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$3,937,728</w:t>
            </w:r>
          </w:p>
        </w:tc>
      </w:tr>
      <w:tr w:rsidR="00AD7E45" w14:paraId="22C9F237" w14:textId="77777777" w:rsidTr="00AD7E45">
        <w:trPr>
          <w:jc w:val="center"/>
        </w:trPr>
        <w:tc>
          <w:tcPr>
            <w:tcW w:w="14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679A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Total</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553E2"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FCDA2"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09319"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$44,865,113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7F85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$42,751,143</w:t>
            </w:r>
          </w:p>
        </w:tc>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F7F78"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$-2,113,970</w:t>
            </w:r>
          </w:p>
        </w:tc>
      </w:tr>
      <w:tr w:rsidR="00AD7E45" w14:paraId="3096BF0B" w14:textId="77777777" w:rsidTr="00AD7E45">
        <w:trPr>
          <w:jc w:val="center"/>
        </w:trPr>
        <w:tc>
          <w:tcPr>
            <w:tcW w:w="14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DF6B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Total</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F3A1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4CCF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6F6B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$39,924,879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2C68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$40,799,328</w:t>
            </w:r>
          </w:p>
        </w:tc>
        <w:tc>
          <w:tcPr>
            <w:tcW w:w="2037" w:type="dxa"/>
            <w:tcBorders>
              <w:top w:val="none" w:sz="0" w:space="0" w:color="000000"/>
              <w:left w:val="none" w:sz="0" w:space="0" w:color="000000"/>
              <w:bottom w:val="none" w:sz="0" w:space="0" w:color="000000"/>
              <w:right w:val="none" w:sz="0" w:space="0" w:color="000000"/>
            </w:tcBorders>
            <w:shd w:val="clear" w:color="auto" w:fill="F6C6C6"/>
            <w:tcMar>
              <w:top w:w="0" w:type="dxa"/>
              <w:left w:w="0" w:type="dxa"/>
              <w:bottom w:w="0" w:type="dxa"/>
              <w:right w:w="0" w:type="dxa"/>
            </w:tcMar>
            <w:vAlign w:val="center"/>
          </w:tcPr>
          <w:p w14:paraId="49572E4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$874,449</w:t>
            </w:r>
          </w:p>
        </w:tc>
      </w:tr>
      <w:tr w:rsidR="00AD7E45" w14:paraId="06FF5B5A" w14:textId="77777777" w:rsidTr="00AD7E45">
        <w:trPr>
          <w:jc w:val="center"/>
        </w:trPr>
        <w:tc>
          <w:tcPr>
            <w:tcW w:w="14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BE8C2"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Total</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D133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6524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E99C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$38,714,837</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F0F9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$39,112,429</w:t>
            </w:r>
          </w:p>
        </w:tc>
        <w:tc>
          <w:tcPr>
            <w:tcW w:w="2037" w:type="dxa"/>
            <w:tcBorders>
              <w:top w:val="none" w:sz="0" w:space="0" w:color="000000"/>
              <w:left w:val="none" w:sz="0" w:space="0" w:color="000000"/>
              <w:bottom w:val="none" w:sz="0" w:space="0" w:color="000000"/>
              <w:right w:val="none" w:sz="0" w:space="0" w:color="000000"/>
            </w:tcBorders>
            <w:shd w:val="clear" w:color="auto" w:fill="F6C6C6"/>
            <w:tcMar>
              <w:top w:w="0" w:type="dxa"/>
              <w:left w:w="0" w:type="dxa"/>
              <w:bottom w:w="0" w:type="dxa"/>
              <w:right w:w="0" w:type="dxa"/>
            </w:tcMar>
            <w:vAlign w:val="center"/>
          </w:tcPr>
          <w:p w14:paraId="1594C2B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$397,592</w:t>
            </w:r>
          </w:p>
        </w:tc>
      </w:tr>
      <w:tr w:rsidR="00AD7E45" w14:paraId="7E524C54" w14:textId="77777777" w:rsidTr="00AD7E45">
        <w:trPr>
          <w:jc w:val="center"/>
        </w:trPr>
        <w:tc>
          <w:tcPr>
            <w:tcW w:w="14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02FE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Total</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9E70A"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140B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CEE18"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$39,867,793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6F65A"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$40,293,805</w:t>
            </w:r>
          </w:p>
        </w:tc>
        <w:tc>
          <w:tcPr>
            <w:tcW w:w="2037" w:type="dxa"/>
            <w:tcBorders>
              <w:top w:val="none" w:sz="0" w:space="0" w:color="000000"/>
              <w:left w:val="none" w:sz="0" w:space="0" w:color="000000"/>
              <w:bottom w:val="none" w:sz="0" w:space="0" w:color="000000"/>
              <w:right w:val="none" w:sz="0" w:space="0" w:color="000000"/>
            </w:tcBorders>
            <w:shd w:val="clear" w:color="auto" w:fill="F6C6C6"/>
            <w:tcMar>
              <w:top w:w="0" w:type="dxa"/>
              <w:left w:w="0" w:type="dxa"/>
              <w:bottom w:w="0" w:type="dxa"/>
              <w:right w:w="0" w:type="dxa"/>
            </w:tcMar>
            <w:vAlign w:val="center"/>
          </w:tcPr>
          <w:p w14:paraId="584586D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$426,012</w:t>
            </w:r>
          </w:p>
        </w:tc>
      </w:tr>
      <w:tr w:rsidR="00AD7E45" w14:paraId="57E098D0" w14:textId="77777777" w:rsidTr="00AD7E45">
        <w:trPr>
          <w:jc w:val="center"/>
        </w:trPr>
        <w:tc>
          <w:tcPr>
            <w:tcW w:w="14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7202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Total</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8AEA9"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18255"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2019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1B0C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$37,709,317</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86B9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$41,531,860</w:t>
            </w:r>
          </w:p>
        </w:tc>
        <w:tc>
          <w:tcPr>
            <w:tcW w:w="2037" w:type="dxa"/>
            <w:tcBorders>
              <w:top w:val="none" w:sz="0" w:space="0" w:color="000000"/>
              <w:left w:val="none" w:sz="0" w:space="0" w:color="000000"/>
              <w:bottom w:val="none" w:sz="0" w:space="0" w:color="000000"/>
              <w:right w:val="none" w:sz="0" w:space="0" w:color="000000"/>
            </w:tcBorders>
            <w:shd w:val="clear" w:color="auto" w:fill="F6C6C6"/>
            <w:tcMar>
              <w:top w:w="0" w:type="dxa"/>
              <w:left w:w="0" w:type="dxa"/>
              <w:bottom w:w="0" w:type="dxa"/>
              <w:right w:w="0" w:type="dxa"/>
            </w:tcMar>
            <w:vAlign w:val="center"/>
          </w:tcPr>
          <w:p w14:paraId="7B250FE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$3,822,543</w:t>
            </w:r>
          </w:p>
        </w:tc>
      </w:tr>
      <w:tr w:rsidR="00AD7E45" w14:paraId="3127F226" w14:textId="77777777" w:rsidTr="00AD7E45">
        <w:trPr>
          <w:jc w:val="center"/>
        </w:trPr>
        <w:tc>
          <w:tcPr>
            <w:tcW w:w="147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5359D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Total</w:t>
            </w:r>
          </w:p>
        </w:tc>
        <w:tc>
          <w:tcPr>
            <w:tcW w:w="158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ABB8F2"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E2FC32"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2018</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F1F3A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$34,994,855</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1D910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$37,121,413</w:t>
            </w:r>
          </w:p>
        </w:tc>
        <w:tc>
          <w:tcPr>
            <w:tcW w:w="2037" w:type="dxa"/>
            <w:tcBorders>
              <w:top w:val="none" w:sz="0" w:space="0" w:color="000000"/>
              <w:left w:val="none" w:sz="0" w:space="0" w:color="000000"/>
              <w:bottom w:val="single" w:sz="12" w:space="0" w:color="666666"/>
              <w:right w:val="none" w:sz="0" w:space="0" w:color="000000"/>
            </w:tcBorders>
            <w:shd w:val="clear" w:color="auto" w:fill="F6C6C6"/>
            <w:tcMar>
              <w:top w:w="0" w:type="dxa"/>
              <w:left w:w="0" w:type="dxa"/>
              <w:bottom w:w="0" w:type="dxa"/>
              <w:right w:w="0" w:type="dxa"/>
            </w:tcMar>
            <w:vAlign w:val="center"/>
          </w:tcPr>
          <w:p w14:paraId="2C50C1C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$2,126,558</w:t>
            </w:r>
          </w:p>
        </w:tc>
      </w:tr>
      <w:tr w:rsidR="00AD7E45" w14:paraId="54743928" w14:textId="77777777" w:rsidTr="00AD7E45">
        <w:trPr>
          <w:jc w:val="center"/>
        </w:trPr>
        <w:tc>
          <w:tcPr>
            <w:tcW w:w="9876" w:type="dxa"/>
            <w:gridSpan w:val="6"/>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4816E6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Source: El Cerrito Composite Budget File</w:t>
            </w:r>
          </w:p>
        </w:tc>
      </w:tr>
    </w:tbl>
    <w:p w14:paraId="09C19D09" w14:textId="77777777" w:rsidR="00AD7E45" w:rsidRDefault="00000000">
      <w:r>
        <w:br w:type="page"/>
      </w:r>
    </w:p>
    <w:p w14:paraId="63B20C27" w14:textId="77777777" w:rsidR="00AD7E45" w:rsidRDefault="00000000">
      <w:pPr>
        <w:pStyle w:val="BodyText"/>
      </w:pPr>
      <w:r>
        <w:lastRenderedPageBreak/>
        <w:t>Often departments over spend the budget</w:t>
      </w:r>
    </w:p>
    <w:p w14:paraId="4089229D" w14:textId="77777777" w:rsidR="00AD7E45"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Department Expenditures – Actual vs Adopted</w:t>
      </w:r>
    </w:p>
    <w:tbl>
      <w:tblPr>
        <w:tblStyle w:val="Table"/>
        <w:tblW w:w="0" w:type="auto"/>
        <w:jc w:val="center"/>
        <w:tblLayout w:type="fixed"/>
        <w:tblLook w:val="0420" w:firstRow="1" w:lastRow="0" w:firstColumn="0" w:lastColumn="0" w:noHBand="0" w:noVBand="1"/>
      </w:tblPr>
      <w:tblGrid>
        <w:gridCol w:w="2881"/>
        <w:gridCol w:w="1585"/>
        <w:gridCol w:w="1511"/>
        <w:gridCol w:w="1634"/>
        <w:gridCol w:w="1634"/>
        <w:gridCol w:w="2037"/>
      </w:tblGrid>
      <w:tr w:rsidR="00AD7E45" w14:paraId="6557B36C" w14:textId="77777777" w:rsidTr="00AD7E45">
        <w:trPr>
          <w:cnfStyle w:val="100000000000" w:firstRow="1" w:lastRow="0" w:firstColumn="0" w:lastColumn="0" w:oddVBand="0" w:evenVBand="0" w:oddHBand="0" w:evenHBand="0" w:firstRowFirstColumn="0" w:firstRowLastColumn="0" w:lastRowFirstColumn="0" w:lastRowLastColumn="0"/>
          <w:tblHeader/>
          <w:jc w:val="center"/>
        </w:trPr>
        <w:tc>
          <w:tcPr>
            <w:tcW w:w="288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01B0D5"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Department</w:t>
            </w:r>
          </w:p>
        </w:tc>
        <w:tc>
          <w:tcPr>
            <w:tcW w:w="158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E9C66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Type</w:t>
            </w:r>
          </w:p>
        </w:tc>
        <w:tc>
          <w:tcPr>
            <w:tcW w:w="15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6C3966"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Fiscal Year</w:t>
            </w:r>
          </w:p>
        </w:tc>
        <w:tc>
          <w:tcPr>
            <w:tcW w:w="16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E2E6C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Adopted</w:t>
            </w:r>
          </w:p>
        </w:tc>
        <w:tc>
          <w:tcPr>
            <w:tcW w:w="16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BD442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Actual</w:t>
            </w:r>
          </w:p>
        </w:tc>
        <w:tc>
          <w:tcPr>
            <w:tcW w:w="20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EB70EA"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Actual - Adopted</w:t>
            </w:r>
          </w:p>
        </w:tc>
      </w:tr>
      <w:tr w:rsidR="00AD7E45" w14:paraId="14D4D5E1" w14:textId="77777777" w:rsidTr="00AD7E45">
        <w:trPr>
          <w:jc w:val="center"/>
        </w:trPr>
        <w:tc>
          <w:tcPr>
            <w:tcW w:w="288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B1E28"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Fire</w:t>
            </w:r>
          </w:p>
        </w:tc>
        <w:tc>
          <w:tcPr>
            <w:tcW w:w="158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0E24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4F66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2024</w:t>
            </w:r>
          </w:p>
        </w:tc>
        <w:tc>
          <w:tcPr>
            <w:tcW w:w="16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D09D5"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$14,432,355</w:t>
            </w:r>
          </w:p>
        </w:tc>
        <w:tc>
          <w:tcPr>
            <w:tcW w:w="16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F105E" w14:textId="77777777" w:rsidR="00AD7E45" w:rsidRDefault="00AD7E4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c>
          <w:tcPr>
            <w:tcW w:w="20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38D6A" w14:textId="77777777" w:rsidR="00AD7E45" w:rsidRDefault="00AD7E4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r>
      <w:tr w:rsidR="00AD7E45" w14:paraId="0EE71102"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DDF52"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Fire</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D2AA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AF92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61462"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$13,346,883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8AFB2"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$13,076,900</w:t>
            </w:r>
          </w:p>
        </w:tc>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90D1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$-269,983</w:t>
            </w:r>
          </w:p>
        </w:tc>
      </w:tr>
      <w:tr w:rsidR="00AD7E45" w14:paraId="3704A41D"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4264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Fire</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E8176"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960C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1EAF6"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$12,348,402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FBC35"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$12,894,300</w:t>
            </w:r>
          </w:p>
        </w:tc>
        <w:tc>
          <w:tcPr>
            <w:tcW w:w="2037" w:type="dxa"/>
            <w:tcBorders>
              <w:top w:val="none" w:sz="0" w:space="0" w:color="000000"/>
              <w:left w:val="none" w:sz="0" w:space="0" w:color="000000"/>
              <w:bottom w:val="none" w:sz="0" w:space="0" w:color="000000"/>
              <w:right w:val="none" w:sz="0" w:space="0" w:color="000000"/>
            </w:tcBorders>
            <w:shd w:val="clear" w:color="auto" w:fill="F6C6C6"/>
            <w:tcMar>
              <w:top w:w="0" w:type="dxa"/>
              <w:left w:w="0" w:type="dxa"/>
              <w:bottom w:w="0" w:type="dxa"/>
              <w:right w:w="0" w:type="dxa"/>
            </w:tcMar>
            <w:vAlign w:val="center"/>
          </w:tcPr>
          <w:p w14:paraId="4E83F2C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$545,898</w:t>
            </w:r>
          </w:p>
        </w:tc>
      </w:tr>
      <w:tr w:rsidR="00AD7E45" w14:paraId="7ED138DD"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8C9B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Fire</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07CB9"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DCB5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E34C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$11,645,813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A7E7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$12,168,376</w:t>
            </w:r>
          </w:p>
        </w:tc>
        <w:tc>
          <w:tcPr>
            <w:tcW w:w="2037" w:type="dxa"/>
            <w:tcBorders>
              <w:top w:val="none" w:sz="0" w:space="0" w:color="000000"/>
              <w:left w:val="none" w:sz="0" w:space="0" w:color="000000"/>
              <w:bottom w:val="none" w:sz="0" w:space="0" w:color="000000"/>
              <w:right w:val="none" w:sz="0" w:space="0" w:color="000000"/>
            </w:tcBorders>
            <w:shd w:val="clear" w:color="auto" w:fill="F6C6C6"/>
            <w:tcMar>
              <w:top w:w="0" w:type="dxa"/>
              <w:left w:w="0" w:type="dxa"/>
              <w:bottom w:w="0" w:type="dxa"/>
              <w:right w:w="0" w:type="dxa"/>
            </w:tcMar>
            <w:vAlign w:val="center"/>
          </w:tcPr>
          <w:p w14:paraId="19C3925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$522,563</w:t>
            </w:r>
          </w:p>
        </w:tc>
      </w:tr>
      <w:tr w:rsidR="00AD7E45" w14:paraId="62DCED14"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F77C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Fire</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248E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2E629"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4877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$10,603,579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EA306"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$11,182,414</w:t>
            </w:r>
          </w:p>
        </w:tc>
        <w:tc>
          <w:tcPr>
            <w:tcW w:w="2037" w:type="dxa"/>
            <w:tcBorders>
              <w:top w:val="none" w:sz="0" w:space="0" w:color="000000"/>
              <w:left w:val="none" w:sz="0" w:space="0" w:color="000000"/>
              <w:bottom w:val="none" w:sz="0" w:space="0" w:color="000000"/>
              <w:right w:val="none" w:sz="0" w:space="0" w:color="000000"/>
            </w:tcBorders>
            <w:shd w:val="clear" w:color="auto" w:fill="F6C6C6"/>
            <w:tcMar>
              <w:top w:w="0" w:type="dxa"/>
              <w:left w:w="0" w:type="dxa"/>
              <w:bottom w:w="0" w:type="dxa"/>
              <w:right w:w="0" w:type="dxa"/>
            </w:tcMar>
            <w:vAlign w:val="center"/>
          </w:tcPr>
          <w:p w14:paraId="2220E42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$578,835</w:t>
            </w:r>
          </w:p>
        </w:tc>
      </w:tr>
      <w:tr w:rsidR="00AD7E45" w14:paraId="357D2184"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FF45A"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Fire</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E0399"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CFBC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2019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4743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$10,033,073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B10C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$11,169,593</w:t>
            </w:r>
          </w:p>
        </w:tc>
        <w:tc>
          <w:tcPr>
            <w:tcW w:w="2037" w:type="dxa"/>
            <w:tcBorders>
              <w:top w:val="none" w:sz="0" w:space="0" w:color="000000"/>
              <w:left w:val="none" w:sz="0" w:space="0" w:color="000000"/>
              <w:bottom w:val="none" w:sz="0" w:space="0" w:color="000000"/>
              <w:right w:val="none" w:sz="0" w:space="0" w:color="000000"/>
            </w:tcBorders>
            <w:shd w:val="clear" w:color="auto" w:fill="F6C6C6"/>
            <w:tcMar>
              <w:top w:w="0" w:type="dxa"/>
              <w:left w:w="0" w:type="dxa"/>
              <w:bottom w:w="0" w:type="dxa"/>
              <w:right w:w="0" w:type="dxa"/>
            </w:tcMar>
            <w:vAlign w:val="center"/>
          </w:tcPr>
          <w:p w14:paraId="3EF0C332"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$1,136,520</w:t>
            </w:r>
          </w:p>
        </w:tc>
      </w:tr>
      <w:tr w:rsidR="00AD7E45" w14:paraId="41368112"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BA25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Fire</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EBD5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28A2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2018</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9A718"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$8,706,968</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C29C6"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$10,185,602</w:t>
            </w:r>
          </w:p>
        </w:tc>
        <w:tc>
          <w:tcPr>
            <w:tcW w:w="2037" w:type="dxa"/>
            <w:tcBorders>
              <w:top w:val="none" w:sz="0" w:space="0" w:color="000000"/>
              <w:left w:val="none" w:sz="0" w:space="0" w:color="000000"/>
              <w:bottom w:val="none" w:sz="0" w:space="0" w:color="000000"/>
              <w:right w:val="none" w:sz="0" w:space="0" w:color="000000"/>
            </w:tcBorders>
            <w:shd w:val="clear" w:color="auto" w:fill="F6C6C6"/>
            <w:tcMar>
              <w:top w:w="0" w:type="dxa"/>
              <w:left w:w="0" w:type="dxa"/>
              <w:bottom w:w="0" w:type="dxa"/>
              <w:right w:w="0" w:type="dxa"/>
            </w:tcMar>
            <w:vAlign w:val="center"/>
          </w:tcPr>
          <w:p w14:paraId="482B53B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$1,478,634</w:t>
            </w:r>
          </w:p>
        </w:tc>
      </w:tr>
      <w:tr w:rsidR="00AD7E45" w14:paraId="2073F8CB"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26C39"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Police</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EBAF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89EE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3FA4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$13,523,728</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535C8" w14:textId="77777777" w:rsidR="00AD7E45" w:rsidRDefault="00AD7E4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D1824" w14:textId="77777777" w:rsidR="00AD7E45" w:rsidRDefault="00AD7E4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r>
      <w:tr w:rsidR="00AD7E45" w14:paraId="39ADD6C3"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C43D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Police</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241A8"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D7B42"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E79C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$12,986,734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2A93A"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$11,689,437</w:t>
            </w:r>
          </w:p>
        </w:tc>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2D90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$-1,297,297</w:t>
            </w:r>
          </w:p>
        </w:tc>
      </w:tr>
      <w:tr w:rsidR="00AD7E45" w14:paraId="4EBD63D9"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4C729"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Police</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9655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0536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B753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$12,300,818</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DE26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$11,632,344</w:t>
            </w:r>
          </w:p>
        </w:tc>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2F928"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$-668,474</w:t>
            </w:r>
          </w:p>
        </w:tc>
      </w:tr>
      <w:tr w:rsidR="00AD7E45" w14:paraId="124B3C4A"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C6076"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Police</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D6689"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35D2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A6529"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$12,233,733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7994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$11,629,196</w:t>
            </w:r>
          </w:p>
        </w:tc>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F37C5"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$-604,537</w:t>
            </w:r>
          </w:p>
        </w:tc>
      </w:tr>
      <w:tr w:rsidR="00AD7E45" w14:paraId="1F07FC39"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48D7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Police</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3087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94E32"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9A32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$12,445,173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460CA"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$12,199,388</w:t>
            </w:r>
          </w:p>
        </w:tc>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1EE8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$-245,785</w:t>
            </w:r>
          </w:p>
        </w:tc>
      </w:tr>
      <w:tr w:rsidR="00AD7E45" w14:paraId="66E9325B"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3C80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Police</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CE27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9FFF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2019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CD0A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$11,842,037</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CE25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$12,067,113</w:t>
            </w:r>
          </w:p>
        </w:tc>
        <w:tc>
          <w:tcPr>
            <w:tcW w:w="2037" w:type="dxa"/>
            <w:tcBorders>
              <w:top w:val="none" w:sz="0" w:space="0" w:color="000000"/>
              <w:left w:val="none" w:sz="0" w:space="0" w:color="000000"/>
              <w:bottom w:val="none" w:sz="0" w:space="0" w:color="000000"/>
              <w:right w:val="none" w:sz="0" w:space="0" w:color="000000"/>
            </w:tcBorders>
            <w:shd w:val="clear" w:color="auto" w:fill="F6C6C6"/>
            <w:tcMar>
              <w:top w:w="0" w:type="dxa"/>
              <w:left w:w="0" w:type="dxa"/>
              <w:bottom w:w="0" w:type="dxa"/>
              <w:right w:w="0" w:type="dxa"/>
            </w:tcMar>
            <w:vAlign w:val="center"/>
          </w:tcPr>
          <w:p w14:paraId="7995123A"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$225,076</w:t>
            </w:r>
          </w:p>
        </w:tc>
      </w:tr>
      <w:tr w:rsidR="00AD7E45" w14:paraId="3913594D"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DAD7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Police</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58BD9"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2CBD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2018</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2BFF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$11,454,595</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A22F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$11,126,979</w:t>
            </w:r>
          </w:p>
        </w:tc>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B5FB5"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$-327,616</w:t>
            </w:r>
          </w:p>
        </w:tc>
      </w:tr>
      <w:tr w:rsidR="00AD7E45" w14:paraId="162806F7"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5C1C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Administration</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8C5B8"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5DB1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1EFF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$7,275,373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0D4CB" w14:textId="77777777" w:rsidR="00AD7E45" w:rsidRDefault="00AD7E4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02A69" w14:textId="77777777" w:rsidR="00AD7E45" w:rsidRDefault="00AD7E4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r>
      <w:tr w:rsidR="00AD7E45" w14:paraId="1E69B02D"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FFF49"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Administration</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146E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A967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A243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$4,973,867</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B866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$6,702,303</w:t>
            </w:r>
          </w:p>
        </w:tc>
        <w:tc>
          <w:tcPr>
            <w:tcW w:w="2037" w:type="dxa"/>
            <w:tcBorders>
              <w:top w:val="none" w:sz="0" w:space="0" w:color="000000"/>
              <w:left w:val="none" w:sz="0" w:space="0" w:color="000000"/>
              <w:bottom w:val="none" w:sz="0" w:space="0" w:color="000000"/>
              <w:right w:val="none" w:sz="0" w:space="0" w:color="000000"/>
            </w:tcBorders>
            <w:shd w:val="clear" w:color="auto" w:fill="F6C6C6"/>
            <w:tcMar>
              <w:top w:w="0" w:type="dxa"/>
              <w:left w:w="0" w:type="dxa"/>
              <w:bottom w:w="0" w:type="dxa"/>
              <w:right w:w="0" w:type="dxa"/>
            </w:tcMar>
            <w:vAlign w:val="center"/>
          </w:tcPr>
          <w:p w14:paraId="3FBF068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$1,728,436</w:t>
            </w:r>
          </w:p>
        </w:tc>
      </w:tr>
      <w:tr w:rsidR="00AD7E45" w14:paraId="1AAD45E7"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866F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Administration</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4046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9ACF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E9AB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$4,147,859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21D7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$5,915,479</w:t>
            </w:r>
          </w:p>
        </w:tc>
        <w:tc>
          <w:tcPr>
            <w:tcW w:w="2037" w:type="dxa"/>
            <w:tcBorders>
              <w:top w:val="none" w:sz="0" w:space="0" w:color="000000"/>
              <w:left w:val="none" w:sz="0" w:space="0" w:color="000000"/>
              <w:bottom w:val="none" w:sz="0" w:space="0" w:color="000000"/>
              <w:right w:val="none" w:sz="0" w:space="0" w:color="000000"/>
            </w:tcBorders>
            <w:shd w:val="clear" w:color="auto" w:fill="F6C6C6"/>
            <w:tcMar>
              <w:top w:w="0" w:type="dxa"/>
              <w:left w:w="0" w:type="dxa"/>
              <w:bottom w:w="0" w:type="dxa"/>
              <w:right w:w="0" w:type="dxa"/>
            </w:tcMar>
            <w:vAlign w:val="center"/>
          </w:tcPr>
          <w:p w14:paraId="714261C2"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$1,767,620</w:t>
            </w:r>
          </w:p>
        </w:tc>
      </w:tr>
      <w:tr w:rsidR="00AD7E45" w14:paraId="6FDFE272"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F78E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Administration</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CE79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C766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60C68"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$3,913,701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6A8DA"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$3,825,700</w:t>
            </w:r>
          </w:p>
        </w:tc>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8A07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$-88,001</w:t>
            </w:r>
          </w:p>
        </w:tc>
      </w:tr>
      <w:tr w:rsidR="00AD7E45" w14:paraId="421637DF"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F0F9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Administration</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7294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7F6B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FB2FA"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$4,133,852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1F02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$4,371,056</w:t>
            </w:r>
          </w:p>
        </w:tc>
        <w:tc>
          <w:tcPr>
            <w:tcW w:w="2037" w:type="dxa"/>
            <w:tcBorders>
              <w:top w:val="none" w:sz="0" w:space="0" w:color="000000"/>
              <w:left w:val="none" w:sz="0" w:space="0" w:color="000000"/>
              <w:bottom w:val="none" w:sz="0" w:space="0" w:color="000000"/>
              <w:right w:val="none" w:sz="0" w:space="0" w:color="000000"/>
            </w:tcBorders>
            <w:shd w:val="clear" w:color="auto" w:fill="F6C6C6"/>
            <w:tcMar>
              <w:top w:w="0" w:type="dxa"/>
              <w:left w:w="0" w:type="dxa"/>
              <w:bottom w:w="0" w:type="dxa"/>
              <w:right w:w="0" w:type="dxa"/>
            </w:tcMar>
            <w:vAlign w:val="center"/>
          </w:tcPr>
          <w:p w14:paraId="5EB7892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$237,204</w:t>
            </w:r>
          </w:p>
        </w:tc>
      </w:tr>
      <w:tr w:rsidR="00AD7E45" w14:paraId="70093EA3"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A4C8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Administration</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62A0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6888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2019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1BD1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$3,956,676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15309"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$4,405,258</w:t>
            </w:r>
          </w:p>
        </w:tc>
        <w:tc>
          <w:tcPr>
            <w:tcW w:w="2037" w:type="dxa"/>
            <w:tcBorders>
              <w:top w:val="none" w:sz="0" w:space="0" w:color="000000"/>
              <w:left w:val="none" w:sz="0" w:space="0" w:color="000000"/>
              <w:bottom w:val="none" w:sz="0" w:space="0" w:color="000000"/>
              <w:right w:val="none" w:sz="0" w:space="0" w:color="000000"/>
            </w:tcBorders>
            <w:shd w:val="clear" w:color="auto" w:fill="F6C6C6"/>
            <w:tcMar>
              <w:top w:w="0" w:type="dxa"/>
              <w:left w:w="0" w:type="dxa"/>
              <w:bottom w:w="0" w:type="dxa"/>
              <w:right w:w="0" w:type="dxa"/>
            </w:tcMar>
            <w:vAlign w:val="center"/>
          </w:tcPr>
          <w:p w14:paraId="074B550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$448,582</w:t>
            </w:r>
          </w:p>
        </w:tc>
      </w:tr>
      <w:tr w:rsidR="00AD7E45" w14:paraId="1FEB5FB1"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4D84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Administration</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A907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3CE5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2018</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F952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$3,424,643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ADAA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$3,990,748</w:t>
            </w:r>
          </w:p>
        </w:tc>
        <w:tc>
          <w:tcPr>
            <w:tcW w:w="2037" w:type="dxa"/>
            <w:tcBorders>
              <w:top w:val="none" w:sz="0" w:space="0" w:color="000000"/>
              <w:left w:val="none" w:sz="0" w:space="0" w:color="000000"/>
              <w:bottom w:val="none" w:sz="0" w:space="0" w:color="000000"/>
              <w:right w:val="none" w:sz="0" w:space="0" w:color="000000"/>
            </w:tcBorders>
            <w:shd w:val="clear" w:color="auto" w:fill="F6C6C6"/>
            <w:tcMar>
              <w:top w:w="0" w:type="dxa"/>
              <w:left w:w="0" w:type="dxa"/>
              <w:bottom w:w="0" w:type="dxa"/>
              <w:right w:w="0" w:type="dxa"/>
            </w:tcMar>
            <w:vAlign w:val="center"/>
          </w:tcPr>
          <w:p w14:paraId="54641E4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$566,105</w:t>
            </w:r>
          </w:p>
        </w:tc>
      </w:tr>
      <w:tr w:rsidR="00AD7E45" w14:paraId="69E5A903"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2DC79"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Recreation</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0D94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BA7D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3E94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$6,005,416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85B3F" w14:textId="77777777" w:rsidR="00AD7E45" w:rsidRDefault="00AD7E4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16AA8" w14:textId="77777777" w:rsidR="00AD7E45" w:rsidRDefault="00AD7E4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r>
      <w:tr w:rsidR="00AD7E45" w14:paraId="4EC8E0A8"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1CD3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Recreation</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A1A0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686F2"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3AF0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$5,553,392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F8E5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$5,157,900</w:t>
            </w:r>
          </w:p>
        </w:tc>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3985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$-395,492</w:t>
            </w:r>
          </w:p>
        </w:tc>
      </w:tr>
      <w:tr w:rsidR="00AD7E45" w14:paraId="4502391B"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F61B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Recreation</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3F39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56A8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3D7F6"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$4,475,719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0F74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$4,342,199</w:t>
            </w:r>
          </w:p>
        </w:tc>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BED0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$-133,520</w:t>
            </w:r>
          </w:p>
        </w:tc>
      </w:tr>
      <w:tr w:rsidR="00AD7E45" w14:paraId="4CFB0ACF"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5A6F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Recreation</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20EC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D5D4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05D9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$4,605,930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21EF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$3,827,511</w:t>
            </w:r>
          </w:p>
        </w:tc>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A2E9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$-778,419</w:t>
            </w:r>
          </w:p>
        </w:tc>
      </w:tr>
      <w:tr w:rsidR="00AD7E45" w14:paraId="41BC6D29"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A95D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lastRenderedPageBreak/>
              <w:t>Recreation</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44A5A"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53D5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EA92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$5,684,761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C8E7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$5,351,137</w:t>
            </w:r>
          </w:p>
        </w:tc>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16B4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$-333,624</w:t>
            </w:r>
          </w:p>
        </w:tc>
      </w:tr>
      <w:tr w:rsidR="00AD7E45" w14:paraId="5FFCC5F9"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4A1D9"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Recreation</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1E782"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B52C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2019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43D8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$5,399,356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8CFE2"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$5,794,027</w:t>
            </w:r>
          </w:p>
        </w:tc>
        <w:tc>
          <w:tcPr>
            <w:tcW w:w="2037" w:type="dxa"/>
            <w:tcBorders>
              <w:top w:val="none" w:sz="0" w:space="0" w:color="000000"/>
              <w:left w:val="none" w:sz="0" w:space="0" w:color="000000"/>
              <w:bottom w:val="none" w:sz="0" w:space="0" w:color="000000"/>
              <w:right w:val="none" w:sz="0" w:space="0" w:color="000000"/>
            </w:tcBorders>
            <w:shd w:val="clear" w:color="auto" w:fill="F6C6C6"/>
            <w:tcMar>
              <w:top w:w="0" w:type="dxa"/>
              <w:left w:w="0" w:type="dxa"/>
              <w:bottom w:w="0" w:type="dxa"/>
              <w:right w:w="0" w:type="dxa"/>
            </w:tcMar>
            <w:vAlign w:val="center"/>
          </w:tcPr>
          <w:p w14:paraId="16FC16A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$394,671</w:t>
            </w:r>
          </w:p>
        </w:tc>
      </w:tr>
      <w:tr w:rsidR="00AD7E45" w14:paraId="65D04349"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3D71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Recreation</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F944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92D0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2018</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25F2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$4,662,378</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A538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$5,238,715</w:t>
            </w:r>
          </w:p>
        </w:tc>
        <w:tc>
          <w:tcPr>
            <w:tcW w:w="2037" w:type="dxa"/>
            <w:tcBorders>
              <w:top w:val="none" w:sz="0" w:space="0" w:color="000000"/>
              <w:left w:val="none" w:sz="0" w:space="0" w:color="000000"/>
              <w:bottom w:val="none" w:sz="0" w:space="0" w:color="000000"/>
              <w:right w:val="none" w:sz="0" w:space="0" w:color="000000"/>
            </w:tcBorders>
            <w:shd w:val="clear" w:color="auto" w:fill="F6C6C6"/>
            <w:tcMar>
              <w:top w:w="0" w:type="dxa"/>
              <w:left w:w="0" w:type="dxa"/>
              <w:bottom w:w="0" w:type="dxa"/>
              <w:right w:w="0" w:type="dxa"/>
            </w:tcMar>
            <w:vAlign w:val="center"/>
          </w:tcPr>
          <w:p w14:paraId="75C370E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$576,337</w:t>
            </w:r>
          </w:p>
        </w:tc>
      </w:tr>
      <w:tr w:rsidR="00AD7E45" w14:paraId="038041C0"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225D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Public Works</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31056"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67B8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EA592"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$2,483,303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2813F" w14:textId="77777777" w:rsidR="00AD7E45" w:rsidRDefault="00AD7E4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511FE" w14:textId="77777777" w:rsidR="00AD7E45" w:rsidRDefault="00AD7E4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r>
      <w:tr w:rsidR="00AD7E45" w14:paraId="33EE3EE7"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71B9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Public Works</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B776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19A8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28954" w14:textId="77777777" w:rsidR="00AD7E45" w:rsidRDefault="00AD7E4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B5C9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$2,269,406</w:t>
            </w:r>
          </w:p>
        </w:tc>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CF20A" w14:textId="77777777" w:rsidR="00AD7E45" w:rsidRDefault="00AD7E4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r>
      <w:tr w:rsidR="00AD7E45" w14:paraId="4FA4931D"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FF28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Public Works</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7A08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6F89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BC20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$1,696,985</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036A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$1,903,618</w:t>
            </w:r>
          </w:p>
        </w:tc>
        <w:tc>
          <w:tcPr>
            <w:tcW w:w="2037" w:type="dxa"/>
            <w:tcBorders>
              <w:top w:val="none" w:sz="0" w:space="0" w:color="000000"/>
              <w:left w:val="none" w:sz="0" w:space="0" w:color="000000"/>
              <w:bottom w:val="none" w:sz="0" w:space="0" w:color="000000"/>
              <w:right w:val="none" w:sz="0" w:space="0" w:color="000000"/>
            </w:tcBorders>
            <w:shd w:val="clear" w:color="auto" w:fill="F6C6C6"/>
            <w:tcMar>
              <w:top w:w="0" w:type="dxa"/>
              <w:left w:w="0" w:type="dxa"/>
              <w:bottom w:w="0" w:type="dxa"/>
              <w:right w:w="0" w:type="dxa"/>
            </w:tcMar>
            <w:vAlign w:val="center"/>
          </w:tcPr>
          <w:p w14:paraId="691E6F66"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$206,633</w:t>
            </w:r>
          </w:p>
        </w:tc>
      </w:tr>
      <w:tr w:rsidR="00AD7E45" w14:paraId="22D1CB93"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CB16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Public Works</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F8009"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FA03A"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2AB7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$1,651,746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79D69" w14:textId="77777777" w:rsidR="00AD7E45" w:rsidRDefault="00AD7E4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EA80D" w14:textId="77777777" w:rsidR="00AD7E45" w:rsidRDefault="00AD7E4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r>
      <w:tr w:rsidR="00AD7E45" w14:paraId="1E65FE73"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B798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Public Works</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11F0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14A1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3D3F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$2,015,964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8218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$1,860,308</w:t>
            </w:r>
          </w:p>
        </w:tc>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BB7C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$-155,656</w:t>
            </w:r>
          </w:p>
        </w:tc>
      </w:tr>
      <w:tr w:rsidR="00AD7E45" w14:paraId="2B2517F4"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F3B3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Public Works</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0C5F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6712A"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2019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01E18"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$1,845,881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F3D49"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$1,975,854</w:t>
            </w:r>
          </w:p>
        </w:tc>
        <w:tc>
          <w:tcPr>
            <w:tcW w:w="2037" w:type="dxa"/>
            <w:tcBorders>
              <w:top w:val="none" w:sz="0" w:space="0" w:color="000000"/>
              <w:left w:val="none" w:sz="0" w:space="0" w:color="000000"/>
              <w:bottom w:val="none" w:sz="0" w:space="0" w:color="000000"/>
              <w:right w:val="none" w:sz="0" w:space="0" w:color="000000"/>
            </w:tcBorders>
            <w:shd w:val="clear" w:color="auto" w:fill="F6C6C6"/>
            <w:tcMar>
              <w:top w:w="0" w:type="dxa"/>
              <w:left w:w="0" w:type="dxa"/>
              <w:bottom w:w="0" w:type="dxa"/>
              <w:right w:w="0" w:type="dxa"/>
            </w:tcMar>
            <w:vAlign w:val="center"/>
          </w:tcPr>
          <w:p w14:paraId="7F3EE6B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$129,973</w:t>
            </w:r>
          </w:p>
        </w:tc>
      </w:tr>
      <w:tr w:rsidR="00AD7E45" w14:paraId="36B47D9B"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4A4A9"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Public Works</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DCA0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B3D5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2018</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CF63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$1,657,685</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D897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$2,162,216</w:t>
            </w:r>
          </w:p>
        </w:tc>
        <w:tc>
          <w:tcPr>
            <w:tcW w:w="2037" w:type="dxa"/>
            <w:tcBorders>
              <w:top w:val="none" w:sz="0" w:space="0" w:color="000000"/>
              <w:left w:val="none" w:sz="0" w:space="0" w:color="000000"/>
              <w:bottom w:val="none" w:sz="0" w:space="0" w:color="000000"/>
              <w:right w:val="none" w:sz="0" w:space="0" w:color="000000"/>
            </w:tcBorders>
            <w:shd w:val="clear" w:color="auto" w:fill="F6C6C6"/>
            <w:tcMar>
              <w:top w:w="0" w:type="dxa"/>
              <w:left w:w="0" w:type="dxa"/>
              <w:bottom w:w="0" w:type="dxa"/>
              <w:right w:w="0" w:type="dxa"/>
            </w:tcMar>
            <w:vAlign w:val="center"/>
          </w:tcPr>
          <w:p w14:paraId="5C40A2DA"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$504,531</w:t>
            </w:r>
          </w:p>
        </w:tc>
      </w:tr>
      <w:tr w:rsidR="00AD7E45" w14:paraId="168B58C6"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3792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Community Development</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C9355"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CF18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9C299"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$3,799,601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B2E2A" w14:textId="77777777" w:rsidR="00AD7E45" w:rsidRDefault="00AD7E4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6DF25" w14:textId="77777777" w:rsidR="00AD7E45" w:rsidRDefault="00AD7E4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r>
      <w:tr w:rsidR="00AD7E45" w14:paraId="26321712"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95E98"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Community Development</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EF60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1AB2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103D7" w14:textId="77777777" w:rsidR="00AD7E45" w:rsidRDefault="00AD7E4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D277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$3,057,584</w:t>
            </w:r>
          </w:p>
        </w:tc>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F202C" w14:textId="77777777" w:rsidR="00AD7E45" w:rsidRDefault="00AD7E4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r>
      <w:tr w:rsidR="00AD7E45" w14:paraId="2A550969"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BD445"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Community Development</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B46E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B5AE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BA4CA"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$2,548,257</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DB4C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$3,064,082</w:t>
            </w:r>
          </w:p>
        </w:tc>
        <w:tc>
          <w:tcPr>
            <w:tcW w:w="2037" w:type="dxa"/>
            <w:tcBorders>
              <w:top w:val="none" w:sz="0" w:space="0" w:color="000000"/>
              <w:left w:val="none" w:sz="0" w:space="0" w:color="000000"/>
              <w:bottom w:val="none" w:sz="0" w:space="0" w:color="000000"/>
              <w:right w:val="none" w:sz="0" w:space="0" w:color="000000"/>
            </w:tcBorders>
            <w:shd w:val="clear" w:color="auto" w:fill="F6C6C6"/>
            <w:tcMar>
              <w:top w:w="0" w:type="dxa"/>
              <w:left w:w="0" w:type="dxa"/>
              <w:bottom w:w="0" w:type="dxa"/>
              <w:right w:w="0" w:type="dxa"/>
            </w:tcMar>
            <w:vAlign w:val="center"/>
          </w:tcPr>
          <w:p w14:paraId="237DC0AA"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$515,825</w:t>
            </w:r>
          </w:p>
        </w:tc>
      </w:tr>
      <w:tr w:rsidR="00AD7E45" w14:paraId="0128E229"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6B7D8"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Community Development</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7A3D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68A0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9736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$2,477,605</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DEA60" w14:textId="77777777" w:rsidR="00AD7E45" w:rsidRDefault="00AD7E4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52D55" w14:textId="77777777" w:rsidR="00AD7E45" w:rsidRDefault="00AD7E4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p>
        </w:tc>
      </w:tr>
      <w:tr w:rsidR="00AD7E45" w14:paraId="1499B79B"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8EEE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Community Development</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2BE22"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500F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4026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$2,561,931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C824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$2,505,481</w:t>
            </w:r>
          </w:p>
        </w:tc>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FCB5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$-56,450</w:t>
            </w:r>
          </w:p>
        </w:tc>
      </w:tr>
      <w:tr w:rsidR="00AD7E45" w14:paraId="718745D3" w14:textId="77777777" w:rsidTr="00AD7E45">
        <w:trPr>
          <w:jc w:val="center"/>
        </w:trPr>
        <w:tc>
          <w:tcPr>
            <w:tcW w:w="28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582B5"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Community Development</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44BF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255D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2019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4B5A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$2,269,022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AE678"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$2,522,098</w:t>
            </w:r>
          </w:p>
        </w:tc>
        <w:tc>
          <w:tcPr>
            <w:tcW w:w="2037" w:type="dxa"/>
            <w:tcBorders>
              <w:top w:val="none" w:sz="0" w:space="0" w:color="000000"/>
              <w:left w:val="none" w:sz="0" w:space="0" w:color="000000"/>
              <w:bottom w:val="none" w:sz="0" w:space="0" w:color="000000"/>
              <w:right w:val="none" w:sz="0" w:space="0" w:color="000000"/>
            </w:tcBorders>
            <w:shd w:val="clear" w:color="auto" w:fill="F6C6C6"/>
            <w:tcMar>
              <w:top w:w="0" w:type="dxa"/>
              <w:left w:w="0" w:type="dxa"/>
              <w:bottom w:w="0" w:type="dxa"/>
              <w:right w:w="0" w:type="dxa"/>
            </w:tcMar>
            <w:vAlign w:val="center"/>
          </w:tcPr>
          <w:p w14:paraId="6038790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$253,076</w:t>
            </w:r>
          </w:p>
        </w:tc>
      </w:tr>
      <w:tr w:rsidR="00AD7E45" w14:paraId="530064FB" w14:textId="77777777" w:rsidTr="00AD7E45">
        <w:trPr>
          <w:jc w:val="center"/>
        </w:trPr>
        <w:tc>
          <w:tcPr>
            <w:tcW w:w="28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8E9268"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Community Development</w:t>
            </w:r>
          </w:p>
        </w:tc>
        <w:tc>
          <w:tcPr>
            <w:tcW w:w="158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938935"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Expenditure</w:t>
            </w:r>
          </w:p>
        </w:tc>
        <w:tc>
          <w:tcPr>
            <w:tcW w:w="15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037F9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2018</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4356D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$2,236,241</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6767C6"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$2,467,149</w:t>
            </w:r>
          </w:p>
        </w:tc>
        <w:tc>
          <w:tcPr>
            <w:tcW w:w="2037" w:type="dxa"/>
            <w:tcBorders>
              <w:top w:val="none" w:sz="0" w:space="0" w:color="000000"/>
              <w:left w:val="none" w:sz="0" w:space="0" w:color="000000"/>
              <w:bottom w:val="single" w:sz="12" w:space="0" w:color="666666"/>
              <w:right w:val="none" w:sz="0" w:space="0" w:color="000000"/>
            </w:tcBorders>
            <w:shd w:val="clear" w:color="auto" w:fill="F6C6C6"/>
            <w:tcMar>
              <w:top w:w="0" w:type="dxa"/>
              <w:left w:w="0" w:type="dxa"/>
              <w:bottom w:w="0" w:type="dxa"/>
              <w:right w:w="0" w:type="dxa"/>
            </w:tcMar>
            <w:vAlign w:val="center"/>
          </w:tcPr>
          <w:p w14:paraId="2104DF8A"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$230,908</w:t>
            </w:r>
          </w:p>
        </w:tc>
      </w:tr>
      <w:tr w:rsidR="00AD7E45" w14:paraId="0F2EC8D1" w14:textId="77777777" w:rsidTr="00AD7E45">
        <w:trPr>
          <w:jc w:val="center"/>
        </w:trPr>
        <w:tc>
          <w:tcPr>
            <w:tcW w:w="11282" w:type="dxa"/>
            <w:gridSpan w:val="6"/>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12EE5B2"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Source: El Cerrito Composite Budget File</w:t>
            </w:r>
          </w:p>
        </w:tc>
      </w:tr>
    </w:tbl>
    <w:p w14:paraId="10DAA3AA" w14:textId="77777777" w:rsidR="00AD7E45" w:rsidRDefault="00000000">
      <w:r>
        <w:br w:type="page"/>
      </w:r>
    </w:p>
    <w:p w14:paraId="2EC56AE7" w14:textId="77777777" w:rsidR="00AD7E45" w:rsidRDefault="00000000">
      <w:pPr>
        <w:pStyle w:val="BodyText"/>
      </w:pPr>
      <w:r>
        <w:rPr>
          <w:noProof/>
        </w:rPr>
        <w:lastRenderedPageBreak/>
        <w:drawing>
          <wp:inline distT="0" distB="0" distL="0" distR="0" wp14:anchorId="53E17EC4" wp14:editId="0CC91826">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EC-Budget-Analysis-20250715_files/figure-docx/chart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6A2F7F5" w14:textId="77777777" w:rsidR="00AD7E45" w:rsidRDefault="00000000">
      <w:r>
        <w:br w:type="page"/>
      </w:r>
    </w:p>
    <w:p w14:paraId="150F5C41" w14:textId="77777777" w:rsidR="00AD7E45" w:rsidRDefault="00000000">
      <w:pPr>
        <w:pStyle w:val="BodyText"/>
      </w:pPr>
      <w:r>
        <w:lastRenderedPageBreak/>
        <w:t>Actual General Fund Revenues often exceed the Adopted amount, but not enough to make up for the excessive spending.</w:t>
      </w:r>
    </w:p>
    <w:p w14:paraId="0952F2D2" w14:textId="77777777" w:rsidR="00AD7E45"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General Fund Revenues – Actual vs Adopted</w:t>
      </w:r>
    </w:p>
    <w:tbl>
      <w:tblPr>
        <w:tblStyle w:val="Table"/>
        <w:tblW w:w="0" w:type="auto"/>
        <w:jc w:val="center"/>
        <w:tblLayout w:type="fixed"/>
        <w:tblLook w:val="0420" w:firstRow="1" w:lastRow="0" w:firstColumn="0" w:lastColumn="0" w:noHBand="0" w:noVBand="1"/>
      </w:tblPr>
      <w:tblGrid>
        <w:gridCol w:w="1475"/>
        <w:gridCol w:w="1291"/>
        <w:gridCol w:w="1511"/>
        <w:gridCol w:w="1634"/>
        <w:gridCol w:w="1634"/>
      </w:tblGrid>
      <w:tr w:rsidR="00AD7E45" w14:paraId="0701FC4A" w14:textId="77777777" w:rsidTr="00AD7E45">
        <w:trPr>
          <w:cnfStyle w:val="100000000000" w:firstRow="1" w:lastRow="0" w:firstColumn="0" w:lastColumn="0" w:oddVBand="0" w:evenVBand="0" w:oddHBand="0" w:evenHBand="0" w:firstRowFirstColumn="0" w:firstRowLastColumn="0" w:lastRowFirstColumn="0" w:lastRowLastColumn="0"/>
          <w:tblHeader/>
          <w:jc w:val="center"/>
        </w:trPr>
        <w:tc>
          <w:tcPr>
            <w:tcW w:w="147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3A2786"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Categories</w:t>
            </w:r>
          </w:p>
        </w:tc>
        <w:tc>
          <w:tcPr>
            <w:tcW w:w="129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0B133A"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Type</w:t>
            </w:r>
          </w:p>
        </w:tc>
        <w:tc>
          <w:tcPr>
            <w:tcW w:w="15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ED5FDA"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Fiscal Year</w:t>
            </w:r>
          </w:p>
        </w:tc>
        <w:tc>
          <w:tcPr>
            <w:tcW w:w="16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83087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Adopted</w:t>
            </w:r>
          </w:p>
        </w:tc>
        <w:tc>
          <w:tcPr>
            <w:tcW w:w="16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E9522A"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Actual</w:t>
            </w:r>
          </w:p>
        </w:tc>
      </w:tr>
      <w:tr w:rsidR="00AD7E45" w14:paraId="6CD0FA04" w14:textId="77777777" w:rsidTr="00AD7E45">
        <w:trPr>
          <w:jc w:val="center"/>
        </w:trPr>
        <w:tc>
          <w:tcPr>
            <w:tcW w:w="147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84D1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Total</w:t>
            </w:r>
          </w:p>
        </w:tc>
        <w:tc>
          <w:tcPr>
            <w:tcW w:w="129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1692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Revenue</w:t>
            </w:r>
          </w:p>
        </w:tc>
        <w:tc>
          <w:tcPr>
            <w:tcW w:w="151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AFCD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2025</w:t>
            </w:r>
          </w:p>
        </w:tc>
        <w:tc>
          <w:tcPr>
            <w:tcW w:w="16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1B21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$51,386,444</w:t>
            </w:r>
          </w:p>
        </w:tc>
        <w:tc>
          <w:tcPr>
            <w:tcW w:w="16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935C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$51,696,979</w:t>
            </w:r>
          </w:p>
        </w:tc>
      </w:tr>
      <w:tr w:rsidR="00AD7E45" w14:paraId="16C579BE" w14:textId="77777777" w:rsidTr="00AD7E45">
        <w:trPr>
          <w:jc w:val="center"/>
        </w:trPr>
        <w:tc>
          <w:tcPr>
            <w:tcW w:w="14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46CC8"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Total</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DFBEA"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Revenue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60FE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C1CB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$48,528,763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609E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$52,123,574</w:t>
            </w:r>
          </w:p>
        </w:tc>
      </w:tr>
      <w:tr w:rsidR="00AD7E45" w14:paraId="5CF33D53" w14:textId="77777777" w:rsidTr="00AD7E45">
        <w:trPr>
          <w:jc w:val="center"/>
        </w:trPr>
        <w:tc>
          <w:tcPr>
            <w:tcW w:w="14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C3DA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Total</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6CC8C"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Revenue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1E144"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BAF57"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$46,368,874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27AF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$51,041,921</w:t>
            </w:r>
          </w:p>
        </w:tc>
      </w:tr>
      <w:tr w:rsidR="00AD7E45" w14:paraId="541D9A38" w14:textId="77777777" w:rsidTr="00AD7E45">
        <w:trPr>
          <w:jc w:val="center"/>
        </w:trPr>
        <w:tc>
          <w:tcPr>
            <w:tcW w:w="14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487D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Total</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B67F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Revenue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159E8"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302E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$40,402,247</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442A5"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$50,279,362</w:t>
            </w:r>
          </w:p>
        </w:tc>
      </w:tr>
      <w:tr w:rsidR="00AD7E45" w14:paraId="3E47DA4A" w14:textId="77777777" w:rsidTr="00AD7E45">
        <w:trPr>
          <w:jc w:val="center"/>
        </w:trPr>
        <w:tc>
          <w:tcPr>
            <w:tcW w:w="14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22DD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Total</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630C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Revenue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9422A"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C2E3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$39,377,869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679B5"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$46,365,714</w:t>
            </w:r>
          </w:p>
        </w:tc>
      </w:tr>
      <w:tr w:rsidR="00AD7E45" w14:paraId="7CB56B3A" w14:textId="77777777" w:rsidTr="00AD7E45">
        <w:trPr>
          <w:jc w:val="center"/>
        </w:trPr>
        <w:tc>
          <w:tcPr>
            <w:tcW w:w="14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E11F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Total</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301DA"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Revenue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ABD9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943CB"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$39,904,911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AA41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$40,222,747</w:t>
            </w:r>
          </w:p>
        </w:tc>
      </w:tr>
      <w:tr w:rsidR="00AD7E45" w14:paraId="079E3935" w14:textId="77777777" w:rsidTr="00AD7E45">
        <w:trPr>
          <w:jc w:val="center"/>
        </w:trPr>
        <w:tc>
          <w:tcPr>
            <w:tcW w:w="14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F99DD"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Total</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E8E9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Revenue</w:t>
            </w:r>
          </w:p>
        </w:tc>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253B6"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2019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240CF"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$37,770,371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D4149"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$41,388,598</w:t>
            </w:r>
          </w:p>
        </w:tc>
      </w:tr>
      <w:tr w:rsidR="00AD7E45" w14:paraId="77238115" w14:textId="77777777" w:rsidTr="00AD7E45">
        <w:trPr>
          <w:jc w:val="center"/>
        </w:trPr>
        <w:tc>
          <w:tcPr>
            <w:tcW w:w="147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0555C2"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Total</w:t>
            </w:r>
          </w:p>
        </w:tc>
        <w:tc>
          <w:tcPr>
            <w:tcW w:w="12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B7D375"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Revenue</w:t>
            </w:r>
          </w:p>
        </w:tc>
        <w:tc>
          <w:tcPr>
            <w:tcW w:w="15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38237E"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2018</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B67981"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$35,100,932</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6036D0"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$35,838,492</w:t>
            </w:r>
          </w:p>
        </w:tc>
      </w:tr>
      <w:tr w:rsidR="00AD7E45" w14:paraId="535271D2" w14:textId="77777777" w:rsidTr="00AD7E45">
        <w:trPr>
          <w:jc w:val="center"/>
        </w:trPr>
        <w:tc>
          <w:tcPr>
            <w:tcW w:w="7545" w:type="dxa"/>
            <w:gridSpan w:val="5"/>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81BF353" w14:textId="77777777" w:rsidR="00AD7E45"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Source: El Cerrito Composite Budget File</w:t>
            </w:r>
          </w:p>
        </w:tc>
      </w:tr>
    </w:tbl>
    <w:p w14:paraId="1CE567BF" w14:textId="77777777" w:rsidR="00AD7E45" w:rsidRDefault="00000000">
      <w:r>
        <w:br w:type="page"/>
      </w:r>
    </w:p>
    <w:p w14:paraId="27C9D7CA" w14:textId="77777777" w:rsidR="00AD7E45" w:rsidRDefault="00000000">
      <w:pPr>
        <w:pStyle w:val="BodyText"/>
      </w:pPr>
      <w:r>
        <w:lastRenderedPageBreak/>
        <w:t>The unassigned reserve amount is an important measure of fiscal health for a city. El Cerrito management predicts that this amount will be declining over the next decade even without many needed expenditures accounted for and also not accounting for the usually overly-optimistic CalPERS assumptions.</w:t>
      </w:r>
    </w:p>
    <w:p w14:paraId="05682C37" w14:textId="77777777" w:rsidR="00AD7E45" w:rsidRDefault="00000000">
      <w:pPr>
        <w:pStyle w:val="BodyText"/>
      </w:pPr>
      <w:r>
        <w:rPr>
          <w:noProof/>
        </w:rPr>
        <w:drawing>
          <wp:inline distT="0" distB="0" distL="0" distR="0" wp14:anchorId="19B00F59" wp14:editId="12497CE3">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EC-Budget-Analysis-20250715_files/figure-docx/unnamed-chunk-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874E691" w14:textId="77777777" w:rsidR="00AD7E45" w:rsidRDefault="00000000">
      <w:r>
        <w:br w:type="page"/>
      </w:r>
    </w:p>
    <w:p w14:paraId="07BDFF14" w14:textId="77777777" w:rsidR="00AD7E45" w:rsidRDefault="00000000">
      <w:pPr>
        <w:pStyle w:val="Heading2"/>
      </w:pPr>
      <w:bookmarkStart w:id="1" w:name="appendix"/>
      <w:bookmarkEnd w:id="0"/>
      <w:r>
        <w:lastRenderedPageBreak/>
        <w:t>Appendix</w:t>
      </w:r>
    </w:p>
    <w:p w14:paraId="1EEF50CC" w14:textId="77777777" w:rsidR="00AD7E45" w:rsidRDefault="00000000">
      <w:pPr>
        <w:pStyle w:val="Heading3"/>
      </w:pPr>
      <w:bookmarkStart w:id="2" w:name="audit-going-concern"/>
      <w:r>
        <w:t>2014 Audit: “Going Concern”</w:t>
      </w:r>
    </w:p>
    <w:p w14:paraId="5DFB743B" w14:textId="77777777" w:rsidR="00AD7E45" w:rsidRDefault="00000000">
      <w:pPr>
        <w:pStyle w:val="FirstParagraph"/>
      </w:pPr>
      <w:r>
        <w:t>On May 6, 2014, Lisa Malek-Zadeh, El Cerrito’s finance director issued a report in conjunction with the Comprehensive Annual Financial Report for 2013, which is the annual audit. She stated that unassigned fund balance was only sufficient to cover approximately 16 days of General Fund expenditures. However, this item was on the consent calendar. The council did not discuss the item. Placing important financial items on the consent calendar has occurred multiple times. The audit that was published in the spring 2020 was also placed on the consent calendar.</w:t>
      </w:r>
    </w:p>
    <w:p w14:paraId="12A6D846" w14:textId="77777777" w:rsidR="00AD7E45" w:rsidRDefault="00000000">
      <w:r>
        <w:br w:type="page"/>
      </w:r>
    </w:p>
    <w:p w14:paraId="25C3AAEE" w14:textId="77777777" w:rsidR="00AD7E45" w:rsidRDefault="00000000">
      <w:pPr>
        <w:pStyle w:val="BodyText"/>
      </w:pPr>
      <w:r>
        <w:lastRenderedPageBreak/>
        <w:t>Here is some general background on reserve issues as mentioned in the independent audits</w:t>
      </w:r>
    </w:p>
    <w:p w14:paraId="5E813A76" w14:textId="77777777" w:rsidR="00AD7E45" w:rsidRDefault="00000000">
      <w:pPr>
        <w:pStyle w:val="Heading3"/>
      </w:pPr>
      <w:bookmarkStart w:id="3" w:name="X0a1f6edc2d27c9668dfd4929c01a6fb4b90f20d"/>
      <w:bookmarkEnd w:id="2"/>
      <w:r>
        <w:t>Pre-2020: Consistent Underfunding of Reserves</w:t>
      </w:r>
    </w:p>
    <w:p w14:paraId="1EAC9E15" w14:textId="77777777" w:rsidR="00AD7E45" w:rsidRDefault="00000000">
      <w:pPr>
        <w:pStyle w:val="FirstParagraph"/>
      </w:pPr>
      <w:r>
        <w:t>From FY2017 through FY2019, El Cerrito’s General Fund reserve levels were consistently below the stated minimum policy level of 10% of General Fund expenditures. Reserve levels ranged between $200K and $400K, against minimum requirements of approximately $3.4M to $3.7M.</w:t>
      </w:r>
    </w:p>
    <w:p w14:paraId="5F393D9B" w14:textId="77777777" w:rsidR="00AD7E45" w:rsidRDefault="00000000">
      <w:pPr>
        <w:pStyle w:val="BodyText"/>
      </w:pPr>
      <w:r>
        <w:t>• FY2017: Reserve on p. 47, Expenditures on p. 111 (CAFR 2017) • FY2018: Reserve on p. 41, Expenditures on p. 107 (CAFR 2018) • FY2019: Reserve on p. 45, Expenditures on p. 117 (ACFR 2019) • FY2019: Going concern mentioned on p. 113</w:t>
      </w:r>
    </w:p>
    <w:p w14:paraId="31FD4311" w14:textId="77777777" w:rsidR="00AD7E45" w:rsidRDefault="00000000">
      <w:pPr>
        <w:pStyle w:val="Heading3"/>
      </w:pPr>
      <w:bookmarkStart w:id="4" w:name="Xed7f94608de19f85d4ba8b99e7a9db954da3f2a"/>
      <w:bookmarkEnd w:id="3"/>
      <w:r>
        <w:t>FY2020 Budget: Explicit Recognition of Reserve Deficiency</w:t>
      </w:r>
    </w:p>
    <w:p w14:paraId="5C02C242" w14:textId="77777777" w:rsidR="00AD7E45" w:rsidRDefault="00000000">
      <w:pPr>
        <w:pStyle w:val="FirstParagraph"/>
      </w:pPr>
      <w:r>
        <w:t>The FY2020 ACFR explicitly acknowledges a severe shortfall in General Fund reserves. As of June 30, 2020, reserves totaled $90K—only 0.25% of $36M in expenditures, far below the required 10% minimum. The reserve policy was formally stated this year.</w:t>
      </w:r>
    </w:p>
    <w:p w14:paraId="70E34B12" w14:textId="77777777" w:rsidR="00AD7E45" w:rsidRDefault="00000000">
      <w:pPr>
        <w:pStyle w:val="BodyText"/>
      </w:pPr>
      <w:r>
        <w:t>• FY2020: Reserve on p. 50, Policy on p. 50, Expenditures on p. 126 (ACFR 2020)</w:t>
      </w:r>
    </w:p>
    <w:p w14:paraId="5AC3DD5C" w14:textId="77777777" w:rsidR="00AD7E45" w:rsidRDefault="00000000">
      <w:r>
        <w:br w:type="page"/>
      </w:r>
    </w:p>
    <w:p w14:paraId="270FFAF3" w14:textId="77777777" w:rsidR="00AD7E45" w:rsidRDefault="00000000">
      <w:pPr>
        <w:pStyle w:val="Heading3"/>
      </w:pPr>
      <w:bookmarkStart w:id="5" w:name="Xe0820a0e74a329e4e05fcf8933d674c8e4aa767"/>
      <w:bookmarkEnd w:id="4"/>
      <w:r>
        <w:lastRenderedPageBreak/>
        <w:t>Unfunded Accrued Liability crowding out services and infrastructure repairs</w:t>
      </w:r>
    </w:p>
    <w:p w14:paraId="2B1AFEAA" w14:textId="77777777" w:rsidR="00AD7E45" w:rsidRDefault="00000000">
      <w:pPr>
        <w:pStyle w:val="FirstParagraph"/>
      </w:pPr>
      <w:r>
        <w:t>The first important service to be cut was the closing of the El Cerrito senior center. It is believed that El Cerrito is the only city in the area without a senior center. In the current budget (FY 2026), the council was unable to pay for a fire truck, fire safety equipment, fixing the swimming pool complex, repaving the Ohlone Greenway, repaving the roads, and many other needed infrastructures.</w:t>
      </w:r>
    </w:p>
    <w:p w14:paraId="45A8970D" w14:textId="77777777" w:rsidR="00AD7E45" w:rsidRDefault="00000000">
      <w:pPr>
        <w:pStyle w:val="BodyText"/>
      </w:pPr>
      <w:r>
        <w:t>Below is an account of how supporting the needs of seniors has been reduced as the pension liability payments grew.</w:t>
      </w:r>
    </w:p>
    <w:p w14:paraId="6FB798A6" w14:textId="77777777" w:rsidR="00AD7E45" w:rsidRDefault="00000000">
      <w:pPr>
        <w:pStyle w:val="BodyText"/>
      </w:pPr>
      <w:r>
        <w:t>Below are some quotes from previous budgets.</w:t>
      </w:r>
    </w:p>
    <w:p w14:paraId="71680AB8" w14:textId="77777777" w:rsidR="00AD7E45" w:rsidRDefault="00000000">
      <w:pPr>
        <w:pStyle w:val="BodyText"/>
      </w:pPr>
      <w:r>
        <w:rPr>
          <w:b/>
          <w:bCs/>
        </w:rPr>
        <w:t>FY 2010, page 5</w:t>
      </w:r>
      <w:r>
        <w:t xml:space="preserve"> Senior Center – With the recent purchase of the Tradeway Furniture Store property by the Redevelopment Agency, that site is viewed as a possible mixed use development opportunity for a new Senior Center, senior housing, and other uses as may be appropriate and economically viable. The largest remaining unfunded capital projects are the Public Safety building and new library. During the fiscal year, the City will be reaching out to its residents to better gauge their interest and support for possible funding for these two facilities.</w:t>
      </w:r>
    </w:p>
    <w:p w14:paraId="3F701CC5" w14:textId="77777777" w:rsidR="00AD7E45" w:rsidRDefault="00000000">
      <w:pPr>
        <w:pStyle w:val="BodyText"/>
      </w:pPr>
      <w:r>
        <w:rPr>
          <w:b/>
          <w:bCs/>
        </w:rPr>
        <w:t>2011, page 9</w:t>
      </w:r>
      <w:r>
        <w:t xml:space="preserve"> Planning will also continue on a future library and senior center as well as a plan for rebuilding the public safety building.</w:t>
      </w:r>
    </w:p>
    <w:p w14:paraId="4B0C8902" w14:textId="77777777" w:rsidR="00AD7E45" w:rsidRDefault="00000000">
      <w:pPr>
        <w:pStyle w:val="BodyText"/>
      </w:pPr>
      <w:r>
        <w:rPr>
          <w:b/>
          <w:bCs/>
        </w:rPr>
        <w:t>2012, Page 1</w:t>
      </w:r>
      <w:r>
        <w:t xml:space="preserve"> While service will remain high, the budget of the City remains very tight and minimal funds are available for continued re-investment in the City infrastructure (with the exception of streets). Most notably, parks and play fields, technology upgrades and aging facilities–Library, Public Safety building and Senior Center–require improvement but the funding is not available. Another area that requires attention is the General Plan. It has been more than a decade since the City reviewed and revised the General Plan to more accurately reflect the current conditions, priorities and vision for the City. Staff has identified a multi-year funding approach to make this much needed revision possible.</w:t>
      </w:r>
    </w:p>
    <w:p w14:paraId="3AF0EA98" w14:textId="77777777" w:rsidR="00AD7E45" w:rsidRDefault="00000000">
      <w:pPr>
        <w:pStyle w:val="BodyText"/>
      </w:pPr>
      <w:r>
        <w:rPr>
          <w:b/>
          <w:bCs/>
        </w:rPr>
        <w:t>2013, page 1</w:t>
      </w:r>
      <w:r>
        <w:t xml:space="preserve"> As described above, the highest priority for City staff is to maintain the high level of service that El Cerrito is known for, but the budget of the City remains very tight and few funds are available for continued re-investment in the City infrastructure (with the exception of streets). Most notably, parks and play fields and aging facilities such as the Library, Public Safety building and Senior Center require improvement but the funding has not yet been identified.</w:t>
      </w:r>
    </w:p>
    <w:p w14:paraId="47648D07" w14:textId="77777777" w:rsidR="00AD7E45" w:rsidRDefault="00000000">
      <w:pPr>
        <w:pStyle w:val="BodyText"/>
      </w:pPr>
      <w:r>
        <w:rPr>
          <w:b/>
          <w:bCs/>
        </w:rPr>
        <w:t>2014, Page 4</w:t>
      </w:r>
      <w:r>
        <w:t xml:space="preserve"> Develop &amp; Rehabilitate Public Facilities as Community Focal Points Unfortunately, this is an area in which we are lacking of late. After rebuilding our swim center and a new City Hall, there has been no identification of funding for new City facilities. In order to restart our efforts, staff has initiated a survey of residents on their opinions related to new facilities, including the public safety building, library, senior center and other recreational facilities in the City. This was a process similar to that which created our strategy to repair and replace our local streets.</w:t>
      </w:r>
    </w:p>
    <w:p w14:paraId="77832E24" w14:textId="77777777" w:rsidR="00AD7E45" w:rsidRDefault="00000000">
      <w:pPr>
        <w:pStyle w:val="BodyText"/>
      </w:pPr>
      <w:r>
        <w:rPr>
          <w:b/>
          <w:bCs/>
        </w:rPr>
        <w:lastRenderedPageBreak/>
        <w:t>2015–2016, Page 7</w:t>
      </w:r>
      <w:r>
        <w:t xml:space="preserve"> In preparing this letter, I reviewed budget letters from prior years, and was struck by the fiscal year 2007 budget letter, just eight years ago. In that letter I included such highlights as: The Redevelopment Agency is on very sound financial footing as the tax increment in the redevelopment area continues to increase significantly….bond proceeds will be used to reinvest in the infrastructure along San Pablo Avenue, assist businesses with building improvements and technical assistance, fund a new senior center and much of a new library</w:t>
      </w:r>
    </w:p>
    <w:p w14:paraId="7E8E0ACB" w14:textId="77777777" w:rsidR="00AD7E45" w:rsidRDefault="00000000">
      <w:pPr>
        <w:pStyle w:val="BodyText"/>
      </w:pPr>
      <w:r>
        <w:rPr>
          <w:b/>
          <w:bCs/>
        </w:rPr>
        <w:t>Page 10</w:t>
      </w:r>
      <w:r>
        <w:t xml:space="preserve"> OVERALL CHALLENGES Because El Cerrito has not yet recovered financially from the Great Recession, a number of challenges exist as we look towards the next two years, including: Attracting aging baby boomers to outdated, low functioning senior center</w:t>
      </w:r>
    </w:p>
    <w:p w14:paraId="2A41075B" w14:textId="77777777" w:rsidR="00AD7E45" w:rsidRDefault="00000000">
      <w:pPr>
        <w:pStyle w:val="BodyText"/>
      </w:pPr>
      <w:r>
        <w:rPr>
          <w:b/>
          <w:bCs/>
        </w:rPr>
        <w:t>2017–2018, Page 5</w:t>
      </w:r>
      <w:r>
        <w:t xml:space="preserve"> OVERALL CHALLENGES Attracting aging baby boomers to outdated, low functioning senior center</w:t>
      </w:r>
    </w:p>
    <w:p w14:paraId="1BC40068" w14:textId="77777777" w:rsidR="00AD7E45" w:rsidRDefault="00000000">
      <w:pPr>
        <w:pStyle w:val="BodyText"/>
      </w:pPr>
      <w:r>
        <w:rPr>
          <w:b/>
          <w:bCs/>
        </w:rPr>
        <w:t>2019–2020, Page 1</w:t>
      </w:r>
      <w:r>
        <w:t xml:space="preserve"> While our roads and certain facilities continue to be in very good condition, others, such as the senior center and public safety building, need to be rebuilt, and our club houses, playgrounds and parks need upgrading.</w:t>
      </w:r>
    </w:p>
    <w:p w14:paraId="49506129" w14:textId="77777777" w:rsidR="00AD7E45" w:rsidRDefault="00000000">
      <w:r>
        <w:br w:type="page"/>
      </w:r>
    </w:p>
    <w:p w14:paraId="2BAC3165" w14:textId="77777777" w:rsidR="00AD7E45" w:rsidRDefault="00000000">
      <w:pPr>
        <w:pStyle w:val="Heading2"/>
      </w:pPr>
      <w:bookmarkStart w:id="6" w:name="references"/>
      <w:bookmarkEnd w:id="1"/>
      <w:bookmarkEnd w:id="5"/>
      <w:r>
        <w:lastRenderedPageBreak/>
        <w:t>References</w:t>
      </w:r>
    </w:p>
    <w:p w14:paraId="07EFBED2" w14:textId="77777777" w:rsidR="00AD7E45" w:rsidRDefault="00000000">
      <w:pPr>
        <w:pStyle w:val="FirstParagraph"/>
      </w:pPr>
      <w:r>
        <w:t xml:space="preserve">Budgets: </w:t>
      </w:r>
      <w:hyperlink r:id="rId18">
        <w:r>
          <w:rPr>
            <w:rStyle w:val="Hyperlink"/>
          </w:rPr>
          <w:t>https://www.el-cerrito.org/Archive.aspx?AMID=73</w:t>
        </w:r>
      </w:hyperlink>
      <w:r>
        <w:br/>
        <w:t xml:space="preserve">Independent Audits: </w:t>
      </w:r>
      <w:hyperlink r:id="rId19">
        <w:r>
          <w:rPr>
            <w:rStyle w:val="Hyperlink"/>
          </w:rPr>
          <w:t>https://www.el-cerrito.org/Archive.aspx</w:t>
        </w:r>
      </w:hyperlink>
      <w:r>
        <w:br/>
        <w:t xml:space="preserve">State Auditor Report: </w:t>
      </w:r>
      <w:hyperlink r:id="rId20">
        <w:r>
          <w:rPr>
            <w:rStyle w:val="Hyperlink"/>
          </w:rPr>
          <w:t>https://information.auditor.ca.gov/reports/2020-803/summary.html</w:t>
        </w:r>
      </w:hyperlink>
      <w:r>
        <w:br/>
        <w:t xml:space="preserve">State Auditor Report: </w:t>
      </w:r>
      <w:hyperlink r:id="rId21">
        <w:r>
          <w:rPr>
            <w:rStyle w:val="Hyperlink"/>
          </w:rPr>
          <w:t>https://information.auditor.ca.gov/reports/2020-803/cap/index.html</w:t>
        </w:r>
      </w:hyperlink>
      <w:bookmarkEnd w:id="6"/>
    </w:p>
    <w:sectPr w:rsidR="00AD7E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1340C" w14:textId="77777777" w:rsidR="00553645" w:rsidRDefault="00553645">
      <w:pPr>
        <w:spacing w:after="0"/>
      </w:pPr>
      <w:r>
        <w:separator/>
      </w:r>
    </w:p>
  </w:endnote>
  <w:endnote w:type="continuationSeparator" w:id="0">
    <w:p w14:paraId="5A05231E" w14:textId="77777777" w:rsidR="00553645" w:rsidRDefault="005536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45038" w14:textId="77777777" w:rsidR="00553645" w:rsidRDefault="00553645">
      <w:r>
        <w:separator/>
      </w:r>
    </w:p>
  </w:footnote>
  <w:footnote w:type="continuationSeparator" w:id="0">
    <w:p w14:paraId="26294CAB" w14:textId="77777777" w:rsidR="00553645" w:rsidRDefault="005536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89C51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55117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E45"/>
    <w:rsid w:val="00270644"/>
    <w:rsid w:val="002B0803"/>
    <w:rsid w:val="00553645"/>
    <w:rsid w:val="00AD7E4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E1413"/>
  <w15:docId w15:val="{A87C3A87-C523-4464-9141-2CD3B0A05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el-cerrito.org/Archive.aspx?AMID=73" TargetMode="External"/><Relationship Id="rId3" Type="http://schemas.openxmlformats.org/officeDocument/2006/relationships/settings" Target="settings.xml"/><Relationship Id="rId21" Type="http://schemas.openxmlformats.org/officeDocument/2006/relationships/hyperlink" Target="https://information.auditor.ca.gov/reports/2020-803/cap/index.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information.auditor.ca.gov/reports/2020-803/summar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el-cerrito.org/Archive.asp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2596</Words>
  <Characters>14800</Characters>
  <Application>Microsoft Office Word</Application>
  <DocSecurity>0</DocSecurity>
  <Lines>123</Lines>
  <Paragraphs>34</Paragraphs>
  <ScaleCrop>false</ScaleCrop>
  <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El Cerrito’s Financial Crisis</dc:title>
  <dc:creator>Ira Sharenow</dc:creator>
  <cp:keywords/>
  <cp:lastModifiedBy>Ira Sharenow</cp:lastModifiedBy>
  <cp:revision>2</cp:revision>
  <dcterms:created xsi:type="dcterms:W3CDTF">2025-07-15T22:47:00Z</dcterms:created>
  <dcterms:modified xsi:type="dcterms:W3CDTF">2025-07-15T22:47:00Z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2025-07-15</vt:lpwstr>
  </property>
  <property fmtid="{D5CDD505-2E9C-101B-9397-08002B2CF9AE}" pid="3" name="output">
    <vt:lpwstr/>
  </property>
</Properties>
</file>