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12.xml" ContentType="application/vnd.openxmlformats-officedocument.wordprocessingml.footer+xml"/>
  <Override PartName="/word/footer14.xml" ContentType="application/vnd.openxmlformats-officedocument.wordprocessingml.footer+xml"/>
  <Override PartName="/word/footer16.xml" ContentType="application/vnd.openxmlformats-officedocument.wordprocessingml.footer+xml"/>
  <Override PartName="/word/footer18.xml" ContentType="application/vnd.openxmlformats-officedocument.wordprocessingml.footer+xml"/>
  <Override PartName="/word/footer20.xml" ContentType="application/vnd.openxmlformats-officedocument.wordprocessingml.footer+xml"/>
  <Override PartName="/word/footer22.xml" ContentType="application/vnd.openxmlformats-officedocument.wordprocessingml.footer+xml"/>
  <Override PartName="/word/footer24.xml" ContentType="application/vnd.openxmlformats-officedocument.wordprocessingml.footer+xml"/>
  <Override PartName="/word/footer26.xml" ContentType="application/vnd.openxmlformats-officedocument.wordprocessingml.footer+xml"/>
  <Override PartName="/word/footer28.xml" ContentType="application/vnd.openxmlformats-officedocument.wordprocessingml.footer+xml"/>
  <Override PartName="/word/footer30.xml" ContentType="application/vnd.openxmlformats-officedocument.wordprocessingml.footer+xml"/>
  <Override PartName="/word/footer32.xml" ContentType="application/vnd.openxmlformats-officedocument.wordprocessingml.footer+xml"/>
  <Override PartName="/word/footer35.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9.xml" ContentType="application/vnd.openxmlformats-officedocument.wordprocessingml.header+xml"/>
  <Override PartName="/word/header11.xml" ContentType="application/vnd.openxmlformats-officedocument.wordprocessingml.header+xml"/>
  <Override PartName="/word/header13.xml" ContentType="application/vnd.openxmlformats-officedocument.wordprocessingml.header+xml"/>
  <Override PartName="/word/header15.xml" ContentType="application/vnd.openxmlformats-officedocument.wordprocessingml.header+xml"/>
  <Override PartName="/word/header17.xml" ContentType="application/vnd.openxmlformats-officedocument.wordprocessingml.header+xml"/>
  <Override PartName="/word/header19.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5.xml" ContentType="application/vnd.openxmlformats-officedocument.wordprocessingml.header+xml"/>
  <Override PartName="/word/header27.xml" ContentType="application/vnd.openxmlformats-officedocument.wordprocessingml.header+xml"/>
  <Override PartName="/word/header29.xml" ContentType="application/vnd.openxmlformats-officedocument.wordprocessingml.header+xml"/>
  <Override PartName="/word/header31.xml" ContentType="application/vnd.openxmlformats-officedocument.wordprocessingml.header+xml"/>
  <Override PartName="/word/header34.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Style w:val="Heading2"/>
        <w:pBdr/>
        <w:spacing/>
        <w:rPr/>
      </w:pPr>
      <w:r>
        <w:rPr/>
        <w:t xml:space="preserve">Chapter 4.60</w:t>
      </w:r>
      <w:r>
        <w:rPr/>
        <w:t xml:space="preserve"> </w:t>
      </w:r>
      <w:r>
        <w:rPr/>
        <w:t xml:space="preserve">POTHOLE REPAIR AND LOCAL STREET IMPROVEMENT AND MAINTENANCE TRANSACTIONS AND USE TAX</w:t>
      </w:r>
    </w:p>
    <w:p>
      <w:pPr>
        <w:pStyle w:val="Block1"/>
        <w:pBdr/>
        <w:spacing/>
        <w:rPr/>
      </w:pPr>
      <w:r>
        <w:rPr>
          <w:b/>
        </w:rPr>
        <w:t xml:space="preserve">Sections:</w:t>
      </w:r>
    </w:p>
    <w:p>
      <w:pPr>
        <w:pBdr/>
        <w:spacing w:before="0" w:after="0"/>
        <w:rPr/>
        <w:sectPr>
          <w:headerReference w:type="default" r:id="rId1"/>
          <w:footerReference w:type="default" r:id="rId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4.60.010</w:t>
      </w:r>
      <w:r>
        <w:rPr/>
        <w:t xml:space="preserve"> </w:t>
      </w:r>
      <w:r>
        <w:rPr/>
        <w:t xml:space="preserve">Title.</w:t>
      </w:r>
    </w:p>
    <w:p>
      <w:pPr>
        <w:pStyle w:val="Paragraph1"/>
        <w:pBdr/>
        <w:spacing/>
        <w:rPr/>
      </w:pPr>
      <w:r>
        <w:rPr>
          <w:rStyle w:val="Paragraph1"/>
        </w:rPr>
        <w:t xml:space="preserve">This chapter shall be known as the "El Cerrito Pothole Repair and Local Street Improvement and Maintenance" transactions and use tax ordinance. The city of El Cerrito hereinafter shall be called "city." This chapter shall be applicable in the incorporated territory of the city. </w:t>
      </w:r>
    </w:p>
    <w:p>
      <w:pPr>
        <w:pStyle w:val="HistoryNote"/>
        <w:pBdr/>
        <w:spacing/>
        <w:rPr/>
      </w:pPr>
      <w:r>
        <w:rPr>
          <w:rStyle w:val="HistoryNote"/>
        </w:rPr>
        <w:t xml:space="preserve">(Ord. 2008-3 § 1 (part), 2008.)</w:t>
      </w:r>
    </w:p>
    <w:p>
      <w:pPr>
        <w:pBdr/>
        <w:spacing w:before="0" w:after="0"/>
        <w:rPr/>
        <w:sectPr>
          <w:headerReference w:type="default" r:id="rId3"/>
          <w:footerReference w:type="default" r:id="rId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4.60.020</w:t>
      </w:r>
      <w:r>
        <w:rPr/>
        <w:t xml:space="preserve"> </w:t>
      </w:r>
      <w:r>
        <w:rPr/>
        <w:t xml:space="preserve">Operative date.</w:t>
      </w:r>
    </w:p>
    <w:p>
      <w:pPr>
        <w:pStyle w:val="Paragraph1"/>
        <w:pBdr/>
        <w:spacing/>
        <w:rPr/>
      </w:pPr>
      <w:r>
        <w:rPr>
          <w:rStyle w:val="Paragraph1"/>
        </w:rPr>
        <w:t xml:space="preserve">"Operative date" means the first day of the first calendar quarter commencing more than one hundred ten days after the adoption of the ordinance codified in this chapter, the date of such adoption being as set forth below. </w:t>
      </w:r>
    </w:p>
    <w:p>
      <w:pPr>
        <w:pStyle w:val="HistoryNote"/>
        <w:pBdr/>
        <w:spacing/>
        <w:rPr/>
      </w:pPr>
      <w:r>
        <w:rPr>
          <w:rStyle w:val="HistoryNote"/>
        </w:rPr>
        <w:t xml:space="preserve">(Ord. 2008-3 § 1 (part), 2008.)</w:t>
      </w:r>
    </w:p>
    <w:p>
      <w:pPr>
        <w:pBdr/>
        <w:spacing w:before="0" w:after="0"/>
        <w:rPr/>
        <w:sectPr>
          <w:headerReference w:type="default" r:id="rId5"/>
          <w:footerReference w:type="default" r:id="rId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4.60.030</w:t>
      </w:r>
      <w:r>
        <w:rPr/>
        <w:t xml:space="preserve"> </w:t>
      </w:r>
      <w:r>
        <w:rPr/>
        <w:t xml:space="preserve">Purpose.</w:t>
      </w:r>
    </w:p>
    <w:p>
      <w:pPr>
        <w:pStyle w:val="Paragraph1"/>
        <w:pBdr/>
        <w:spacing/>
        <w:rPr/>
      </w:pPr>
      <w:r>
        <w:rPr>
          <w:rStyle w:val="Paragraph1"/>
        </w:rPr>
        <w:t xml:space="preserve">This chapter is adopted to achieve the following, among other purposes, and directs that the provisions hereof be interpreted in order to accomplish those purposes: </w:t>
      </w:r>
    </w:p>
    <w:p>
      <w:pPr>
        <w:pStyle w:val="List1"/>
        <w:pBdr/>
        <w:spacing/>
        <w:rPr/>
      </w:pPr>
      <w:r>
        <w:rPr/>
        <w:t xml:space="preserve">A.</w:t>
      </w:r>
      <w:r>
        <w:rPr/>
        <w:tab/>
        <w:t xml:space="preserve"/>
      </w:r>
      <w:r>
        <w:rPr/>
        <w:t xml:space="preserve">To impose a retail transactions and use tax in accordance with the provisions of Part 1.6 (commencing with Section 7251) of Division 2 of the Revenue and Taxation Code and Section 7285.91 of Part 1.7 of Division 2 which authorizes the city to adopt this tax ordinance which shall be operative if two-thirds of the electors voting on the measure vote to approve the imposition of the tax at an election called for that purpose. </w:t>
      </w:r>
    </w:p>
    <w:p>
      <w:pPr>
        <w:pStyle w:val="List1"/>
        <w:pBdr/>
        <w:spacing/>
        <w:rPr/>
      </w:pPr>
      <w:r>
        <w:rPr/>
        <w:t xml:space="preserve">B.</w:t>
      </w:r>
      <w:r>
        <w:rPr/>
        <w:tab/>
        <w:t xml:space="preserve"/>
      </w:r>
      <w:r>
        <w:rPr/>
        <w:t xml:space="preserve">To adopt a retail transactions and use tax ordinance that incorporates provisions identical to those of the Sales and Use Tax Law of the state of California insofar as those provisions are not inconsistent with the requirements and limitations contained in Part 1.6 of Division 2 of the Revenue and Taxation Code. </w:t>
      </w:r>
    </w:p>
    <w:p>
      <w:pPr>
        <w:pStyle w:val="List1"/>
        <w:pBdr/>
        <w:spacing/>
        <w:rPr/>
      </w:pPr>
      <w:r>
        <w:rPr/>
        <w:t xml:space="preserve">C.</w:t>
      </w:r>
      <w:r>
        <w:rPr/>
        <w:tab/>
        <w:t xml:space="preserve"/>
      </w:r>
      <w:r>
        <w:rPr/>
        <w:t xml:space="preserve">To adopt a retail transactions and use tax ordinance that imposes a tax and provides a measure therefore that can be administered and collected by the State Board of Equalization in a manner that adapts itself as fully as practicable to, and requires the least possible deviation from, the existing statutory and administrative procedures followed by the State Board of Equalization in administering and collecting the California State Sales and Use Taxes. </w:t>
      </w:r>
    </w:p>
    <w:p>
      <w:pPr>
        <w:pStyle w:val="List1"/>
        <w:pBdr/>
        <w:spacing/>
        <w:rPr/>
      </w:pPr>
      <w:r>
        <w:rPr/>
        <w:t xml:space="preserve">D.</w:t>
      </w:r>
      <w:r>
        <w:rPr/>
        <w:tab/>
        <w:t xml:space="preserve"/>
      </w:r>
      <w:r>
        <w:rPr/>
        <w:t xml:space="preserve">To adopt a retail transactions and use tax ordinance that can be administered in a manner that will be, to the greatest degree possible, consistent with the provisions of Part 1.6 of Division 2 of the Revenue and Taxation Code, minimize the cost of collecting the transactions and use taxes, and at the same time, minimize the burden of record keeping upon persons subject to taxation under the provisions of this chapter. </w:t>
      </w:r>
    </w:p>
    <w:p>
      <w:pPr>
        <w:pStyle w:val="HistoryNote"/>
        <w:pBdr/>
        <w:spacing/>
        <w:rPr/>
      </w:pPr>
      <w:r>
        <w:rPr>
          <w:rStyle w:val="HistoryNote"/>
        </w:rPr>
        <w:t xml:space="preserve">(Ord. 2008-3 § 1 (part), 2008.)</w:t>
      </w:r>
    </w:p>
    <w:p>
      <w:pPr>
        <w:pBdr/>
        <w:spacing w:before="0" w:after="0"/>
        <w:rPr/>
        <w:sectPr>
          <w:headerReference w:type="default" r:id="rId7"/>
          <w:footerReference w:type="default" r:id="rId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4.60.040</w:t>
      </w:r>
      <w:r>
        <w:rPr/>
        <w:t xml:space="preserve"> </w:t>
      </w:r>
      <w:r>
        <w:rPr/>
        <w:t xml:space="preserve">Contract with state.</w:t>
      </w:r>
    </w:p>
    <w:p>
      <w:pPr>
        <w:pStyle w:val="Paragraph1"/>
        <w:pBdr/>
        <w:spacing/>
        <w:rPr/>
      </w:pPr>
      <w:r>
        <w:rPr>
          <w:rStyle w:val="Paragraph1"/>
        </w:rPr>
        <w:t xml:space="preserve">Prior to the operative date, the city shall contract with the State Board of Equalization to perform all functions incident to the administration and operation of this transactions and use tax ordinance; provided, that if the city shall not have contracted with the State Board of Equalization prior to the operative date, it shall nevertheless so contract and in such a case the operative date shall be the first day of the first calendar quarter following the execution of such a contract. </w:t>
      </w:r>
    </w:p>
    <w:p>
      <w:pPr>
        <w:pStyle w:val="HistoryNote"/>
        <w:pBdr/>
        <w:spacing/>
        <w:rPr/>
      </w:pPr>
      <w:r>
        <w:rPr>
          <w:rStyle w:val="HistoryNote"/>
        </w:rPr>
        <w:t xml:space="preserve">(Ord. 2008-3 § 1 (part), 2008.)</w:t>
      </w:r>
    </w:p>
    <w:p>
      <w:pPr>
        <w:pBdr/>
        <w:spacing w:before="0" w:after="0"/>
        <w:rPr/>
        <w:sectPr>
          <w:headerReference w:type="default" r:id="rId9"/>
          <w:footerReference w:type="default" r:id="rId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4.60.050</w:t>
      </w:r>
      <w:r>
        <w:rPr/>
        <w:t xml:space="preserve"> </w:t>
      </w:r>
      <w:r>
        <w:rPr/>
        <w:t xml:space="preserve">Transactions tax rate.</w:t>
      </w:r>
    </w:p>
    <w:p>
      <w:pPr>
        <w:pStyle w:val="Paragraph1"/>
        <w:pBdr/>
        <w:spacing/>
        <w:rPr/>
      </w:pPr>
      <w:r>
        <w:rPr>
          <w:rStyle w:val="Paragraph1"/>
        </w:rPr>
        <w:t xml:space="preserve">For the privilege of selling tangible personal property at retail, a tax is hereby imposed upon all retailers in the incorporated territory of the city at the rate of 0.50% of the gross receipts of any retailer from the sale of all tangible personal property sold at retail in said territory on and after the operative date of the ordinance codified in this chapter. Such tax shall be in addition to any other transactions tax imposed by this code or applicable state law. </w:t>
      </w:r>
    </w:p>
    <w:p>
      <w:pPr>
        <w:pStyle w:val="HistoryNote"/>
        <w:pBdr/>
        <w:spacing/>
        <w:rPr/>
      </w:pPr>
      <w:r>
        <w:rPr>
          <w:rStyle w:val="HistoryNote"/>
        </w:rPr>
        <w:t xml:space="preserve">(Ord. 2008-3 § 1 (part), 2008.)</w:t>
      </w:r>
    </w:p>
    <w:p>
      <w:pPr>
        <w:pBdr/>
        <w:spacing w:before="0" w:after="0"/>
        <w:rPr/>
        <w:sectPr>
          <w:headerReference w:type="default" r:id="rId11"/>
          <w:footerReference w:type="default" r:id="rId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4.60.060</w:t>
      </w:r>
      <w:r>
        <w:rPr/>
        <w:t xml:space="preserve"> </w:t>
      </w:r>
      <w:r>
        <w:rPr/>
        <w:t xml:space="preserve">Place of sale.</w:t>
      </w:r>
    </w:p>
    <w:p>
      <w:pPr>
        <w:pStyle w:val="Paragraph1"/>
        <w:pBdr/>
        <w:spacing/>
        <w:rPr/>
      </w:pPr>
      <w:r>
        <w:rPr>
          <w:rStyle w:val="Paragraph1"/>
        </w:rPr>
        <w:t xml:space="preserve">For the purposes of this chapter, all retail sales are consummated at the place of business of the retailer unless the tangible personal property sold is delivered by the retailer or his or her agent to an out-of-state destination or to a common carrier for delivery to an out-of-state destination. The gross receipts from such sales shall include delivery charges, when such charges are subject to the state sales and use tax, regardless of the place to which delivery is made. In the event a retailer has no permanent place of business in the state or has more than one place of business, the place or places at which the retail sales are consummated shall be determined under rules and regulations to be prescribed and adopted by the State Board of Equalization. </w:t>
      </w:r>
    </w:p>
    <w:p>
      <w:pPr>
        <w:pStyle w:val="HistoryNote"/>
        <w:pBdr/>
        <w:spacing/>
        <w:rPr/>
      </w:pPr>
      <w:r>
        <w:rPr>
          <w:rStyle w:val="HistoryNote"/>
        </w:rPr>
        <w:t xml:space="preserve">(Ord. 2008-3 § 1 (part), 2008.)</w:t>
      </w:r>
    </w:p>
    <w:p>
      <w:pPr>
        <w:pBdr/>
        <w:spacing w:before="0" w:after="0"/>
        <w:rPr/>
        <w:sectPr>
          <w:headerReference w:type="default" r:id="rId13"/>
          <w:footerReference w:type="default" r:id="rId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4.60.070</w:t>
      </w:r>
      <w:r>
        <w:rPr/>
        <w:t xml:space="preserve"> </w:t>
      </w:r>
      <w:r>
        <w:rPr/>
        <w:t xml:space="preserve">Use tax rate.</w:t>
      </w:r>
    </w:p>
    <w:p>
      <w:pPr>
        <w:pStyle w:val="Paragraph1"/>
        <w:pBdr/>
        <w:spacing/>
        <w:rPr/>
      </w:pPr>
      <w:r>
        <w:rPr>
          <w:rStyle w:val="Paragraph1"/>
        </w:rPr>
        <w:t xml:space="preserve">An excise tax is hereby imposed on the storage, use or other consumption in the city of tangible personal property purchased from any retailer on and after the operative date of the ordinance codified in this chapter for storage, use or other consumption in said territory at the rate of 0.50% of the sales price of the property. The sales price shall include delivery charges when such charges are subject to state sales or use tax regardless of the place to which delivery is made. Such tax shall be in addition to any other use tax imposed by this code or applicable state law. </w:t>
      </w:r>
    </w:p>
    <w:p>
      <w:pPr>
        <w:pStyle w:val="HistoryNote"/>
        <w:pBdr/>
        <w:spacing/>
        <w:rPr/>
      </w:pPr>
      <w:r>
        <w:rPr>
          <w:rStyle w:val="HistoryNote"/>
        </w:rPr>
        <w:t xml:space="preserve">(Ord. 2008-3 § 1 (part), 2008.)</w:t>
      </w:r>
    </w:p>
    <w:p>
      <w:pPr>
        <w:pBdr/>
        <w:spacing w:before="0" w:after="0"/>
        <w:rPr/>
        <w:sectPr>
          <w:headerReference w:type="default" r:id="rId15"/>
          <w:footerReference w:type="default" r:id="rId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4.60.080</w:t>
      </w:r>
      <w:r>
        <w:rPr/>
        <w:t xml:space="preserve"> </w:t>
      </w:r>
      <w:r>
        <w:rPr/>
        <w:t xml:space="preserve">Adoption of provisions of state law.</w:t>
      </w:r>
    </w:p>
    <w:p>
      <w:pPr>
        <w:pStyle w:val="Paragraph1"/>
        <w:pBdr/>
        <w:spacing/>
        <w:rPr/>
      </w:pPr>
      <w:r>
        <w:rPr>
          <w:rStyle w:val="Paragraph1"/>
        </w:rPr>
        <w:t xml:space="preserve">Except as otherwise provided in this chapter and except insofar as they are inconsistent with the provisions of Part 1.6 of Division 2 of the Revenue and Taxation Code, all of the provisions of Part 1 (commencing with Section 6001) of Division 2 of the Revenue and Taxation Code are hereby adopted and made a part of this chapter as though fully set forth herein. </w:t>
      </w:r>
    </w:p>
    <w:p>
      <w:pPr>
        <w:pStyle w:val="HistoryNote"/>
        <w:pBdr/>
        <w:spacing/>
        <w:rPr/>
      </w:pPr>
      <w:r>
        <w:rPr>
          <w:rStyle w:val="HistoryNote"/>
        </w:rPr>
        <w:t xml:space="preserve">(Ord. 2008-3 § 1 (part), 2008.)</w:t>
      </w:r>
    </w:p>
    <w:p>
      <w:pPr>
        <w:pBdr/>
        <w:spacing w:before="0" w:after="0"/>
        <w:rPr/>
        <w:sectPr>
          <w:headerReference w:type="default" r:id="rId17"/>
          <w:footerReference w:type="default" r:id="rId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4.60.090</w:t>
      </w:r>
      <w:r>
        <w:rPr/>
        <w:t xml:space="preserve"> </w:t>
      </w:r>
      <w:r>
        <w:rPr/>
        <w:t xml:space="preserve">Limitations on adoption of state law and collection of use taxes.</w:t>
      </w:r>
    </w:p>
    <w:p>
      <w:pPr>
        <w:pStyle w:val="Paragraph1"/>
        <w:pBdr/>
        <w:spacing/>
        <w:rPr/>
      </w:pPr>
      <w:r>
        <w:rPr>
          <w:rStyle w:val="Paragraph1"/>
        </w:rPr>
        <w:t xml:space="preserve">In adopting the provisions of Part 1 of Division 2 of the Revenue and Taxation Code: </w:t>
      </w:r>
    </w:p>
    <w:p>
      <w:pPr>
        <w:pStyle w:val="List2"/>
        <w:pBdr/>
        <w:spacing/>
        <w:rPr/>
      </w:pPr>
      <w:r>
        <w:rPr/>
        <w:t xml:space="preserve">A.</w:t>
      </w:r>
      <w:r>
        <w:rPr/>
        <w:tab/>
        <w:t xml:space="preserve"/>
      </w:r>
      <w:r>
        <w:rPr/>
        <w:t xml:space="preserve">Wherever the state of California is named or referred to as the taxing agency, the name of this city shall be substituted therefore. However, the substitution shall not be made when: </w:t>
      </w:r>
    </w:p>
    <w:p>
      <w:pPr>
        <w:pStyle w:val="List3"/>
        <w:pBdr/>
        <w:spacing/>
        <w:rPr/>
      </w:pPr>
      <w:r>
        <w:rPr/>
        <w:t xml:space="preserve">1.</w:t>
      </w:r>
      <w:r>
        <w:rPr/>
        <w:tab/>
        <w:t xml:space="preserve"/>
      </w:r>
      <w:r>
        <w:rPr/>
        <w:t xml:space="preserve">The word "State" is used as a part of the title of the State Controller, State Treasurer, State Board of Control, State Board of Equalization, State Treasury, or the Constitution of the state of California; </w:t>
      </w:r>
    </w:p>
    <w:p>
      <w:pPr>
        <w:pStyle w:val="List3"/>
        <w:pBdr/>
        <w:spacing/>
        <w:rPr/>
      </w:pPr>
      <w:r>
        <w:rPr/>
        <w:t xml:space="preserve">2.</w:t>
      </w:r>
      <w:r>
        <w:rPr/>
        <w:tab/>
        <w:t xml:space="preserve"/>
      </w:r>
      <w:r>
        <w:rPr/>
        <w:t xml:space="preserve">The result of that substitution would require action to be taken by or against this city or any agency, officer, or employee thereof rather than by or against the State Board of Equalization, in performing the functions incident to the administration or operation of this chapter. </w:t>
      </w:r>
    </w:p>
    <w:p>
      <w:pPr>
        <w:pStyle w:val="List3"/>
        <w:pBdr/>
        <w:spacing/>
        <w:rPr/>
      </w:pPr>
      <w:r>
        <w:rPr/>
        <w:t xml:space="preserve">3.</w:t>
      </w:r>
      <w:r>
        <w:rPr/>
        <w:tab/>
        <w:t xml:space="preserve"/>
      </w:r>
      <w:r>
        <w:rPr/>
        <w:t xml:space="preserve">In those sections, including, but not necessarily limited to sections referring to the exterior boundaries of the state of California, where the result of the substitution would be to: </w:t>
      </w:r>
    </w:p>
    <w:p>
      <w:pPr>
        <w:pStyle w:val="List4"/>
        <w:pBdr/>
        <w:spacing/>
        <w:rPr/>
      </w:pPr>
      <w:r>
        <w:rPr/>
        <w:t xml:space="preserve">a.</w:t>
      </w:r>
      <w:r>
        <w:rPr/>
        <w:tab/>
        <w:t xml:space="preserve"/>
      </w:r>
      <w:r>
        <w:rPr/>
        <w:t xml:space="preserve">Provide an exemption from this tax with respect to certain sales, storage, use or other consumption of tangible personal property which would not otherwise be exempt from this tax while such sales, storage, use or other consumption remain subject to tax by the state under the provisions of Part 1 of Division 2 of the Revenue and Taxation Code; or </w:t>
      </w:r>
    </w:p>
    <w:p>
      <w:pPr>
        <w:pStyle w:val="List4"/>
        <w:pBdr/>
        <w:spacing/>
        <w:rPr/>
      </w:pPr>
      <w:r>
        <w:rPr/>
        <w:t xml:space="preserve">b.</w:t>
      </w:r>
      <w:r>
        <w:rPr/>
        <w:tab/>
        <w:t xml:space="preserve"/>
      </w:r>
      <w:r>
        <w:rPr/>
        <w:t xml:space="preserve">Impose this tax with respect to certain sales, storage, use or other consumption of tangible personal property which would not be subject to tax by the state under the said provision of that code. </w:t>
      </w:r>
    </w:p>
    <w:p>
      <w:pPr>
        <w:pStyle w:val="List3"/>
        <w:pBdr/>
        <w:spacing/>
        <w:rPr/>
      </w:pPr>
      <w:r>
        <w:rPr/>
        <w:t xml:space="preserve">4.</w:t>
      </w:r>
      <w:r>
        <w:rPr/>
        <w:tab/>
        <w:t xml:space="preserve"/>
      </w:r>
      <w:r>
        <w:rPr/>
        <w:t xml:space="preserve">In Sections 6701, 6702 (except in the last sentence thereof), 6711, 6715, 6737, 6797 or 6828 of the Revenue and Taxation Code. </w:t>
      </w:r>
    </w:p>
    <w:p>
      <w:pPr>
        <w:pStyle w:val="List2"/>
        <w:pBdr/>
        <w:spacing/>
        <w:rPr/>
      </w:pPr>
      <w:r>
        <w:rPr/>
        <w:t xml:space="preserve">B.</w:t>
      </w:r>
      <w:r>
        <w:rPr/>
        <w:tab/>
        <w:t xml:space="preserve"/>
      </w:r>
      <w:r>
        <w:rPr/>
        <w:t xml:space="preserve">The word "City" shall be substituted for the word "State" in the phrase "retailer engaged in business in this State" in Section 6203 and in the definition of that phrase in Section 6203. </w:t>
      </w:r>
    </w:p>
    <w:p>
      <w:pPr>
        <w:pStyle w:val="HistoryNote"/>
        <w:pBdr/>
        <w:spacing/>
        <w:rPr/>
      </w:pPr>
      <w:r>
        <w:rPr>
          <w:rStyle w:val="HistoryNote"/>
        </w:rPr>
        <w:t xml:space="preserve">(Ord. 2008-3 § 1 (part), 2008.)</w:t>
      </w:r>
    </w:p>
    <w:p>
      <w:pPr>
        <w:pBdr/>
        <w:spacing w:before="0" w:after="0"/>
        <w:rPr/>
        <w:sectPr>
          <w:headerReference w:type="default" r:id="rId19"/>
          <w:footerReference w:type="default" r:id="rId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4.60.100</w:t>
      </w:r>
      <w:r>
        <w:rPr/>
        <w:t xml:space="preserve"> </w:t>
      </w:r>
      <w:r>
        <w:rPr/>
        <w:t xml:space="preserve">Permit not required.</w:t>
      </w:r>
    </w:p>
    <w:p>
      <w:pPr>
        <w:pStyle w:val="Paragraph1"/>
        <w:pBdr/>
        <w:spacing/>
        <w:rPr/>
      </w:pPr>
      <w:r>
        <w:rPr>
          <w:rStyle w:val="Paragraph1"/>
        </w:rPr>
        <w:t xml:space="preserve">If a seller's permit has been issued to a retailer under Section 6067 of the Revenue and Taxation Code, an additional transactor's permit shall not be required by this chapter. </w:t>
      </w:r>
    </w:p>
    <w:p>
      <w:pPr>
        <w:pStyle w:val="HistoryNote"/>
        <w:pBdr/>
        <w:spacing/>
        <w:rPr/>
      </w:pPr>
      <w:r>
        <w:rPr>
          <w:rStyle w:val="HistoryNote"/>
        </w:rPr>
        <w:t xml:space="preserve">(Ord. 2008-3 § 1 (part), 2008.)</w:t>
      </w:r>
    </w:p>
    <w:p>
      <w:pPr>
        <w:pBdr/>
        <w:spacing w:before="0" w:after="0"/>
        <w:rPr/>
        <w:sectPr>
          <w:headerReference w:type="default" r:id="rId21"/>
          <w:footerReference w:type="default" r:id="rId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4.60.110</w:t>
      </w:r>
      <w:r>
        <w:rPr/>
        <w:t xml:space="preserve"> </w:t>
      </w:r>
      <w:r>
        <w:rPr/>
        <w:t xml:space="preserve">Exemptions and exclusions.</w:t>
      </w:r>
    </w:p>
    <w:p>
      <w:pPr>
        <w:pStyle w:val="List1"/>
        <w:pBdr/>
        <w:spacing/>
        <w:rPr/>
      </w:pPr>
      <w:r>
        <w:rPr/>
        <w:t xml:space="preserve">A.</w:t>
      </w:r>
      <w:r>
        <w:rPr/>
        <w:tab/>
        <w:t xml:space="preserve"/>
      </w:r>
      <w:r>
        <w:rPr/>
        <w:t xml:space="preserve">There shall be excluded from the measure of the transactions tax and the use tax the amount of any sales tax or use tax imposed by the state of California or by any city, city and county, or county pursuant to the Bradley-Burns Uniform Local Sales and Use Tax Law or the amount of any state-administered transactions or use tax. </w:t>
      </w:r>
    </w:p>
    <w:p>
      <w:pPr>
        <w:pStyle w:val="List1"/>
        <w:pBdr/>
        <w:spacing/>
        <w:rPr/>
      </w:pPr>
      <w:r>
        <w:rPr/>
        <w:t xml:space="preserve">B.</w:t>
      </w:r>
      <w:r>
        <w:rPr/>
        <w:tab/>
        <w:t xml:space="preserve"/>
      </w:r>
      <w:r>
        <w:rPr/>
        <w:t xml:space="preserve">There are exempted from the computation of the amount of transactions tax the gross receipts from: </w:t>
      </w:r>
    </w:p>
    <w:p>
      <w:pPr>
        <w:pStyle w:val="List2"/>
        <w:pBdr/>
        <w:spacing/>
        <w:rPr/>
      </w:pPr>
      <w:r>
        <w:rPr/>
        <w:t xml:space="preserve">1.</w:t>
      </w:r>
      <w:r>
        <w:rPr/>
        <w:tab/>
        <w:t xml:space="preserve"/>
      </w:r>
      <w:r>
        <w:rPr/>
        <w:t xml:space="preserve">Sales of tangible personal property, other than fuel or petroleum products, to operators of aircraft to be used or consumed principally outside the county in which the sale is made and directly and exclusively in the use of such aircraft as common carriers of persons or property under the authority of the laws of this state, the United States, or any foreign government. </w:t>
      </w:r>
    </w:p>
    <w:p>
      <w:pPr>
        <w:pStyle w:val="List2"/>
        <w:pBdr/>
        <w:spacing/>
        <w:rPr/>
      </w:pPr>
      <w:r>
        <w:rPr/>
        <w:t xml:space="preserve">2.</w:t>
      </w:r>
      <w:r>
        <w:rPr/>
        <w:tab/>
        <w:t xml:space="preserve"/>
      </w:r>
      <w:r>
        <w:rPr/>
        <w:t xml:space="preserve">Sales of property to be used outside the city which is shipped to a point outside the city, pursuant to the contract of sale, by delivery to such point by the retailer or his or her agent, or by delivery by the retailer to a carrier for shipment to a consignee at such point. For the purposes of this subsection, delivery to a point outside the city shall be satisfied: </w:t>
      </w:r>
    </w:p>
    <w:p>
      <w:pPr>
        <w:pStyle w:val="List3"/>
        <w:pBdr/>
        <w:spacing/>
        <w:rPr/>
      </w:pPr>
      <w:r>
        <w:rPr/>
        <w:t xml:space="preserve">a.</w:t>
      </w:r>
      <w:r>
        <w:rPr/>
        <w:tab/>
        <w:t xml:space="preserve"/>
      </w:r>
      <w:r>
        <w:rPr/>
        <w:t xml:space="preserve">With respect to vehicles (other than commercial vehicles) subject to registration pursuant to Chapter 1 (commencing with Section 4000) of Division 3 of the Vehicle Code, aircraft licensed in compliance with Section 21411 of the Public Utilities Code, and undocumented vessels registered under Division 3.5 (commencing with Section 9840) of the Vehicle Code by registration to an out-of-city address and by a declaration under penalty of perjury, signed by the buyer, stating that such address is, in fact, his or her principal place of residence; and </w:t>
      </w:r>
    </w:p>
    <w:p>
      <w:pPr>
        <w:pStyle w:val="List3"/>
        <w:pBdr/>
        <w:spacing/>
        <w:rPr/>
      </w:pPr>
      <w:r>
        <w:rPr/>
        <w:t xml:space="preserve">b.</w:t>
      </w:r>
      <w:r>
        <w:rPr/>
        <w:tab/>
        <w:t xml:space="preserve"/>
      </w:r>
      <w:r>
        <w:rPr/>
        <w:t xml:space="preserve">With respect to commercial vehicles, by registration to a place of business out-of-city and declaration under penalty of perjury, signed by the buyer, that the vehicle will be operated from that address. </w:t>
      </w:r>
    </w:p>
    <w:p>
      <w:pPr>
        <w:pStyle w:val="List2"/>
        <w:pBdr/>
        <w:spacing/>
        <w:rPr/>
      </w:pPr>
      <w:r>
        <w:rPr/>
        <w:t xml:space="preserve">3.</w:t>
      </w:r>
      <w:r>
        <w:rPr/>
        <w:tab/>
        <w:t xml:space="preserve"/>
      </w:r>
      <w:r>
        <w:rPr/>
        <w:t xml:space="preserve">The sale of tangible personal property if the seller is obligated to furnish the property for a fixed price pursuant to a contract entered into prior to the operative date of the ordinance codified in this chapter. </w:t>
      </w:r>
    </w:p>
    <w:p>
      <w:pPr>
        <w:pStyle w:val="List2"/>
        <w:pBdr/>
        <w:spacing/>
        <w:rPr/>
      </w:pPr>
      <w:r>
        <w:rPr/>
        <w:t xml:space="preserve">4.</w:t>
      </w:r>
      <w:r>
        <w:rPr/>
        <w:tab/>
        <w:t xml:space="preserve"/>
      </w:r>
      <w:r>
        <w:rPr/>
        <w:t xml:space="preserve">A lease of tangible personal property which is a continuing sale of such property, for any period of time for which the lessor is obligated to lease the property for an amount fixed by the lease prior to the operative date of the ordinance codified in this chapter. </w:t>
      </w:r>
    </w:p>
    <w:p>
      <w:pPr>
        <w:pStyle w:val="List2"/>
        <w:pBdr/>
        <w:spacing/>
        <w:rPr/>
      </w:pPr>
      <w:r>
        <w:rPr/>
        <w:t xml:space="preserve">5.</w:t>
      </w:r>
      <w:r>
        <w:rPr/>
        <w:tab/>
        <w:t xml:space="preserve"/>
      </w:r>
      <w:r>
        <w:rPr/>
        <w:t xml:space="preserve">For the purposes of subsections B3 and B4 of this section, the sale or lease of tangible personal property shall be deemed not to be obligated pursuant to a contract or lease for any period of time for which any party to the contract or lease has the unconditional right to terminate the contract or lease upon notice, whether or not such right is exercised. </w:t>
      </w:r>
    </w:p>
    <w:p>
      <w:pPr>
        <w:pStyle w:val="List1"/>
        <w:pBdr/>
        <w:spacing/>
        <w:rPr/>
      </w:pPr>
      <w:r>
        <w:rPr/>
        <w:t xml:space="preserve">C.</w:t>
      </w:r>
      <w:r>
        <w:rPr/>
        <w:tab/>
        <w:t xml:space="preserve"/>
      </w:r>
      <w:r>
        <w:rPr/>
        <w:t xml:space="preserve">There are exempted from the use tax imposed by this chapter, the storage, use or other consumption in this city of tangible personal property: </w:t>
      </w:r>
    </w:p>
    <w:p>
      <w:pPr>
        <w:pStyle w:val="List2"/>
        <w:pBdr/>
        <w:spacing/>
        <w:rPr/>
      </w:pPr>
      <w:r>
        <w:rPr/>
        <w:t xml:space="preserve">1.</w:t>
      </w:r>
      <w:r>
        <w:rPr/>
        <w:tab/>
        <w:t xml:space="preserve"/>
      </w:r>
      <w:r>
        <w:rPr/>
        <w:t xml:space="preserve">The gross receipts from the sale of which have been subject to a transactions tax under any state-administered transactions and use tax ordinance. </w:t>
      </w:r>
    </w:p>
    <w:p>
      <w:pPr>
        <w:pStyle w:val="List2"/>
        <w:pBdr/>
        <w:spacing/>
        <w:rPr/>
      </w:pPr>
      <w:r>
        <w:rPr/>
        <w:t xml:space="preserve">2.</w:t>
      </w:r>
      <w:r>
        <w:rPr/>
        <w:tab/>
        <w:t xml:space="preserve"/>
      </w:r>
      <w:r>
        <w:rPr/>
        <w:t xml:space="preserve">Other than fuel or petroleum products purchased by operators of aircraft and used or consumed by such operators directly and exclusively in the use of such aircraft as common carriers of persons or property for hire or compensation under a certificate of public convenience and necessity issued pursuant to the laws of this state, the United States, or any foreign government. This exemption is in addition to the exemptions provided in Sections 6366 and 6366.1 of the Revenue and Taxation Code of the state of California. </w:t>
      </w:r>
    </w:p>
    <w:p>
      <w:pPr>
        <w:pStyle w:val="List2"/>
        <w:pBdr/>
        <w:spacing/>
        <w:rPr/>
      </w:pPr>
      <w:r>
        <w:rPr/>
        <w:t xml:space="preserve">3.</w:t>
      </w:r>
      <w:r>
        <w:rPr/>
        <w:tab/>
        <w:t xml:space="preserve"/>
      </w:r>
      <w:r>
        <w:rPr/>
        <w:t xml:space="preserve">If the purchaser is obligated to purchase the property for a fixed price pursuant to a contract entered into prior to the operative date of the ordinance codified in this chapter. </w:t>
      </w:r>
    </w:p>
    <w:p>
      <w:pPr>
        <w:pStyle w:val="List2"/>
        <w:pBdr/>
        <w:spacing/>
        <w:rPr/>
      </w:pPr>
      <w:r>
        <w:rPr/>
        <w:t xml:space="preserve">4.</w:t>
      </w:r>
      <w:r>
        <w:rPr/>
        <w:tab/>
        <w:t xml:space="preserve"/>
      </w:r>
      <w:r>
        <w:rPr/>
        <w:t xml:space="preserve">If the possession of, or the exercise of any right or power over, the tangible personal property arises under a lease which is a continuing purchase of such property for any period of time for which the lessee is obligated to lease the property for an amount fixed by a lease prior to the operative date of the ordinance codified in this chapter. </w:t>
      </w:r>
    </w:p>
    <w:p>
      <w:pPr>
        <w:pStyle w:val="List2"/>
        <w:pBdr/>
        <w:spacing/>
        <w:rPr/>
      </w:pPr>
      <w:r>
        <w:rPr/>
        <w:t xml:space="preserve">5.</w:t>
      </w:r>
      <w:r>
        <w:rPr/>
        <w:tab/>
        <w:t xml:space="preserve"/>
      </w:r>
      <w:r>
        <w:rPr/>
        <w:t xml:space="preserve">For the purposes of subsections C3 and C4 of this section, storage, use, or other consumption, or possession of, or exercise of any right or power over tangible personal property shall be deemed not to be obligated pursuant to a contract or lease for any period of time for which any party to the contract or lease has the unconditional right to terminate the contract or lease upon notice, whether or not such right is exercised. </w:t>
      </w:r>
    </w:p>
    <w:p>
      <w:pPr>
        <w:pStyle w:val="List2"/>
        <w:pBdr/>
        <w:spacing/>
        <w:rPr/>
      </w:pPr>
      <w:r>
        <w:rPr/>
        <w:t xml:space="preserve">6.</w:t>
      </w:r>
      <w:r>
        <w:rPr/>
        <w:tab/>
        <w:t xml:space="preserve"/>
      </w:r>
      <w:r>
        <w:rPr/>
        <w:t xml:space="preserve">Except as provided in subsection C7 of this section, a retailer engaged in business in the city shall not be required to collect use tax from the purchaser of tangible personal property, unless the retailer ships or delivers the property into the city or participates within the city in making the sale of the property, including, but not limited to, soliciting or receiving the order, either directly or indirectly, at a place of business of the retailer in the city or through any representative, agent, canvasser, solicitor, subsidiary, or person in the city under the authority of the retailer. </w:t>
      </w:r>
    </w:p>
    <w:p>
      <w:pPr>
        <w:pStyle w:val="List2"/>
        <w:pBdr/>
        <w:spacing/>
        <w:rPr/>
      </w:pPr>
      <w:r>
        <w:rPr/>
        <w:t xml:space="preserve">7.</w:t>
      </w:r>
      <w:r>
        <w:rPr/>
        <w:tab/>
        <w:t xml:space="preserve"/>
      </w:r>
      <w:r>
        <w:rPr/>
        <w:t xml:space="preserve">"A retailer engaged in business in the city" shall also include any retailer of any of the following: vehicles subject to registration pursuant to Chapter 1 (commencing with Section 4000) of Division 3 of the Vehicle Code, aircraft licensed in compliance with Section 21411 of the Public Utilities Code, or undocumented vessels registered under Division 3.5 (commencing with Section 9840) of the Vehicle Code. That retailer shall be required to collect use tax from any purchaser who registers or licenses the vehicle, vessel, or aircraft at an address in the city. </w:t>
      </w:r>
    </w:p>
    <w:p>
      <w:pPr>
        <w:pStyle w:val="List1"/>
        <w:pBdr/>
        <w:spacing/>
        <w:rPr/>
      </w:pPr>
      <w:r>
        <w:rPr/>
        <w:t xml:space="preserve">D.</w:t>
      </w:r>
      <w:r>
        <w:rPr/>
        <w:tab/>
        <w:t xml:space="preserve"/>
      </w:r>
      <w:r>
        <w:rPr/>
        <w:t xml:space="preserve">Any person subject to use tax under this chapter may credit against that tax any transactions tax or reimbursement for transactions tax paid to a district imposing, or retailer liable for a transactions tax pursuant to Part 1.6 of Division 2 of the Revenue and Taxation Code with respect to the sale to the person of the property the storage, use or other consumption of which is subject to the use tax. </w:t>
      </w:r>
    </w:p>
    <w:p>
      <w:pPr>
        <w:pStyle w:val="HistoryNote"/>
        <w:pBdr/>
        <w:spacing/>
        <w:rPr/>
      </w:pPr>
      <w:r>
        <w:rPr>
          <w:rStyle w:val="HistoryNote"/>
        </w:rPr>
        <w:t xml:space="preserve">(Ord. 2008-3 § 1 (part), 2008.)</w:t>
      </w:r>
    </w:p>
    <w:p>
      <w:pPr>
        <w:pBdr/>
        <w:spacing w:before="0" w:after="0"/>
        <w:rPr/>
        <w:sectPr>
          <w:headerReference w:type="default" r:id="rId23"/>
          <w:footerReference w:type="default" r:id="rId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4.60.120</w:t>
      </w:r>
      <w:r>
        <w:rPr/>
        <w:t xml:space="preserve"> </w:t>
      </w:r>
      <w:r>
        <w:rPr/>
        <w:t xml:space="preserve">Amendments.</w:t>
      </w:r>
    </w:p>
    <w:p>
      <w:pPr>
        <w:pStyle w:val="List1"/>
        <w:pBdr/>
        <w:spacing/>
        <w:rPr/>
      </w:pPr>
      <w:r>
        <w:rPr/>
        <w:t xml:space="preserve">A.</w:t>
      </w:r>
      <w:r>
        <w:rPr/>
        <w:tab/>
        <w:t xml:space="preserve"/>
      </w:r>
      <w:r>
        <w:rPr/>
        <w:t xml:space="preserve">All amendments subsequent to the effective date of the ordinance codified in this chapter to Part 1 of Division 2 of the Revenue and Taxation Code relating to sales and use taxes and which are not inconsistent with Part 1.6 and Part 1.7 of Division 2 of the Revenue and Taxation Code, and all amendments to Part 1.6 and Part 1.7 of Division 2 of the Revenue and Taxation Code, shall automatically become a part of this chapter, provided however, that no such amendment shall operate so as to affect the rate of tax imposed by this chapter unless any increase in the rate of this tax is first approved by two-thirds of the voters of the city of El Cerrito voting on such question. </w:t>
      </w:r>
    </w:p>
    <w:p>
      <w:pPr>
        <w:pStyle w:val="List1"/>
        <w:pBdr/>
        <w:spacing/>
        <w:rPr/>
      </w:pPr>
      <w:r>
        <w:rPr/>
        <w:t xml:space="preserve">B.</w:t>
      </w:r>
      <w:r>
        <w:rPr/>
        <w:tab/>
        <w:t xml:space="preserve"/>
      </w:r>
      <w:r>
        <w:rPr/>
        <w:t xml:space="preserve">Pursuant to California Elections Code Section 9217 or any successor statute, the city council of the city of El Cerrito may amend or repeal this chapter and any of its exhibits, provided that written notification is submitted to the State Board of Equalization one hundred ten days prior to the operative date of the amendment or repeal, but not increase or extend the rate of tax imposed herein, or the indebtedness authorized hereunder, without the approval of two-thirds of the voters of the city of El Cerrito voting on such question. </w:t>
      </w:r>
    </w:p>
    <w:p>
      <w:pPr>
        <w:pStyle w:val="HistoryNote"/>
        <w:pBdr/>
        <w:spacing/>
        <w:rPr/>
      </w:pPr>
      <w:r>
        <w:rPr>
          <w:rStyle w:val="HistoryNote"/>
        </w:rPr>
        <w:t xml:space="preserve">(Ord. 2008-3 § 1 (part), 2008.)</w:t>
      </w:r>
    </w:p>
    <w:p>
      <w:pPr>
        <w:pBdr/>
        <w:spacing w:before="0" w:after="0"/>
        <w:rPr/>
        <w:sectPr>
          <w:headerReference w:type="default" r:id="rId25"/>
          <w:footerReference w:type="default" r:id="rId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4.60.130</w:t>
      </w:r>
      <w:r>
        <w:rPr/>
        <w:t xml:space="preserve"> </w:t>
      </w:r>
      <w:r>
        <w:rPr/>
        <w:t xml:space="preserve">Enjoining collection forbidden.</w:t>
      </w:r>
    </w:p>
    <w:p>
      <w:pPr>
        <w:pStyle w:val="Paragraph1"/>
        <w:pBdr/>
        <w:spacing/>
        <w:rPr/>
      </w:pPr>
      <w:r>
        <w:rPr>
          <w:rStyle w:val="Paragraph1"/>
        </w:rPr>
        <w:t xml:space="preserve">No injunction or writ of mandate or other legal or equitable process shall issue in any suit, action or proceeding in any court against the state or the city, or against any officer of the state or the city, to prevent or enjoin the collection under this chapter, or Part 1.6 of Division 2 of the Revenue and Taxation Code, of any tax or any amount of tax required to be collected. </w:t>
      </w:r>
    </w:p>
    <w:p>
      <w:pPr>
        <w:pStyle w:val="HistoryNote"/>
        <w:pBdr/>
        <w:spacing/>
        <w:rPr/>
      </w:pPr>
      <w:r>
        <w:rPr>
          <w:rStyle w:val="HistoryNote"/>
        </w:rPr>
        <w:t xml:space="preserve">(Ord. 2008-3 § 1 (part), 2008.)</w:t>
      </w:r>
    </w:p>
    <w:p>
      <w:pPr>
        <w:pBdr/>
        <w:spacing w:before="0" w:after="0"/>
        <w:rPr/>
        <w:sectPr>
          <w:headerReference w:type="default" r:id="rId27"/>
          <w:footerReference w:type="default" r:id="rId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4.60.140</w:t>
      </w:r>
      <w:r>
        <w:rPr/>
        <w:t xml:space="preserve"> </w:t>
      </w:r>
      <w:r>
        <w:rPr/>
        <w:t xml:space="preserve">Severability.</w:t>
      </w:r>
    </w:p>
    <w:p>
      <w:pPr>
        <w:pStyle w:val="Paragraph1"/>
        <w:pBdr/>
        <w:spacing/>
        <w:rPr/>
      </w:pPr>
      <w:r>
        <w:rPr>
          <w:rStyle w:val="Paragraph1"/>
        </w:rPr>
        <w:t xml:space="preserve">If any provision of this chapter or the application thereof to any person or circumstance is held invalid, the remainder of the ordinance codified in this chapter and the application of such provision to other persons or circumstances shall not be affected thereby. </w:t>
      </w:r>
    </w:p>
    <w:p>
      <w:pPr>
        <w:pStyle w:val="HistoryNote"/>
        <w:pBdr/>
        <w:spacing/>
        <w:rPr/>
      </w:pPr>
      <w:r>
        <w:rPr>
          <w:rStyle w:val="HistoryNote"/>
        </w:rPr>
        <w:t xml:space="preserve">(Ord. 2008-3 § 1 (part), 2008.)</w:t>
      </w:r>
    </w:p>
    <w:p>
      <w:pPr>
        <w:pBdr/>
        <w:spacing w:before="0" w:after="0"/>
        <w:rPr/>
        <w:sectPr>
          <w:headerReference w:type="default" r:id="rId29"/>
          <w:footerReference w:type="default" r:id="rId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4.60.150</w:t>
      </w:r>
      <w:r>
        <w:rPr/>
        <w:t xml:space="preserve"> </w:t>
      </w:r>
      <w:r>
        <w:rPr/>
        <w:t xml:space="preserve">Use of tax proceeds and expenditure plan.</w:t>
      </w:r>
    </w:p>
    <w:p>
      <w:pPr>
        <w:pStyle w:val="List1"/>
        <w:pBdr/>
        <w:spacing/>
        <w:rPr/>
      </w:pPr>
      <w:r>
        <w:rPr/>
        <w:t xml:space="preserve">A.</w:t>
      </w:r>
      <w:r>
        <w:rPr/>
        <w:tab/>
        <w:t xml:space="preserve"/>
      </w:r>
      <w:r>
        <w:rPr/>
        <w:t xml:space="preserve">All proceeds of the tax levied and imposed hereunder shall be accounted for and paid into a special fund designated for use by the city of El Cerrito only for the pothole repair and street improvement and maintenance services set forth in the expenditure plan for the administration and expenditure of the tax proceeds, attached to this chapter as Exhibit 1, codified at the end of this chapter. The expenditure plan may be amended from time to time by a majority vote of the city council, so long as the funds are utilized for pothole repair and street improvement and maintenance services. For the purposes of this part, "Pothole Repair and Street Improvement and Maintenance Services" means: (1) all aspects of street repair and maintenance including repair, reconstruction and sealing of city streets; repair, maintenance and reconstruction of curbs and ramps adjacent to city streets; crosswalk and pedestrian improvements on or adjacent to city streets; other related services such as lane line, crosswalk and bicycle lane striping and other necessary pavement markings; and other such improvements as are deemed necessary by the city council for the benefit of the residents of the city; (2) no revenues collected pursuant to the tax levied hereby may be spent on department administrators' salaries, general fund operating expenses in effect at the time this chapter becomes effective, or projects not a part of the expenditure plan. It is the intent of the people that revenues collected hereunder shall supplement, rather than supplant, existing city expenditures for street repair and maintenance. </w:t>
      </w:r>
    </w:p>
    <w:p>
      <w:pPr>
        <w:pStyle w:val="List1"/>
        <w:pBdr/>
        <w:spacing/>
        <w:rPr/>
      </w:pPr>
      <w:r>
        <w:rPr/>
        <w:t xml:space="preserve">B.</w:t>
      </w:r>
      <w:r>
        <w:rPr/>
        <w:tab/>
        <w:t xml:space="preserve"/>
      </w:r>
      <w:r>
        <w:rPr/>
        <w:t xml:space="preserve">The city is hereby authorized to incur indebtedness in the form of bonds, notes, contractual obligations or other evidences of indebtedness authorized by law to finance or refinance costs described in subsection A above, and to pay any and all costs of issuing or incurring such indebtedness, to fund reserve funds, capitalized interest, costs of credit enhancement, costs of interest rate hedging arrangements or any other financing costs associated with such indebtedness. Such indebtedness shall be solely payable from, and may be secured by a pledge and lien on, the proceeds of the tax levied and imposed hereunder. Such indebtedness shall be limited in amount such that the annual debt service in each year is not in excess of seventy-five percent of the amount of tax proceeds projected by the city to be received in each year. </w:t>
      </w:r>
    </w:p>
    <w:p>
      <w:pPr>
        <w:pStyle w:val="HistoryNote"/>
        <w:pBdr/>
        <w:spacing/>
        <w:rPr/>
      </w:pPr>
      <w:r>
        <w:rPr>
          <w:rStyle w:val="HistoryNote"/>
        </w:rPr>
        <w:t xml:space="preserve">(Ord. 2008-3 § 1 (part), 2008.)</w:t>
      </w:r>
    </w:p>
    <w:p>
      <w:pPr>
        <w:pBdr/>
        <w:spacing w:before="0" w:after="0"/>
        <w:rPr/>
        <w:sectPr>
          <w:headerReference w:type="default" r:id="rId31"/>
          <w:footerReference w:type="default" r:id="rId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4.60.160</w:t>
      </w:r>
      <w:r>
        <w:rPr/>
        <w:t xml:space="preserve"> </w:t>
      </w:r>
      <w:r>
        <w:rPr/>
        <w:t xml:space="preserve">Annual audit.</w:t>
      </w:r>
    </w:p>
    <w:p>
      <w:pPr>
        <w:pStyle w:val="Paragraph1"/>
        <w:pBdr/>
        <w:spacing/>
        <w:rPr/>
      </w:pPr>
      <w:r>
        <w:rPr>
          <w:rStyle w:val="Paragraph1"/>
        </w:rPr>
        <w:t xml:space="preserve">By no later than December 31st of each year, the city's independent auditors shall complete a Streets Repair and Maintenance Tax Ordinance Compliance and Internal Control Audit Report. Such report shall review whether the tax revenue is collected, managed and expended in accordance with this chapter. </w:t>
      </w:r>
    </w:p>
    <w:p>
      <w:pPr>
        <w:pStyle w:val="HistoryNote"/>
        <w:pBdr/>
        <w:spacing/>
        <w:rPr/>
      </w:pPr>
      <w:r>
        <w:rPr>
          <w:rStyle w:val="HistoryNote"/>
        </w:rPr>
        <w:t xml:space="preserve">(Ord. 2008-3 § 1 (part), 2008.)</w:t>
      </w:r>
    </w:p>
    <w:p>
      <w:pPr>
        <w:pStyle w:val="Block1Center"/>
        <w:pBdr/>
        <w:spacing/>
        <w:rPr/>
      </w:pPr>
      <w:r>
        <w:rPr>
          <w:b/>
          <w:sz w:val="24"/>
        </w:rPr>
        <w:t xml:space="preserve">EXHIBIT 1</w:t>
      </w:r>
    </w:p>
    <w:p>
      <w:pPr>
        <w:pStyle w:val="Block1Center"/>
        <w:pBdr/>
        <w:spacing/>
        <w:rPr/>
      </w:pPr>
      <w:r>
        <w:rPr>
          <w:b/>
        </w:rPr>
        <w:t xml:space="preserve">City of El Cerrito</w:t>
      </w:r>
      <w:r>
        <w:rPr/>
        <w:br/>
      </w:r>
      <w:r>
        <w:rPr>
          <w:b/>
        </w:rPr>
        <w:t xml:space="preserve">Pothole Repair and Street Improvement and Maintenance Services</w:t>
      </w:r>
    </w:p>
    <w:p>
      <w:pPr>
        <w:pStyle w:val="Block1Center"/>
        <w:pBdr/>
        <w:spacing/>
        <w:rPr/>
      </w:pPr>
      <w:r>
        <w:rPr>
          <w:b/>
          <w:sz w:val="24"/>
          <w:u w:val="single"/>
        </w:rPr>
        <w:t xml:space="preserve">PAVEMENT EXPENDITURE PLAN</w:t>
      </w:r>
    </w:p>
    <w:p>
      <w:pPr>
        <w:pStyle w:val="Block1Center"/>
        <w:pBdr/>
        <w:spacing/>
        <w:rPr/>
      </w:pPr>
      <w:r>
        <w:rPr>
          <w:rStyle w:val="Block1Center"/>
          <w:sz w:val="24"/>
        </w:rPr>
        <w:t xml:space="preserve">OF </w:t>
      </w:r>
      <w:r>
        <w:rPr>
          <w:sz w:val="24"/>
        </w:rPr>
        <w:br/>
      </w:r>
      <w:r>
        <w:rPr>
          <w:rStyle w:val="Block1Center"/>
          <w:sz w:val="24"/>
        </w:rPr>
        <w:t xml:space="preserve">ONE-HALF (½) CENT </w:t>
      </w:r>
      <w:r>
        <w:rPr>
          <w:sz w:val="24"/>
        </w:rPr>
        <w:br/>
      </w:r>
      <w:r>
        <w:rPr>
          <w:rStyle w:val="Block1Center"/>
          <w:sz w:val="24"/>
        </w:rPr>
        <w:t xml:space="preserve">TRANSACTIONS AND USE TAX REVENUE </w:t>
      </w:r>
    </w:p>
    <w:p>
      <w:pPr>
        <w:pStyle w:val="Block1"/>
        <w:pBdr/>
        <w:spacing/>
        <w:rPr/>
      </w:pPr>
      <w:r>
        <w:rPr>
          <w:rStyle w:val="Block1"/>
        </w:rPr>
        <w:t xml:space="preserve">The City of El Cerrito street system consists of approximately 68 miles of streets, the majority of which were constructed to the standards and conditions of the early to mid-20th century with many streets unable to meet today's traffic demands. The City's Pavement Condition Index (PCI), which was compiled by staff and its consulting engineers, illustrates that El Cerrito's streets have a very low average pavement condition rating (51 on a 100-point scale). Further analysis shows that the residential streets are in the worst condition of all categories with an average PCI of 38, while the neighborhood collectors and arterials are in better condition with PCIs of 68 and 80, respectively. </w:t>
      </w:r>
    </w:p>
    <w:p>
      <w:pPr>
        <w:pStyle w:val="Block1"/>
        <w:pBdr/>
        <w:spacing/>
        <w:rPr/>
      </w:pPr>
      <w:r>
        <w:rPr>
          <w:rStyle w:val="Block1"/>
        </w:rPr>
        <w:t xml:space="preserve">The needed improvements and maintenance on the City of El Cerrito street system far exceed the available revenues for these activities. While the city remains committed to continue efforts to obtain all possible Federal and State funding for street improvements, it is apparent that without the one-half (½) cent transactions and use tax revenue, the City will be unable to improve the street system to a level that will adequately serve the traveling public. This Pavement Expenditure Plan describes the specific projects for which the revenues from the tax will be expended, and satisfies the requirements of Section 7285.91(c) of the Revenue and Taxation Code. </w:t>
      </w:r>
    </w:p>
    <w:p>
      <w:pPr>
        <w:pStyle w:val="Block1"/>
        <w:pBdr/>
        <w:spacing/>
        <w:rPr/>
      </w:pPr>
      <w:r>
        <w:rPr>
          <w:rStyle w:val="Block1"/>
        </w:rPr>
        <w:t xml:space="preserve">The Expenditure Plan is a simple one, as it proposes to utilize the one-half cent transactions and use tax for street maintenance and improvement-related purposes, rather than specific capital improvement projects. The goal of this plan is to rapidly improve the City's street system to provide the traveling public with the best and most efficient road maintenance possible given the existing facilities and the available funds. </w:t>
      </w:r>
    </w:p>
    <w:p>
      <w:pPr>
        <w:pStyle w:val="Block1"/>
        <w:pBdr/>
        <w:spacing/>
        <w:rPr/>
      </w:pPr>
      <w:r>
        <w:rPr>
          <w:b/>
          <w:i/>
          <w:u w:val="single"/>
        </w:rPr>
        <w:t xml:space="preserve">Annual Program of Maintenance and Improvement</w:t>
      </w:r>
    </w:p>
    <w:p>
      <w:pPr>
        <w:pStyle w:val="Block1"/>
        <w:pBdr/>
        <w:spacing/>
        <w:rPr/>
      </w:pPr>
      <w:r>
        <w:rPr>
          <w:rStyle w:val="Block1"/>
        </w:rPr>
        <w:t xml:space="preserve">The City shall prepare a "Maintenance and/or Improvement Program" that the tax revenues will fund. This Program will be a flexible document that responds to the most significant maintenance and improvement needs as they are identified. It will be updated annually as part of the City's annual Capital Improvement Program budget, and available funds will be appropriated. It will follow recommendations and priorities established annually by the City Council and Citizens' Oversight Committee, and will itemize each year's particular capital projects and debt service payments. An annual independent audit will be performed by the City's external auditors that will include review of compliance with the requirement that all expenditures are related to street improvement, maintenance and associated debt service. </w:t>
      </w:r>
    </w:p>
    <w:p>
      <w:pPr>
        <w:pStyle w:val="Block1"/>
        <w:pBdr/>
        <w:spacing/>
        <w:rPr/>
      </w:pPr>
      <w:r>
        <w:rPr>
          <w:b/>
          <w:i/>
          <w:u w:val="single"/>
        </w:rPr>
        <w:t xml:space="preserve">Accelerated Work Plan in First Five Years</w:t>
      </w:r>
    </w:p>
    <w:p>
      <w:pPr>
        <w:pStyle w:val="Block1"/>
        <w:pBdr/>
        <w:spacing/>
        <w:rPr/>
      </w:pPr>
      <w:r>
        <w:rPr>
          <w:rStyle w:val="Block1"/>
        </w:rPr>
        <w:t xml:space="preserve">The initial years will be devoted to the rehabilitation of the residential streets within the City of El Cerrito along with an effort to maintain the arterials in good condition. When possible, the City will utilize these funds as matching funds for Federal and State Grants related to street improvement and rehabilitation projects. In addition, approximately 15% of the transactions and use tax would be set aside to improve the non-vehicular mobility and accessibility (curb ramps, improved striping) and significant drainage problems associated with the City's street system. </w:t>
      </w:r>
    </w:p>
    <w:p>
      <w:pPr>
        <w:pStyle w:val="Block1"/>
        <w:pBdr/>
        <w:spacing/>
        <w:rPr/>
      </w:pPr>
      <w:r>
        <w:rPr>
          <w:rStyle w:val="Block1"/>
        </w:rPr>
        <w:t xml:space="preserve">The first five years of the Pavement Expenditure Plan include a significantly accelerated work plan. This is intended to bring the City's Street System average PCI up to or near 70. Most of the accelerated work will occur in the first four years, and the fifth year would be used to transition to an annual comprehensive ongoing maintenance program. </w:t>
      </w:r>
    </w:p>
    <w:p>
      <w:pPr>
        <w:pStyle w:val="Block1"/>
        <w:pBdr/>
        <w:spacing/>
        <w:rPr/>
      </w:pPr>
      <w:r>
        <w:rPr>
          <w:rStyle w:val="Block1"/>
        </w:rPr>
        <w:t xml:space="preserve">The work plan is broken into two categories: </w:t>
      </w:r>
    </w:p>
    <w:p>
      <w:pPr>
        <w:pStyle w:val="List2"/>
        <w:pBdr/>
        <w:spacing/>
        <w:rPr/>
      </w:pPr>
      <w:r>
        <w:rPr/>
        <w:t xml:space="preserve">1.</w:t>
      </w:r>
      <w:r>
        <w:rPr/>
        <w:tab/>
        <w:t xml:space="preserve"/>
      </w:r>
      <w:r>
        <w:rPr/>
        <w:t xml:space="preserve">Preparatory Work: The Preparatory Work will consist of repair and other activities as aimed at preparing a street for the final resurfacing work. This typically includes: </w:t>
      </w:r>
    </w:p>
    <w:p>
      <w:pPr>
        <w:pStyle w:val="Block3"/>
        <w:pBdr/>
        <w:spacing/>
        <w:rPr/>
      </w:pPr>
      <w:r>
        <w:rPr>
          <w:rStyle w:val="Block3"/>
        </w:rPr>
        <w:t xml:space="preserve">· Crack sealing </w:t>
      </w:r>
    </w:p>
    <w:p>
      <w:pPr>
        <w:pStyle w:val="Block3"/>
        <w:pBdr/>
        <w:spacing/>
        <w:rPr/>
      </w:pPr>
      <w:r>
        <w:rPr>
          <w:rStyle w:val="Block3"/>
        </w:rPr>
        <w:t xml:space="preserve">· Structural pavement repairs </w:t>
      </w:r>
    </w:p>
    <w:p>
      <w:pPr>
        <w:pStyle w:val="Block3"/>
        <w:pBdr/>
        <w:spacing/>
        <w:rPr/>
      </w:pPr>
      <w:r>
        <w:rPr>
          <w:rStyle w:val="Block3"/>
        </w:rPr>
        <w:t xml:space="preserve">·Leveling and rideability corrections </w:t>
      </w:r>
    </w:p>
    <w:p>
      <w:pPr>
        <w:pStyle w:val="Block3"/>
        <w:pBdr/>
        <w:spacing/>
        <w:rPr/>
      </w:pPr>
      <w:r>
        <w:rPr>
          <w:rStyle w:val="Block3"/>
        </w:rPr>
        <w:t xml:space="preserve">·Installation of curb ramps pursuant to the Americans with Disabilities Act </w:t>
      </w:r>
    </w:p>
    <w:p>
      <w:pPr>
        <w:pStyle w:val="Block3"/>
        <w:pBdr/>
        <w:spacing/>
        <w:rPr/>
      </w:pPr>
      <w:r>
        <w:rPr>
          <w:rStyle w:val="Block3"/>
        </w:rPr>
        <w:t xml:space="preserve">·Curb, gutter, and sidewalk repair (as needed) </w:t>
      </w:r>
    </w:p>
    <w:p>
      <w:pPr>
        <w:pStyle w:val="Block3"/>
        <w:pBdr/>
        <w:spacing/>
        <w:rPr/>
      </w:pPr>
      <w:r>
        <w:rPr>
          <w:rStyle w:val="Block3"/>
        </w:rPr>
        <w:t xml:space="preserve">·Temporary or restored pavement markings and striping. </w:t>
      </w:r>
    </w:p>
    <w:p>
      <w:pPr>
        <w:pStyle w:val="List2"/>
        <w:pBdr/>
        <w:spacing/>
        <w:rPr/>
      </w:pPr>
      <w:r>
        <w:rPr/>
        <w:t xml:space="preserve">2.</w:t>
      </w:r>
      <w:r>
        <w:rPr/>
        <w:tab/>
        <w:t xml:space="preserve"/>
      </w:r>
      <w:r>
        <w:rPr/>
        <w:t xml:space="preserve">Finish Resurfacing: Finish Resurfacing will consist of installing the final pavement surface and pavement markings. Typical activities would be: </w:t>
      </w:r>
    </w:p>
    <w:p>
      <w:pPr>
        <w:pStyle w:val="Block3"/>
        <w:pBdr/>
        <w:spacing/>
        <w:rPr/>
      </w:pPr>
      <w:r>
        <w:rPr>
          <w:rStyle w:val="Block3"/>
        </w:rPr>
        <w:t xml:space="preserve">·Leveling and rideability corrections </w:t>
      </w:r>
    </w:p>
    <w:p>
      <w:pPr>
        <w:pStyle w:val="Block3"/>
        <w:pBdr/>
        <w:spacing/>
        <w:rPr/>
      </w:pPr>
      <w:r>
        <w:rPr>
          <w:rStyle w:val="Block3"/>
        </w:rPr>
        <w:t xml:space="preserve">·Edge conform grinding </w:t>
      </w:r>
    </w:p>
    <w:p>
      <w:pPr>
        <w:pStyle w:val="Block3"/>
        <w:pBdr/>
        <w:spacing/>
        <w:rPr/>
      </w:pPr>
      <w:r>
        <w:rPr>
          <w:rStyle w:val="Block3"/>
        </w:rPr>
        <w:t xml:space="preserve">·Asphalt overlay, micropaving, slurry seal, and cape seal </w:t>
      </w:r>
    </w:p>
    <w:p>
      <w:pPr>
        <w:pStyle w:val="Block3"/>
        <w:pBdr/>
        <w:spacing/>
        <w:rPr/>
      </w:pPr>
      <w:r>
        <w:rPr>
          <w:rStyle w:val="Block3"/>
        </w:rPr>
        <w:t xml:space="preserve">·Replacement and enhancement of pavement markings, striping and signage. </w:t>
      </w:r>
    </w:p>
    <w:p>
      <w:pPr>
        <w:pStyle w:val="Block1"/>
        <w:pBdr/>
        <w:spacing/>
        <w:rPr/>
      </w:pPr>
      <w:r>
        <w:rPr>
          <w:rStyle w:val="Block1"/>
        </w:rPr>
        <w:t xml:space="preserve">The table below demonstrates how the accelerated (shown as "XXX") work will be performed for the various work items, and also indicates where a normal level of work (shown as "X") would be performed. This also indicates the approximate annual monetary value of work in each construction season. </w:t>
      </w:r>
    </w:p>
    <w:p>
      <w:pPr>
        <w:pStyle w:val="ImageCenter"/>
        <w:pBdr/>
        <w:spacing/>
        <w:rPr/>
      </w:pPr>
      <w:r>
        <w:rPr/>
        <w:drawing>
          <wp:inline>
            <wp:extent cx="5549900" cy="2336800"/>
            <wp:docPr id="1" descr="4EX1.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a:srcRect/>
                    <a:stretch>
                      <a:fillRect/>
                    </a:stretch>
                  </pic:blipFill>
                  <pic:spPr bwMode="auto">
                    <a:xfrm>
                      <a:off x="0" y="0"/>
                      <a:ext cx="5549900" cy="2336800"/>
                    </a:xfrm>
                    <a:prstGeom prst="rect">
                      <a:avLst/>
                    </a:prstGeom>
                  </pic:spPr>
                </pic:pic>
              </a:graphicData>
            </a:graphic>
          </wp:inline>
        </w:drawing>
      </w:r>
    </w:p>
    <w:p>
      <w:pPr>
        <w:pStyle w:val="Block1"/>
        <w:pBdr/>
        <w:spacing/>
        <w:rPr/>
      </w:pPr>
      <w:r>
        <w:rPr>
          <w:b/>
          <w:i/>
          <w:u w:val="single"/>
        </w:rPr>
        <w:t xml:space="preserve">Subsequent Years</w:t>
      </w:r>
    </w:p>
    <w:p>
      <w:pPr>
        <w:pStyle w:val="Block1"/>
        <w:pBdr/>
        <w:spacing/>
        <w:rPr/>
      </w:pPr>
      <w:r>
        <w:rPr>
          <w:rStyle w:val="Block1"/>
        </w:rPr>
        <w:t xml:space="preserve">After completion of the accelerated work plan, the subsequent years will be devoted to ongoing maintenance of the system in a manner to protect the City's valuable street infrastructure. Maintenance priorities will be reviewed annually by the City Council and the Citizen Oversight Committee with funds for each year to be expended on the priority items first. </w:t>
      </w:r>
    </w:p>
    <w:p>
      <w:pPr>
        <w:pStyle w:val="Block1"/>
        <w:pBdr/>
        <w:spacing/>
        <w:rPr/>
      </w:pPr>
      <w:r>
        <w:rPr>
          <w:b/>
          <w:i/>
          <w:u w:val="single"/>
        </w:rPr>
        <w:t xml:space="preserve">Annual Debt Services</w:t>
      </w:r>
    </w:p>
    <w:p>
      <w:pPr>
        <w:pStyle w:val="Block1"/>
        <w:pBdr/>
        <w:spacing/>
        <w:rPr/>
      </w:pPr>
      <w:r>
        <w:rPr>
          <w:rStyle w:val="Block1"/>
        </w:rPr>
        <w:t xml:space="preserve">The transactions and use tax revenues will also be used for the payment of interest and principal on obligations resulting from the issuance of bonds, notes, leases, and other indebtedness. </w:t>
      </w:r>
    </w:p>
    <w:p>
      <w:pPr>
        <w:pStyle w:val="Block1"/>
        <w:pBdr/>
        <w:spacing/>
        <w:rPr/>
      </w:pPr>
      <w:r>
        <w:rPr>
          <w:b/>
          <w:i/>
          <w:u w:val="single"/>
        </w:rPr>
        <w:t xml:space="preserve">Administrative Costs</w:t>
      </w:r>
    </w:p>
    <w:p>
      <w:pPr>
        <w:pStyle w:val="Block1"/>
        <w:pBdr/>
        <w:spacing/>
        <w:rPr/>
      </w:pPr>
      <w:r>
        <w:rPr>
          <w:rStyle w:val="Block1"/>
        </w:rPr>
        <w:t xml:space="preserve">In addition to the above expenditures directly related to the goals of the transactions and use tax, the tax will be used for certain administrative costs. </w:t>
      </w:r>
    </w:p>
    <w:p>
      <w:pPr>
        <w:pStyle w:val="List2"/>
        <w:pBdr/>
        <w:spacing/>
        <w:rPr/>
      </w:pPr>
      <w:r>
        <w:rPr/>
        <w:t xml:space="preserve">1.</w:t>
      </w:r>
      <w:r>
        <w:rPr/>
        <w:tab/>
        <w:t xml:space="preserve"/>
      </w:r>
      <w:r>
        <w:rPr/>
        <w:t xml:space="preserve">Financial Administration Costs: Staff accounting, auditing, and financial activities and contract services that are necessary and reasonable for the City to carry out its responsibilities under the Revenue and Taxation Code. </w:t>
      </w:r>
    </w:p>
    <w:p>
      <w:pPr>
        <w:pStyle w:val="List2"/>
        <w:pBdr/>
        <w:spacing/>
        <w:rPr/>
      </w:pPr>
      <w:r>
        <w:rPr/>
        <w:t xml:space="preserve">2.</w:t>
      </w:r>
      <w:r>
        <w:rPr/>
        <w:tab/>
        <w:t xml:space="preserve"/>
      </w:r>
      <w:r>
        <w:rPr/>
        <w:t xml:space="preserve">Costs Related to Bonds or Other Indebtedness: Expenses in the sale or issuance of bonds and/or other forms of debt. </w:t>
      </w:r>
    </w:p>
    <w:p>
      <w:pPr>
        <w:pStyle w:val="List2"/>
        <w:pBdr/>
        <w:spacing/>
        <w:rPr/>
      </w:pPr>
      <w:r>
        <w:rPr/>
        <w:t xml:space="preserve">3.</w:t>
      </w:r>
      <w:r>
        <w:rPr/>
        <w:tab/>
        <w:t xml:space="preserve"/>
      </w:r>
      <w:r>
        <w:rPr/>
        <w:t xml:space="preserve">Project Management and Engineering Costs: Expenditures approved by the City Council that are necessary and reasonable for implementing the projects identified in the Maintenance and/or Improvement Program. </w:t>
      </w:r>
    </w:p>
    <w:p>
      <w:pPr>
        <w:pStyle w:val="List2"/>
        <w:pBdr/>
        <w:spacing/>
        <w:rPr/>
      </w:pPr>
      <w:r>
        <w:rPr/>
        <w:t xml:space="preserve">4.</w:t>
      </w:r>
      <w:r>
        <w:rPr/>
        <w:tab/>
        <w:t xml:space="preserve"/>
      </w:r>
      <w:r>
        <w:rPr/>
        <w:t xml:space="preserve">Mandatory Independent Annual Fiscal Audit: Expenditures related to the independent annual audit required by the ordinance, which ensures that the expenditure of funds is in accordance with this plan. </w:t>
      </w:r>
    </w:p>
    <w:p>
      <w:pPr>
        <w:pBdr/>
        <w:spacing w:before="0" w:after="0"/>
        <w:rPr/>
      </w:pPr>
    </w:p>
    <w:sectPr>
      <w:headerReference w:type="default" r:id="rId34"/>
      <w:footerReference w:type="default" r:id="rId35"/>
      <w:type w:val="continuous"/>
      <w:pgSz w:w="12240" w:h="15840"/>
      <w:pgMar w:top="1440" w:right="1440" w:bottom="1440" w:left="1440" w:header="720" w:footer="720" w:gutter="0"/>
      <w:pgBorders/>
      <w:pgNumType w:fmt="decimal"/>
      <w:cols w:equalWidth="1" w:space="720"/>
    </w:sectPr>
  </w:body>
</w:document>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Cerrito, California, Code of Ordinances</w:t>
    </w:r>
    <w:r>
      <w:rPr/>
      <w:tab/>
      <w:t xml:space="preserve"/>
    </w:r>
    <w:r>
      <w:rPr>
        <w:rFonts w:ascii="Consolas" w:hAnsi="Consolas" w:eastAsia="Consolas" w:cs="Consolas"/>
        <w:sz w:val="12"/>
      </w:rPr>
      <w:t xml:space="preserve">   Created: 2026-08-04 16:30:05 [EST]</w:t>
    </w:r>
  </w:p>
  <w:p>
    <w:pPr>
      <w:pStyle w:val="FooterLeft"/>
      <w:pBdr/>
      <w:spacing/>
      <w:rPr/>
    </w:pPr>
    <w:r>
      <w:rPr/>
      <w:t xml:space="preserve">(Supp. No. 47)</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2026-08-04 16:30:05 [EST]</w:t>
    </w:r>
  </w:p>
  <w:p>
    <w:pPr>
      <w:pStyle w:val="FooterLeft"/>
      <w:pBdr/>
      <w:spacing/>
      <w:rPr/>
    </w:pPr>
    <w:r>
      <w:rPr/>
      <w:t xml:space="preserve">(Supp. No. 47)</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2026-08-04 16:30:05 [EST]</w:t>
    </w:r>
  </w:p>
  <w:p>
    <w:pPr>
      <w:pStyle w:val="FooterLeft"/>
      <w:pBdr/>
      <w:spacing/>
      <w:rPr/>
    </w:pPr>
    <w:r>
      <w:rPr/>
      <w:t xml:space="preserve">(Supp. No. 47)</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2026-08-04 16:30:05 [EST]</w:t>
    </w:r>
  </w:p>
  <w:p>
    <w:pPr>
      <w:pStyle w:val="FooterLeft"/>
      <w:pBdr/>
      <w:spacing/>
      <w:rPr/>
    </w:pPr>
    <w:r>
      <w:rPr/>
      <w:t xml:space="preserve">(Supp. No. 47)</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2026-08-04 16:30:05 [EST]</w:t>
    </w:r>
  </w:p>
  <w:p>
    <w:pPr>
      <w:pStyle w:val="FooterLeft"/>
      <w:pBdr/>
      <w:spacing/>
      <w:rPr/>
    </w:pPr>
    <w:r>
      <w:rPr/>
      <w:t xml:space="preserve">(Supp. No. 47)</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2026-08-04 16:30:05 [EST]</w:t>
    </w:r>
  </w:p>
  <w:p>
    <w:pPr>
      <w:pStyle w:val="FooterLeft"/>
      <w:pBdr/>
      <w:spacing/>
      <w:rPr/>
    </w:pPr>
    <w:r>
      <w:rPr/>
      <w:t xml:space="preserve">(Supp. No. 47)</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2026-08-04 16:30:05 [EST]</w:t>
    </w:r>
  </w:p>
  <w:p>
    <w:pPr>
      <w:pStyle w:val="FooterLeft"/>
      <w:pBdr/>
      <w:spacing/>
      <w:rPr/>
    </w:pPr>
    <w:r>
      <w:rPr/>
      <w:t xml:space="preserve">(Supp. No. 47)</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2026-08-04 16:30:05 [EST]</w:t>
    </w:r>
  </w:p>
  <w:p>
    <w:pPr>
      <w:pStyle w:val="FooterLeft"/>
      <w:pBdr/>
      <w:spacing/>
      <w:rPr/>
    </w:pPr>
    <w:r>
      <w:rPr/>
      <w:t xml:space="preserve">(Supp. No. 47)</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2026-08-04 16:30:05 [EST]</w:t>
    </w:r>
  </w:p>
  <w:p>
    <w:pPr>
      <w:pStyle w:val="FooterLeft"/>
      <w:pBdr/>
      <w:spacing/>
      <w:rPr/>
    </w:pPr>
    <w:r>
      <w:rPr/>
      <w:t xml:space="preserve">(Supp. No. 47)</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2026-08-04 16:30:05 [EST]</w:t>
    </w:r>
  </w:p>
  <w:p>
    <w:pPr>
      <w:pStyle w:val="FooterLeft"/>
      <w:pBdr/>
      <w:spacing/>
      <w:rPr/>
    </w:pPr>
    <w:r>
      <w:rPr/>
      <w:t xml:space="preserve">(Supp. No. 47)</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2026-08-04 16:30:05 [EST]</w:t>
    </w:r>
  </w:p>
  <w:p>
    <w:pPr>
      <w:pStyle w:val="FooterLeft"/>
      <w:pBdr/>
      <w:spacing/>
      <w:rPr/>
    </w:pPr>
    <w:r>
      <w:rPr/>
      <w:t xml:space="preserve">(Supp. No. 47)</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2026-08-04 16:30:05 [EST]</w:t>
    </w:r>
  </w:p>
  <w:p>
    <w:pPr>
      <w:pStyle w:val="FooterLeft"/>
      <w:pBdr/>
      <w:spacing/>
      <w:rPr/>
    </w:pPr>
    <w:r>
      <w:rPr/>
      <w:t xml:space="preserve">(Supp. No. 47)</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2026-08-04 16:30:05 [EST]</w:t>
    </w:r>
  </w:p>
  <w:p>
    <w:pPr>
      <w:pStyle w:val="FooterLeft"/>
      <w:pBdr/>
      <w:spacing/>
      <w:rPr/>
    </w:pPr>
    <w:r>
      <w:rPr/>
      <w:t xml:space="preserve">(Supp. No. 47)</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2026-08-04 16:30:05 [EST]</w:t>
    </w:r>
  </w:p>
  <w:p>
    <w:pPr>
      <w:pStyle w:val="FooterLeft"/>
      <w:pBdr/>
      <w:spacing/>
      <w:rPr/>
    </w:pPr>
    <w:r>
      <w:rPr/>
      <w:t xml:space="preserve">(Supp. No. 47)</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2026-08-04 16:30:05 [EST]</w:t>
    </w:r>
  </w:p>
  <w:p>
    <w:pPr>
      <w:pStyle w:val="FooterLeft"/>
      <w:pBdr/>
      <w:spacing/>
      <w:rPr/>
    </w:pPr>
    <w:r>
      <w:rPr/>
      <w:t xml:space="preserve">(Supp. No. 47)</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2026-08-04 16:30:05 [EST]</w:t>
    </w:r>
  </w:p>
  <w:p>
    <w:pPr>
      <w:pStyle w:val="FooterLeft"/>
      <w:pBdr/>
      <w:spacing/>
      <w:rPr/>
    </w:pPr>
    <w:r>
      <w:rPr/>
      <w:t xml:space="preserve">(Supp. No. 47)</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2026-08-04 16:30:05 [EST]</w:t>
    </w:r>
  </w:p>
  <w:p>
    <w:pPr>
      <w:pStyle w:val="FooterLeft"/>
      <w:pBdr/>
      <w:spacing/>
      <w:rPr/>
    </w:pPr>
    <w:r>
      <w:rPr/>
      <w:t xml:space="preserve">(Supp. No. 47)</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4 - REVENUE AND FINANCE</w:t>
    </w:r>
    <w:r>
      <w:rPr/>
      <w:br/>
    </w:r>
    <w:r>
      <w:rPr/>
      <w:t xml:space="preserve">Chapter 4.60 POTHOLE REPAIR AND LOCAL STREET IMPROVEMENT AND MAINTENANCE TRANSACTIONS AND USE TAX</w:t>
    </w:r>
    <w:r>
      <w:rPr/>
      <w:br/>
    </w:r>
  </w:p>
  <w:p>
    <w:pPr>
      <w:pStyle w:val="HeaderCenter"/>
      <w:pBdr>
        <w:top w:val="single" w:color="auto" w:sz="4" w:space="0"/>
      </w:pBdr>
      <w:spacing/>
      <w:rPr/>
    </w:pP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start w:val="1"/>
      <w:numFmt w:val="bullet"/>
      <w:pStyle w:val="ListBullet"/>
      <w:suff w:val="tab"/>
      <w:lvlText w:val=""/>
      <w:pPr>
        <w:pBdr/>
        <w:tabs>
          <w:tab w:val="num" w:pos="360"/>
        </w:tabs>
        <w:spacing/>
        <w:ind w:left="36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1">
    <w:nsid w:val="FFFFFF88"/>
    <w:lvl w:ilvl="0">
      <w:start w:val="1"/>
      <w:numFmt w:val="decimal"/>
      <w:pStyle w:val="ListNumber"/>
      <w:suff w:val="tab"/>
      <w:lvlText w:val="%1."/>
      <w:pPr>
        <w:pBdr/>
        <w:tabs>
          <w:tab w:val="num" w:pos="360"/>
        </w:tabs>
        <w:spacing/>
        <w:ind w:left="36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2">
    <w:nsid w:val="FFFFFF83"/>
    <w:lvl w:ilvl="0">
      <w:start w:val="1"/>
      <w:numFmt w:val="bullet"/>
      <w:pStyle w:val="ListBullet2"/>
      <w:suff w:val="tab"/>
      <w:lvlText w:val=""/>
      <w:pPr>
        <w:pBdr/>
        <w:tabs>
          <w:tab w:val="num" w:pos="720"/>
        </w:tabs>
        <w:spacing/>
        <w:ind w:left="72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3">
    <w:nsid w:val="FFFFFF82"/>
    <w:lvl w:ilvl="0">
      <w:start w:val="1"/>
      <w:numFmt w:val="bullet"/>
      <w:pStyle w:val="ListBullet3"/>
      <w:suff w:val="tab"/>
      <w:lvlText w:val=""/>
      <w:pPr>
        <w:pBdr/>
        <w:tabs>
          <w:tab w:val="num" w:pos="1080"/>
        </w:tabs>
        <w:spacing/>
        <w:ind w:left="108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4">
    <w:nsid w:val="FFFFFF81"/>
    <w:lvl w:ilvl="0">
      <w:start w:val="1"/>
      <w:numFmt w:val="bullet"/>
      <w:pStyle w:val="ListBullet4"/>
      <w:suff w:val="tab"/>
      <w:lvlText w:val=""/>
      <w:pPr>
        <w:pBdr/>
        <w:tabs>
          <w:tab w:val="num" w:pos="1440"/>
        </w:tabs>
        <w:spacing/>
        <w:ind w:left="144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5">
    <w:nsid w:val="FFFFFF80"/>
    <w:lvl w:ilvl="0">
      <w:start w:val="1"/>
      <w:numFmt w:val="bullet"/>
      <w:pStyle w:val="ListBullet5"/>
      <w:suff w:val="tab"/>
      <w:lvlText w:val=""/>
      <w:pPr>
        <w:pBdr/>
        <w:tabs>
          <w:tab w:val="num" w:pos="1800"/>
        </w:tabs>
        <w:spacing/>
        <w:ind w:left="180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6">
    <w:nsid w:val="FFFFFF7F"/>
    <w:lvl w:ilvl="0">
      <w:start w:val="1"/>
      <w:numFmt w:val="decimal"/>
      <w:pStyle w:val="ListNumber2"/>
      <w:suff w:val="tab"/>
      <w:lvlText w:val="%1."/>
      <w:pPr>
        <w:pBdr/>
        <w:tabs>
          <w:tab w:val="num" w:pos="720"/>
        </w:tabs>
        <w:spacing/>
        <w:ind w:left="72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7">
    <w:nsid w:val="FFFFFF7E"/>
    <w:lvl w:ilvl="0">
      <w:start w:val="1"/>
      <w:numFmt w:val="decimal"/>
      <w:pStyle w:val="ListNumber3"/>
      <w:suff w:val="tab"/>
      <w:lvlText w:val="%1."/>
      <w:pPr>
        <w:pBdr/>
        <w:tabs>
          <w:tab w:val="num" w:pos="1080"/>
        </w:tabs>
        <w:spacing/>
        <w:ind w:left="108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8">
    <w:nsid w:val="FFFFFF7D"/>
    <w:lvl w:ilvl="0">
      <w:start w:val="1"/>
      <w:numFmt w:val="decimal"/>
      <w:pStyle w:val="ListNumber4"/>
      <w:suff w:val="tab"/>
      <w:lvlText w:val="%1."/>
      <w:pPr>
        <w:pBdr/>
        <w:tabs>
          <w:tab w:val="num" w:pos="1440"/>
        </w:tabs>
        <w:spacing/>
        <w:ind w:left="144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9">
    <w:nsid w:val="286EDBD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
    <w:nsid w:val="1C74FD4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
    <w:nsid w:val="684EDAC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
    <w:nsid w:val="2FEA158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
    <w:nsid w:val="4E1F2A5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
    <w:nsid w:val="5B42B8B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
    <w:nsid w:val="0761A06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
    <w:nsid w:val="5CC7B3D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
    <w:nsid w:val="1CC2E0F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
    <w:nsid w:val="02D64E5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
    <w:nsid w:val="73E935C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
    <w:nsid w:val="04F1F82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
    <w:nsid w:val="0D1EC68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
    <w:nsid w:val="33B9E0C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
    <w:nsid w:val="149DA50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
    <w:nsid w:val="230EA06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
    <w:nsid w:val="6E83DFC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pBdr/>
        <w:spacing w:before="40" w:after="120"/>
        <w:jc w:val="both"/>
      </w:pPr>
    </w:pPrDefault>
  </w:docDefaults>
  <w:style w:type="paragraph" w:styleId="Normal" w:default="1">
    <w:name w:val="Normal"/>
    <w:semiHidden/>
    <w:qFormat/>
    <w:pPr>
      <w:pBdr/>
      <w:spacing/>
      <w:jc w:val="left"/>
    </w:pPr>
    <w:rPr>
      <w:rFonts w:ascii="Calibri" w:hAnsi="Calibri"/>
      <w:sz w:val="20"/>
    </w:rPr>
  </w:style>
  <w:style w:type="paragraph" w:styleId="Heading1">
    <w:name w:val="Heading 1"/>
    <w:basedOn w:val="Normal"/>
    <w:next w:val="Block1"/>
    <w:link w:val="Heading1Char"/>
    <w:uiPriority w:val="1"/>
    <w:qFormat/>
    <w:pPr>
      <w:keepNext/>
      <w:keepLines/>
      <w:pBdr/>
      <w:spacing w:before="120" w:after="240" w:line="276" w:lineRule="auto"/>
      <w:jc w:val="center"/>
      <w:outlineLvl w:val="0"/>
    </w:pPr>
    <w:rPr>
      <w:b/>
      <w:sz w:val="32"/>
      <w:szCs w:val="32"/>
    </w:rPr>
  </w:style>
  <w:style w:type="paragraph" w:styleId="Heading2">
    <w:name w:val="Heading 2"/>
    <w:basedOn w:val="Heading1"/>
    <w:next w:val="Block1"/>
    <w:link w:val="Heading2Char"/>
    <w:uiPriority w:val="1"/>
    <w:qFormat/>
    <w:pPr>
      <w:pBdr/>
      <w:spacing/>
      <w:outlineLvl w:val="1"/>
    </w:pPr>
    <w:rPr>
      <w:rFonts w:eastAsia="Times New Roman"/>
      <w:sz w:val="28"/>
    </w:rPr>
  </w:style>
  <w:style w:type="paragraph" w:styleId="Block1" w:customStyle="1">
    <w:name w:val="Block 1"/>
    <w:basedOn w:val="Normal"/>
    <w:uiPriority w:val="3"/>
    <w:qFormat/>
    <w:pPr>
      <w:pBdr/>
      <w:spacing/>
    </w:pPr>
    <w:rPr/>
  </w:style>
  <w:style w:type="paragraph" w:styleId="HeaderCenter" w:customStyle="1">
    <w:name w:val="Header Center"/>
    <w:basedOn w:val="Normal"/>
    <w:qFormat/>
    <w:pPr>
      <w:pBdr/>
      <w:spacing w:after="40"/>
      <w:jc w:val="center"/>
    </w:pPr>
    <w:rPr/>
  </w:style>
  <w:style w:type="paragraph" w:styleId="FooterLeft" w:customStyle="1">
    <w:name w:val="Footer Left"/>
    <w:basedOn w:val="Normal"/>
    <w:qFormat/>
    <w:pPr>
      <w:pBdr/>
      <w:tabs>
        <w:tab w:val="right" w:pos="9360"/>
      </w:tabs>
      <w:spacing w:after="40"/>
    </w:pPr>
    <w:rPr>
      <w:sz w:val="18"/>
    </w:rPr>
  </w:style>
  <w:style w:type="paragraph" w:styleId="FooterCenter" w:customStyle="1">
    <w:name w:val="Footer Center"/>
    <w:basedOn w:val="FooterLeft"/>
    <w:qFormat/>
    <w:pPr>
      <w:pBdr/>
      <w:spacing/>
      <w:jc w:val="center"/>
    </w:pPr>
    <w:rPr/>
  </w:style>
  <w:style w:type="paragraph" w:styleId="Heading3">
    <w:name w:val="Heading 3"/>
    <w:basedOn w:val="Heading2"/>
    <w:next w:val="Block1"/>
    <w:link w:val="Heading3Char"/>
    <w:uiPriority w:val="1"/>
    <w:qFormat/>
    <w:pPr>
      <w:pBdr/>
      <w:spacing w:after="220"/>
      <w:outlineLvl w:val="2"/>
    </w:pPr>
    <w:rPr>
      <w:rFonts w:eastAsiaTheme="majorEastAsia" w:cstheme="majorBidi"/>
      <w:i/>
      <w:szCs w:val="24"/>
    </w:rPr>
  </w:style>
  <w:style w:type="paragraph" w:styleId="Heading4">
    <w:name w:val="Heading 4"/>
    <w:basedOn w:val="Heading3"/>
    <w:next w:val="Block1"/>
    <w:link w:val="Heading4Char"/>
    <w:uiPriority w:val="1"/>
    <w:qFormat/>
    <w:pPr>
      <w:pBdr/>
      <w:spacing w:after="200"/>
      <w:outlineLvl w:val="3"/>
    </w:pPr>
    <w:rPr>
      <w:b w:val="0"/>
      <w:iCs/>
    </w:rPr>
  </w:style>
  <w:style w:type="paragraph" w:styleId="Heading5">
    <w:name w:val="Heading 5"/>
    <w:basedOn w:val="Heading4"/>
    <w:next w:val="Block1"/>
    <w:link w:val="Heading5Char"/>
    <w:uiPriority w:val="1"/>
    <w:qFormat/>
    <w:pPr>
      <w:pBdr/>
      <w:spacing/>
      <w:outlineLvl w:val="4"/>
    </w:pPr>
    <w:rPr>
      <w:b/>
      <w:i w:val="0"/>
      <w:sz w:val="26"/>
    </w:rPr>
  </w:style>
  <w:style w:type="paragraph" w:styleId="Heading6">
    <w:name w:val="Heading 6"/>
    <w:basedOn w:val="Heading5"/>
    <w:next w:val="Block1"/>
    <w:link w:val="Heading6Char"/>
    <w:uiPriority w:val="1"/>
    <w:qFormat/>
    <w:pPr>
      <w:pBdr/>
      <w:spacing/>
      <w:outlineLvl w:val="5"/>
    </w:pPr>
    <w:rPr>
      <w:i/>
    </w:rPr>
  </w:style>
  <w:style w:type="paragraph" w:styleId="Heading7">
    <w:name w:val="Heading 7"/>
    <w:basedOn w:val="Heading6"/>
    <w:next w:val="Block1"/>
    <w:link w:val="Heading7Char"/>
    <w:uiPriority w:val="1"/>
    <w:pPr>
      <w:pBdr/>
      <w:spacing w:after="180"/>
      <w:outlineLvl w:val="6"/>
    </w:pPr>
    <w:rPr>
      <w:b w:val="0"/>
      <w:iCs w:val="0"/>
    </w:rPr>
  </w:style>
  <w:style w:type="paragraph" w:styleId="Heading8">
    <w:name w:val="Heading 8"/>
    <w:basedOn w:val="Heading7"/>
    <w:next w:val="Block1"/>
    <w:link w:val="Heading8Char"/>
    <w:uiPriority w:val="1"/>
    <w:pPr>
      <w:pBdr/>
      <w:spacing/>
      <w:outlineLvl w:val="7"/>
    </w:pPr>
    <w:rPr>
      <w:b/>
      <w:i w:val="0"/>
      <w:sz w:val="24"/>
      <w:szCs w:val="21"/>
    </w:rPr>
  </w:style>
  <w:style w:type="paragraph" w:styleId="Heading9">
    <w:name w:val="Heading 9"/>
    <w:basedOn w:val="Heading8"/>
    <w:next w:val="Block1"/>
    <w:link w:val="Heading9Char"/>
    <w:uiPriority w:val="1"/>
    <w:pPr>
      <w:pBdr/>
      <w:spacing w:after="160"/>
      <w:outlineLvl w:val="8"/>
    </w:pPr>
    <w:rPr>
      <w:i/>
      <w:iCs/>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character" w:styleId="Heading1Char" w:customStyle="1">
    <w:name w:val="Heading 1 Char"/>
    <w:basedOn w:val="DefaultParagraphFont"/>
    <w:link w:val="Heading1"/>
    <w:uiPriority w:val="1"/>
    <w:rPr>
      <w:rFonts w:ascii="Calibri" w:hAnsi="Calibri"/>
      <w:b/>
      <w:sz w:val="32"/>
      <w:szCs w:val="32"/>
    </w:rPr>
  </w:style>
  <w:style w:type="paragraph" w:styleId="NoSpacing" w:customStyle="1">
    <w:name w:val="No Spacing"/>
    <w:basedOn w:val="Normal"/>
    <w:uiPriority w:val="99"/>
    <w:unhideWhenUsed/>
    <w:pPr>
      <w:pBdr/>
      <w:spacing w:after="0"/>
      <w:contextualSpacing/>
    </w:pPr>
    <w:rPr/>
  </w:style>
  <w:style w:type="character" w:styleId="Heading2Char" w:customStyle="1">
    <w:name w:val="Heading 2 Char"/>
    <w:basedOn w:val="DefaultParagraphFont"/>
    <w:link w:val="Heading2"/>
    <w:uiPriority w:val="1"/>
    <w:rPr>
      <w:rFonts w:asciiTheme="majorHAnsi" w:hAnsiTheme="majorHAnsi" w:eastAsia="Times New Roman"/>
      <w:b/>
      <w:sz w:val="28"/>
      <w:szCs w:val="32"/>
    </w:rPr>
  </w:style>
  <w:style w:type="character" w:styleId="Heading3Char" w:customStyle="1">
    <w:name w:val="Heading 3 Char"/>
    <w:basedOn w:val="DefaultParagraphFont"/>
    <w:link w:val="Heading3"/>
    <w:uiPriority w:val="1"/>
    <w:rPr>
      <w:rFonts w:asciiTheme="majorHAnsi" w:hAnsiTheme="majorHAnsi" w:eastAsiaTheme="majorEastAsia" w:cstheme="majorBidi"/>
      <w:b/>
      <w:i/>
      <w:sz w:val="28"/>
    </w:rPr>
  </w:style>
  <w:style w:type="paragraph" w:styleId="ListParagraph">
    <w:name w:val="List Paragraph"/>
    <w:basedOn w:val="Normal"/>
    <w:uiPriority w:val="98"/>
    <w:semiHidden/>
    <w:qFormat/>
    <w:pPr>
      <w:pBdr/>
      <w:spacing/>
      <w:ind w:left="475" w:hanging="475"/>
    </w:pPr>
    <w:rPr/>
  </w:style>
  <w:style w:type="character" w:styleId="Heading4Char" w:customStyle="1">
    <w:name w:val="Heading 4 Char"/>
    <w:basedOn w:val="DefaultParagraphFont"/>
    <w:link w:val="Heading4"/>
    <w:uiPriority w:val="1"/>
    <w:rPr>
      <w:rFonts w:asciiTheme="majorHAnsi" w:hAnsiTheme="majorHAnsi" w:eastAsiaTheme="majorEastAsia" w:cstheme="majorBidi"/>
      <w:i/>
      <w:iCs/>
      <w:sz w:val="28"/>
    </w:rPr>
  </w:style>
  <w:style w:type="character" w:styleId="Heading5Char" w:customStyle="1">
    <w:name w:val="Heading 5 Char"/>
    <w:basedOn w:val="DefaultParagraphFont"/>
    <w:link w:val="Heading5"/>
    <w:uiPriority w:val="1"/>
    <w:rPr>
      <w:rFonts w:asciiTheme="majorHAnsi" w:hAnsiTheme="majorHAnsi" w:eastAsiaTheme="majorEastAsia" w:cstheme="majorBidi"/>
      <w:b/>
      <w:iCs/>
      <w:sz w:val="26"/>
    </w:rPr>
  </w:style>
  <w:style w:type="paragraph" w:styleId="Section" w:customStyle="1">
    <w:name w:val="Section"/>
    <w:basedOn w:val="Heading1"/>
    <w:next w:val="Block1"/>
    <w:uiPriority w:val="1"/>
    <w:qFormat/>
    <w:pPr>
      <w:pBdr/>
      <w:spacing w:before="180" w:after="120"/>
      <w:ind w:left="950" w:hanging="950"/>
      <w:jc w:val="left"/>
      <w:outlineLvl w:val="5"/>
    </w:pPr>
    <w:rPr>
      <w:sz w:val="24"/>
    </w:rPr>
  </w:style>
  <w:style w:type="paragraph" w:styleId="Hang1" w:customStyle="1">
    <w:name w:val="Hang 1"/>
    <w:basedOn w:val="Normal"/>
    <w:uiPriority w:val="8"/>
    <w:qFormat/>
    <w:pPr>
      <w:pBdr/>
      <w:spacing/>
      <w:ind w:left="475" w:hanging="475"/>
    </w:pPr>
    <w:rPr/>
  </w:style>
  <w:style w:type="paragraph" w:styleId="List1" w:customStyle="1">
    <w:name w:val="List 1"/>
    <w:basedOn w:val="Hang1"/>
    <w:uiPriority w:val="5"/>
    <w:qFormat/>
    <w:pPr>
      <w:pBdr/>
      <w:spacing/>
    </w:pPr>
    <w:rPr/>
  </w:style>
  <w:style w:type="paragraph" w:styleId="ListParagraph2" w:customStyle="1">
    <w:name w:val="List Paragraph 2"/>
    <w:basedOn w:val="List1"/>
    <w:uiPriority w:val="98"/>
    <w:semiHidden/>
    <w:unhideWhenUsed/>
    <w:qFormat/>
    <w:pPr>
      <w:pBdr/>
      <w:spacing/>
      <w:ind w:left="950"/>
    </w:pPr>
    <w:rPr/>
  </w:style>
  <w:style w:type="paragraph" w:styleId="HistoryNote" w:customStyle="1">
    <w:name w:val="History Note"/>
    <w:basedOn w:val="Block1"/>
    <w:next w:val="Section"/>
    <w:uiPriority w:val="2"/>
    <w:qFormat/>
    <w:pPr>
      <w:pBdr/>
      <w:spacing w:after="240"/>
    </w:pPr>
    <w:rPr/>
  </w:style>
  <w:style w:type="paragraph" w:styleId="FootnoteText">
    <w:name w:val="Footnote Text"/>
    <w:basedOn w:val="Normal"/>
    <w:link w:val="FootnoteTextChar"/>
    <w:uiPriority w:val="99"/>
    <w:unhideWhenUsed/>
    <w:pPr>
      <w:pBdr/>
      <w:spacing w:after="0"/>
    </w:pPr>
    <w:rPr>
      <w:szCs w:val="20"/>
    </w:rPr>
  </w:style>
  <w:style w:type="character" w:styleId="FootnoteTextChar" w:customStyle="1">
    <w:name w:val="Footnote Text Char"/>
    <w:basedOn w:val="DefaultParagraphFont"/>
    <w:link w:val="FootnoteText"/>
    <w:uiPriority w:val="99"/>
    <w:rPr>
      <w:rFonts w:ascii="Calibri" w:hAnsi="Calibri"/>
      <w:sz w:val="20"/>
      <w:szCs w:val="20"/>
    </w:rPr>
  </w:style>
  <w:style w:type="character" w:styleId="FootnoteReference">
    <w:name w:val="Footnote Reference"/>
    <w:basedOn w:val="DefaultParagraphFont"/>
    <w:uiPriority w:val="99"/>
    <w:semiHidden/>
    <w:unhideWhenUsed/>
    <w:rPr>
      <w:vertAlign w:val="superscript"/>
    </w:rPr>
  </w:style>
  <w:style w:type="paragraph" w:styleId="TOC1">
    <w:name w:val="TOC 1"/>
    <w:basedOn w:val="Normal"/>
    <w:next w:val="TOC2"/>
    <w:uiPriority w:val="69"/>
    <w:unhideWhenUsed/>
    <w:qFormat/>
    <w:pPr>
      <w:pBdr/>
      <w:tabs>
        <w:tab w:val="right" w:leader="dot" w:pos="9000"/>
      </w:tabs>
      <w:spacing w:after="60" w:line="276" w:lineRule="auto"/>
      <w:ind w:left="245" w:hanging="245"/>
    </w:pPr>
    <w:rPr/>
  </w:style>
  <w:style w:type="paragraph" w:styleId="TOC2">
    <w:name w:val="TOC 2"/>
    <w:basedOn w:val="TOC1"/>
    <w:next w:val="TOC3"/>
    <w:uiPriority w:val="69"/>
    <w:unhideWhenUsed/>
    <w:qFormat/>
    <w:pPr>
      <w:pBdr/>
      <w:spacing/>
      <w:ind w:left="720"/>
    </w:pPr>
    <w:rPr/>
  </w:style>
  <w:style w:type="paragraph" w:styleId="TOC3">
    <w:name w:val="TOC 3"/>
    <w:basedOn w:val="TOC2"/>
    <w:next w:val="TOC4"/>
    <w:uiPriority w:val="69"/>
    <w:unhideWhenUsed/>
    <w:qFormat/>
    <w:pPr>
      <w:pBdr/>
      <w:spacing/>
      <w:ind w:left="1195"/>
    </w:pPr>
    <w:rPr/>
  </w:style>
  <w:style w:type="paragraph" w:styleId="TOC4">
    <w:name w:val="TOC 4"/>
    <w:basedOn w:val="TOC3"/>
    <w:next w:val="TOC5"/>
    <w:uiPriority w:val="69"/>
    <w:unhideWhenUsed/>
    <w:qFormat/>
    <w:pPr>
      <w:pBdr/>
      <w:spacing/>
      <w:ind w:left="1685"/>
    </w:pPr>
    <w:rPr/>
  </w:style>
  <w:style w:type="paragraph" w:styleId="Index1">
    <w:name w:val="Index 1"/>
    <w:basedOn w:val="TOC1"/>
    <w:next w:val="Index2"/>
    <w:uiPriority w:val="99"/>
    <w:unhideWhenUsed/>
    <w:pPr>
      <w:pBdr/>
      <w:spacing/>
    </w:pPr>
    <w:rPr/>
  </w:style>
  <w:style w:type="paragraph" w:styleId="Index2">
    <w:name w:val="Index 2"/>
    <w:basedOn w:val="TOC2"/>
    <w:next w:val="Index3"/>
    <w:uiPriority w:val="99"/>
    <w:unhideWhenUsed/>
    <w:pPr>
      <w:pBdr/>
      <w:spacing/>
    </w:pPr>
    <w:rPr/>
  </w:style>
  <w:style w:type="paragraph" w:styleId="Index3">
    <w:name w:val="Index 3"/>
    <w:basedOn w:val="TOC3"/>
    <w:next w:val="Index4"/>
    <w:uiPriority w:val="99"/>
    <w:unhideWhenUsed/>
    <w:pPr>
      <w:pBdr/>
      <w:spacing/>
    </w:pPr>
    <w:rPr/>
  </w:style>
  <w:style w:type="paragraph" w:styleId="Index4">
    <w:name w:val="Index 4"/>
    <w:basedOn w:val="TOC4"/>
    <w:next w:val="Index6"/>
    <w:uiPriority w:val="99"/>
    <w:unhideWhenUsed/>
    <w:pPr>
      <w:pBdr/>
      <w:spacing/>
    </w:pPr>
    <w:rPr/>
  </w:style>
  <w:style w:type="paragraph" w:styleId="TOC5">
    <w:name w:val="TOC 5"/>
    <w:basedOn w:val="TOC4"/>
    <w:next w:val="TOC6"/>
    <w:uiPriority w:val="69"/>
    <w:unhideWhenUsed/>
    <w:qFormat/>
    <w:pPr>
      <w:pBdr/>
      <w:spacing/>
      <w:ind w:left="2160"/>
    </w:pPr>
    <w:rPr/>
  </w:style>
  <w:style w:type="paragraph" w:styleId="Index5">
    <w:name w:val="Index 5"/>
    <w:basedOn w:val="TOC5"/>
    <w:next w:val="Index6"/>
    <w:uiPriority w:val="99"/>
    <w:unhideWhenUsed/>
    <w:pPr>
      <w:pBdr/>
      <w:spacing/>
    </w:pPr>
    <w:rPr/>
  </w:style>
  <w:style w:type="paragraph" w:styleId="TOC6">
    <w:name w:val="TOC 6"/>
    <w:basedOn w:val="TOC5"/>
    <w:uiPriority w:val="69"/>
    <w:unhideWhenUsed/>
    <w:qFormat/>
    <w:pPr>
      <w:pBdr/>
      <w:spacing/>
      <w:ind w:left="2635"/>
    </w:pPr>
    <w:rPr/>
  </w:style>
  <w:style w:type="paragraph" w:styleId="Index6">
    <w:name w:val="Index 6"/>
    <w:basedOn w:val="TOC6"/>
    <w:next w:val="Index7"/>
    <w:uiPriority w:val="99"/>
    <w:unhideWhenUsed/>
    <w:pPr>
      <w:pBdr/>
      <w:spacing/>
    </w:pPr>
    <w:rPr/>
  </w:style>
  <w:style w:type="paragraph" w:styleId="TOC7">
    <w:name w:val="TOC 7"/>
    <w:basedOn w:val="TOC6"/>
    <w:next w:val="TOC8"/>
    <w:uiPriority w:val="69"/>
    <w:unhideWhenUsed/>
    <w:qFormat/>
    <w:pPr>
      <w:pBdr/>
      <w:spacing/>
      <w:ind w:left="3125"/>
    </w:pPr>
    <w:rPr/>
  </w:style>
  <w:style w:type="paragraph" w:styleId="Index7">
    <w:name w:val="Index 7"/>
    <w:basedOn w:val="TOC7"/>
    <w:next w:val="Index8"/>
    <w:uiPriority w:val="99"/>
    <w:unhideWhenUsed/>
    <w:pPr>
      <w:pBdr/>
      <w:spacing/>
    </w:pPr>
    <w:rPr/>
  </w:style>
  <w:style w:type="paragraph" w:styleId="TOC8">
    <w:name w:val="TOC 8"/>
    <w:basedOn w:val="TOC7"/>
    <w:next w:val="TOC9"/>
    <w:uiPriority w:val="69"/>
    <w:unhideWhenUsed/>
    <w:qFormat/>
    <w:pPr>
      <w:pBdr/>
      <w:spacing/>
      <w:ind w:left="3600"/>
    </w:pPr>
    <w:rPr/>
  </w:style>
  <w:style w:type="paragraph" w:styleId="Index8">
    <w:name w:val="Index 8"/>
    <w:basedOn w:val="TOC8"/>
    <w:next w:val="Index9"/>
    <w:uiPriority w:val="99"/>
    <w:unhideWhenUsed/>
    <w:pPr>
      <w:pBdr/>
      <w:spacing/>
    </w:pPr>
    <w:rPr/>
  </w:style>
  <w:style w:type="paragraph" w:styleId="TOC9">
    <w:name w:val="TOC 9"/>
    <w:basedOn w:val="TOC8"/>
    <w:uiPriority w:val="69"/>
    <w:unhideWhenUsed/>
    <w:qFormat/>
    <w:pPr>
      <w:pBdr/>
      <w:spacing/>
      <w:ind w:left="4075"/>
    </w:pPr>
    <w:rPr/>
  </w:style>
  <w:style w:type="paragraph" w:styleId="Index9">
    <w:name w:val="Index 9"/>
    <w:basedOn w:val="TOC9"/>
    <w:uiPriority w:val="99"/>
    <w:unhideWhenUsed/>
    <w:pPr>
      <w:pBdr/>
      <w:spacing/>
    </w:pPr>
    <w:rPr/>
  </w:style>
  <w:style w:type="paragraph" w:styleId="Paragraph1" w:customStyle="1">
    <w:name w:val="Paragraph 1"/>
    <w:basedOn w:val="Normal"/>
    <w:uiPriority w:val="7"/>
    <w:qFormat/>
    <w:pPr>
      <w:pBdr/>
      <w:spacing/>
      <w:ind w:firstLine="475"/>
    </w:pPr>
    <w:rPr/>
  </w:style>
  <w:style w:type="paragraph" w:styleId="NormalWeb">
    <w:name w:val="Normal (Web)"/>
    <w:basedOn w:val="Normal"/>
    <w:uiPriority w:val="99"/>
    <w:semiHidden/>
    <w:unhideWhenUsed/>
    <w:pPr>
      <w:pBdr/>
      <w:spacing w:before="100" w:beforeAutospacing="1" w:after="100" w:afterAutospacing="1"/>
    </w:pPr>
    <w:rPr>
      <w:rFonts w:ascii="Verdana" w:hAnsi="Verdana" w:eastAsia="Times New Roman" w:cs="Times New Roman"/>
    </w:rPr>
  </w:style>
  <w:style w:type="paragraph" w:styleId="Title">
    <w:name w:val="Title"/>
    <w:basedOn w:val="Normal"/>
    <w:next w:val="Normal"/>
    <w:link w:val="TitleChar"/>
    <w:unhideWhenUsed/>
    <w:pPr>
      <w:pBdr/>
      <w:spacing w:after="0" w:line="480" w:lineRule="auto"/>
      <w:contextualSpacing/>
      <w:jc w:val="center"/>
      <w:outlineLvl w:val="0"/>
    </w:pPr>
    <w:rPr>
      <w:rFonts w:eastAsiaTheme="majorEastAsia" w:cstheme="majorBidi"/>
      <w:b/>
      <w:spacing w:val="-10"/>
      <w:kern w:val="28"/>
      <w:sz w:val="52"/>
      <w:szCs w:val="56"/>
    </w:rPr>
  </w:style>
  <w:style w:type="character" w:styleId="TitleChar" w:customStyle="1">
    <w:name w:val="Title Char"/>
    <w:basedOn w:val="DefaultParagraphFont"/>
    <w:link w:val="Title"/>
    <w:rPr>
      <w:rFonts w:ascii="Calibri" w:hAnsi="Calibri" w:eastAsiaTheme="majorEastAsia" w:cstheme="majorBidi"/>
      <w:b/>
      <w:spacing w:val="-10"/>
      <w:kern w:val="28"/>
      <w:sz w:val="52"/>
      <w:szCs w:val="56"/>
    </w:rPr>
  </w:style>
  <w:style w:type="paragraph" w:styleId="ReferenceNote" w:customStyle="1">
    <w:name w:val="Reference Note"/>
    <w:basedOn w:val="Block1"/>
    <w:next w:val="Block1"/>
    <w:uiPriority w:val="2"/>
    <w:qFormat/>
    <w:pPr>
      <w:pBdr/>
      <w:spacing/>
    </w:pPr>
    <w:rPr/>
  </w:style>
  <w:style w:type="paragraph" w:styleId="List2">
    <w:name w:val="List 2"/>
    <w:basedOn w:val="List1"/>
    <w:uiPriority w:val="5"/>
    <w:qFormat/>
    <w:pPr>
      <w:pBdr/>
      <w:spacing/>
      <w:ind w:left="950"/>
    </w:pPr>
    <w:rPr/>
  </w:style>
  <w:style w:type="paragraph" w:styleId="Block2" w:customStyle="1">
    <w:name w:val="Block 2"/>
    <w:basedOn w:val="Block1"/>
    <w:uiPriority w:val="3"/>
    <w:unhideWhenUsed/>
    <w:qFormat/>
    <w:pPr>
      <w:pBdr/>
      <w:spacing/>
      <w:ind w:left="475"/>
    </w:pPr>
    <w:rPr/>
  </w:style>
  <w:style w:type="paragraph" w:styleId="Block3" w:customStyle="1">
    <w:name w:val="Block 3"/>
    <w:basedOn w:val="Block2"/>
    <w:uiPriority w:val="3"/>
    <w:unhideWhenUsed/>
    <w:qFormat/>
    <w:pPr>
      <w:pBdr/>
      <w:spacing/>
      <w:ind w:left="950"/>
    </w:pPr>
    <w:rPr/>
  </w:style>
  <w:style w:type="paragraph" w:styleId="Block4" w:customStyle="1">
    <w:name w:val="Block 4"/>
    <w:basedOn w:val="Block3"/>
    <w:uiPriority w:val="3"/>
    <w:unhideWhenUsed/>
    <w:qFormat/>
    <w:pPr>
      <w:pBdr/>
      <w:spacing/>
      <w:ind w:left="1440"/>
    </w:pPr>
    <w:rPr/>
  </w:style>
  <w:style w:type="paragraph" w:styleId="Block5" w:customStyle="1">
    <w:name w:val="Block 5"/>
    <w:basedOn w:val="Block4"/>
    <w:uiPriority w:val="3"/>
    <w:unhideWhenUsed/>
    <w:qFormat/>
    <w:pPr>
      <w:pBdr/>
      <w:spacing/>
      <w:ind w:left="1915"/>
    </w:pPr>
    <w:rPr/>
  </w:style>
  <w:style w:type="paragraph" w:styleId="Block6" w:customStyle="1">
    <w:name w:val="Block 6"/>
    <w:basedOn w:val="Block5"/>
    <w:uiPriority w:val="3"/>
    <w:unhideWhenUsed/>
    <w:pPr>
      <w:pBdr/>
      <w:spacing/>
      <w:ind w:left="2390"/>
    </w:pPr>
    <w:rPr/>
  </w:style>
  <w:style w:type="paragraph" w:styleId="Block7" w:customStyle="1">
    <w:name w:val="Block 7"/>
    <w:basedOn w:val="Block6"/>
    <w:uiPriority w:val="3"/>
    <w:unhideWhenUsed/>
    <w:pPr>
      <w:pBdr/>
      <w:spacing/>
      <w:ind w:left="2880"/>
    </w:pPr>
    <w:rPr/>
  </w:style>
  <w:style w:type="paragraph" w:styleId="Block8" w:customStyle="1">
    <w:name w:val="Block 8"/>
    <w:basedOn w:val="Block7"/>
    <w:uiPriority w:val="3"/>
    <w:unhideWhenUsed/>
    <w:pPr>
      <w:pBdr/>
      <w:spacing/>
      <w:ind w:left="3355"/>
    </w:pPr>
    <w:rPr/>
  </w:style>
  <w:style w:type="paragraph" w:styleId="Block9" w:customStyle="1">
    <w:name w:val="Block 9"/>
    <w:basedOn w:val="Block8"/>
    <w:uiPriority w:val="3"/>
    <w:unhideWhenUsed/>
    <w:pPr>
      <w:pBdr/>
      <w:spacing/>
      <w:ind w:left="3830"/>
    </w:pPr>
    <w:rPr/>
  </w:style>
  <w:style w:type="paragraph" w:styleId="List3">
    <w:name w:val="List 3"/>
    <w:basedOn w:val="List2"/>
    <w:uiPriority w:val="5"/>
    <w:unhideWhenUsed/>
    <w:qFormat/>
    <w:pPr>
      <w:pBdr/>
      <w:spacing/>
      <w:ind w:left="1425"/>
    </w:pPr>
    <w:rPr/>
  </w:style>
  <w:style w:type="paragraph" w:styleId="List4">
    <w:name w:val="List 4"/>
    <w:basedOn w:val="List3"/>
    <w:uiPriority w:val="5"/>
    <w:unhideWhenUsed/>
    <w:qFormat/>
    <w:pPr>
      <w:pBdr/>
      <w:spacing/>
      <w:ind w:left="1915"/>
    </w:pPr>
    <w:rPr/>
  </w:style>
  <w:style w:type="paragraph" w:styleId="List5">
    <w:name w:val="List 5"/>
    <w:basedOn w:val="List4"/>
    <w:uiPriority w:val="5"/>
    <w:unhideWhenUsed/>
    <w:qFormat/>
    <w:pPr>
      <w:pBdr/>
      <w:spacing/>
      <w:ind w:left="2865"/>
    </w:pPr>
    <w:rPr/>
  </w:style>
  <w:style w:type="paragraph" w:styleId="List6" w:customStyle="1">
    <w:name w:val="List 6"/>
    <w:basedOn w:val="List5"/>
    <w:uiPriority w:val="5"/>
    <w:unhideWhenUsed/>
    <w:pPr>
      <w:pBdr/>
      <w:spacing/>
      <w:ind w:left="3355"/>
    </w:pPr>
    <w:rPr/>
  </w:style>
  <w:style w:type="paragraph" w:styleId="List7" w:customStyle="1">
    <w:name w:val="List 7"/>
    <w:basedOn w:val="List6"/>
    <w:uiPriority w:val="5"/>
    <w:unhideWhenUsed/>
    <w:pPr>
      <w:pBdr/>
      <w:spacing/>
      <w:ind w:left="3830"/>
    </w:pPr>
    <w:rPr/>
  </w:style>
  <w:style w:type="paragraph" w:styleId="List8" w:customStyle="1">
    <w:name w:val="List 8"/>
    <w:basedOn w:val="List7"/>
    <w:uiPriority w:val="5"/>
    <w:unhideWhenUsed/>
    <w:pPr>
      <w:pBdr/>
      <w:spacing/>
      <w:ind w:left="4305"/>
    </w:pPr>
    <w:rPr/>
  </w:style>
  <w:style w:type="paragraph" w:styleId="List9" w:customStyle="1">
    <w:name w:val="List 9"/>
    <w:basedOn w:val="List8"/>
    <w:uiPriority w:val="5"/>
    <w:unhideWhenUsed/>
    <w:pPr>
      <w:pBdr/>
      <w:spacing/>
      <w:ind w:left="4795"/>
    </w:pPr>
    <w:rPr/>
  </w:style>
  <w:style w:type="paragraph" w:styleId="Hang2" w:customStyle="1">
    <w:name w:val="Hang 2"/>
    <w:basedOn w:val="Hang1"/>
    <w:uiPriority w:val="8"/>
    <w:unhideWhenUsed/>
    <w:qFormat/>
    <w:pPr>
      <w:pBdr/>
      <w:spacing/>
      <w:ind w:left="950"/>
    </w:pPr>
    <w:rPr/>
  </w:style>
  <w:style w:type="paragraph" w:styleId="Hang3" w:customStyle="1">
    <w:name w:val="Hang 3"/>
    <w:basedOn w:val="Hang2"/>
    <w:uiPriority w:val="8"/>
    <w:unhideWhenUsed/>
    <w:qFormat/>
    <w:pPr>
      <w:pBdr/>
      <w:spacing/>
      <w:ind w:left="1425"/>
    </w:pPr>
    <w:rPr/>
  </w:style>
  <w:style w:type="paragraph" w:styleId="Hang4" w:customStyle="1">
    <w:name w:val="Hang 4"/>
    <w:basedOn w:val="Hang3"/>
    <w:uiPriority w:val="8"/>
    <w:unhideWhenUsed/>
    <w:qFormat/>
    <w:pPr>
      <w:pBdr/>
      <w:spacing/>
      <w:ind w:left="1915"/>
    </w:pPr>
    <w:rPr/>
  </w:style>
  <w:style w:type="paragraph" w:styleId="Hang5" w:customStyle="1">
    <w:name w:val="Hang 5"/>
    <w:basedOn w:val="Hang4"/>
    <w:uiPriority w:val="8"/>
    <w:unhideWhenUsed/>
    <w:qFormat/>
    <w:pPr>
      <w:pBdr/>
      <w:spacing/>
      <w:ind w:left="2390"/>
    </w:pPr>
    <w:rPr/>
  </w:style>
  <w:style w:type="paragraph" w:styleId="Hang6" w:customStyle="1">
    <w:name w:val="Hang 6"/>
    <w:basedOn w:val="Hang5"/>
    <w:uiPriority w:val="8"/>
    <w:unhideWhenUsed/>
    <w:pPr>
      <w:pBdr/>
      <w:spacing/>
      <w:ind w:left="2865"/>
    </w:pPr>
    <w:rPr/>
  </w:style>
  <w:style w:type="paragraph" w:styleId="Hang7" w:customStyle="1">
    <w:name w:val="Hang 7"/>
    <w:basedOn w:val="Hang6"/>
    <w:uiPriority w:val="8"/>
    <w:unhideWhenUsed/>
    <w:pPr>
      <w:pBdr/>
      <w:spacing/>
      <w:ind w:left="3355"/>
    </w:pPr>
    <w:rPr/>
  </w:style>
  <w:style w:type="paragraph" w:styleId="Hang8" w:customStyle="1">
    <w:name w:val="Hang 8"/>
    <w:basedOn w:val="Hang7"/>
    <w:uiPriority w:val="8"/>
    <w:unhideWhenUsed/>
    <w:pPr>
      <w:pBdr/>
      <w:spacing/>
      <w:ind w:left="3830"/>
    </w:pPr>
    <w:rPr/>
  </w:style>
  <w:style w:type="paragraph" w:styleId="Hang9" w:customStyle="1">
    <w:name w:val="Hang 9"/>
    <w:basedOn w:val="Hang8"/>
    <w:uiPriority w:val="8"/>
    <w:unhideWhenUsed/>
    <w:pPr>
      <w:pBdr/>
      <w:spacing/>
      <w:ind w:left="4305"/>
    </w:pPr>
    <w:rPr/>
  </w:style>
  <w:style w:type="paragraph" w:styleId="Paragraph2" w:customStyle="1">
    <w:name w:val="Paragraph 2"/>
    <w:basedOn w:val="Paragraph1"/>
    <w:uiPriority w:val="7"/>
    <w:unhideWhenUsed/>
    <w:qFormat/>
    <w:pPr>
      <w:pBdr/>
      <w:spacing/>
      <w:ind w:left="475"/>
    </w:pPr>
    <w:rPr/>
  </w:style>
  <w:style w:type="paragraph" w:styleId="Paragraph3" w:customStyle="1">
    <w:name w:val="Paragraph 3"/>
    <w:basedOn w:val="Paragraph2"/>
    <w:uiPriority w:val="7"/>
    <w:unhideWhenUsed/>
    <w:qFormat/>
    <w:pPr>
      <w:pBdr/>
      <w:spacing/>
      <w:ind w:left="950"/>
    </w:pPr>
    <w:rPr/>
  </w:style>
  <w:style w:type="paragraph" w:styleId="Paragraph4" w:customStyle="1">
    <w:name w:val="Paragraph 4"/>
    <w:basedOn w:val="Paragraph3"/>
    <w:uiPriority w:val="7"/>
    <w:unhideWhenUsed/>
    <w:qFormat/>
    <w:pPr>
      <w:pBdr/>
      <w:spacing/>
      <w:ind w:left="1440"/>
    </w:pPr>
    <w:rPr/>
  </w:style>
  <w:style w:type="paragraph" w:styleId="Paragraph5" w:customStyle="1">
    <w:name w:val="Paragraph 5"/>
    <w:basedOn w:val="Paragraph4"/>
    <w:uiPriority w:val="7"/>
    <w:unhideWhenUsed/>
    <w:qFormat/>
    <w:pPr>
      <w:pBdr/>
      <w:spacing/>
      <w:ind w:left="1915"/>
    </w:pPr>
    <w:rPr/>
  </w:style>
  <w:style w:type="paragraph" w:styleId="Paragraph6" w:customStyle="1">
    <w:name w:val="Paragraph 6"/>
    <w:basedOn w:val="Paragraph5"/>
    <w:uiPriority w:val="7"/>
    <w:unhideWhenUsed/>
    <w:pPr>
      <w:pBdr/>
      <w:spacing/>
      <w:ind w:left="2880"/>
    </w:pPr>
    <w:rPr/>
  </w:style>
  <w:style w:type="paragraph" w:styleId="Paragraph7" w:customStyle="1">
    <w:name w:val="Paragraph 7"/>
    <w:basedOn w:val="Paragraph6"/>
    <w:uiPriority w:val="7"/>
    <w:unhideWhenUsed/>
    <w:pPr>
      <w:pBdr/>
      <w:spacing/>
      <w:ind w:left="3355"/>
    </w:pPr>
    <w:rPr/>
  </w:style>
  <w:style w:type="paragraph" w:styleId="Paragraph8" w:customStyle="1">
    <w:name w:val="Paragraph 8"/>
    <w:basedOn w:val="Paragraph7"/>
    <w:uiPriority w:val="7"/>
    <w:unhideWhenUsed/>
    <w:pPr>
      <w:pBdr/>
      <w:spacing/>
      <w:ind w:left="3830"/>
    </w:pPr>
    <w:rPr/>
  </w:style>
  <w:style w:type="paragraph" w:styleId="Paragraph9" w:customStyle="1">
    <w:name w:val="Paragraph 9"/>
    <w:basedOn w:val="Paragraph8"/>
    <w:uiPriority w:val="7"/>
    <w:unhideWhenUsed/>
    <w:pPr>
      <w:pBdr/>
      <w:spacing/>
      <w:ind w:left="4320"/>
    </w:pPr>
    <w:rPr/>
  </w:style>
  <w:style w:type="character" w:styleId="Heading6Char" w:customStyle="1">
    <w:name w:val="Heading 6 Char"/>
    <w:basedOn w:val="DefaultParagraphFont"/>
    <w:link w:val="Heading6"/>
    <w:uiPriority w:val="1"/>
    <w:rPr>
      <w:rFonts w:asciiTheme="majorHAnsi" w:hAnsiTheme="majorHAnsi" w:eastAsiaTheme="majorEastAsia" w:cstheme="majorBidi"/>
      <w:b/>
      <w:i/>
      <w:iCs/>
      <w:sz w:val="26"/>
    </w:rPr>
  </w:style>
  <w:style w:type="character" w:styleId="Heading8Char" w:customStyle="1">
    <w:name w:val="Heading 8 Char"/>
    <w:basedOn w:val="DefaultParagraphFont"/>
    <w:link w:val="Heading8"/>
    <w:uiPriority w:val="1"/>
    <w:rPr>
      <w:rFonts w:ascii="Calibri" w:hAnsi="Calibri" w:eastAsiaTheme="majorEastAsia" w:cstheme="majorBidi"/>
      <w:b/>
      <w:szCs w:val="21"/>
    </w:rPr>
  </w:style>
  <w:style w:type="character" w:styleId="Heading7Char" w:customStyle="1">
    <w:name w:val="Heading 7 Char"/>
    <w:basedOn w:val="DefaultParagraphFont"/>
    <w:link w:val="Heading7"/>
    <w:uiPriority w:val="1"/>
    <w:rPr>
      <w:rFonts w:asciiTheme="majorHAnsi" w:hAnsiTheme="majorHAnsi" w:eastAsiaTheme="majorEastAsia" w:cstheme="majorBidi"/>
      <w:i/>
      <w:sz w:val="26"/>
    </w:rPr>
  </w:style>
  <w:style w:type="character" w:styleId="Heading9Char" w:customStyle="1">
    <w:name w:val="Heading 9 Char"/>
    <w:basedOn w:val="DefaultParagraphFont"/>
    <w:link w:val="Heading9"/>
    <w:uiPriority w:val="1"/>
    <w:rPr>
      <w:rFonts w:ascii="Calibri" w:hAnsi="Calibri" w:eastAsiaTheme="majorEastAsia" w:cstheme="majorBidi"/>
      <w:b/>
      <w:i/>
      <w:iCs/>
      <w:szCs w:val="21"/>
    </w:rPr>
  </w:style>
  <w:style w:type="paragraph" w:styleId="Subsect1" w:customStyle="1">
    <w:name w:val="Subsect 1"/>
    <w:basedOn w:val="Section"/>
    <w:next w:val="Block1"/>
    <w:uiPriority w:val="1"/>
    <w:qFormat/>
    <w:pPr>
      <w:pBdr/>
      <w:spacing/>
      <w:outlineLvl w:val="6"/>
    </w:pPr>
    <w:rPr>
      <w:u w:val="single"/>
    </w:rPr>
  </w:style>
  <w:style w:type="paragraph" w:styleId="Subsect2" w:customStyle="1">
    <w:name w:val="Subsect 2"/>
    <w:basedOn w:val="Subsect1"/>
    <w:next w:val="Block1"/>
    <w:uiPriority w:val="1"/>
    <w:qFormat/>
    <w:pPr>
      <w:pBdr/>
      <w:spacing/>
      <w:outlineLvl w:val="7"/>
    </w:pPr>
    <w:rPr>
      <w:i/>
    </w:rPr>
  </w:style>
  <w:style w:type="paragraph" w:styleId="Subsect3" w:customStyle="1">
    <w:name w:val="Subsect 3"/>
    <w:basedOn w:val="Subsect2"/>
    <w:next w:val="Block1"/>
    <w:uiPriority w:val="1"/>
    <w:qFormat/>
    <w:pPr>
      <w:pBdr/>
      <w:spacing/>
      <w:outlineLvl w:val="8"/>
    </w:pPr>
    <w:rPr>
      <w:b w:val="0"/>
      <w:i w:val="0"/>
    </w:rPr>
  </w:style>
  <w:style w:type="table" w:styleId="NormalTable_7f112e66-28a1-4ba9-9b71-0b5bebf91ea7" w:customStyle="1">
    <w:name w:val="Normal Table_7f112e66-28a1-4ba9-9b71-0b5bebf91ea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7f112e66-28a1-4ba9-9b71-0b5bebf91ea7"/>
    <w:uiPriority w:val="39"/>
    <w:pPr>
      <w:pBdr/>
      <w:spacing w:before="0" w:after="0"/>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style>
  <w:style w:type="paragraph" w:styleId="ImageCaptionBelowLeft" w:customStyle="1">
    <w:name w:val="Image Caption Below Left"/>
    <w:basedOn w:val="Block1"/>
    <w:next w:val="Block1"/>
    <w:qFormat/>
    <w:pPr>
      <w:widowControl w:val="false"/>
      <w:pBdr/>
      <w:spacing/>
    </w:pPr>
    <w:rPr>
      <w:b/>
    </w:rPr>
  </w:style>
  <w:style w:type="paragraph" w:styleId="ImageCaptionBelowCenter" w:customStyle="1">
    <w:name w:val="Image Caption Below Center"/>
    <w:basedOn w:val="ImageCaptionBelowLeft"/>
    <w:next w:val="Block1"/>
    <w:pPr>
      <w:pBdr/>
      <w:spacing/>
      <w:jc w:val="center"/>
    </w:pPr>
    <w:rPr/>
  </w:style>
  <w:style w:type="paragraph" w:styleId="ImageLeft" w:customStyle="1">
    <w:name w:val="Image Left"/>
    <w:next w:val="Block1"/>
    <w:qFormat/>
    <w:pPr>
      <w:pBdr/>
      <w:spacing/>
      <w:jc w:val="left"/>
    </w:pPr>
    <w:rPr>
      <w:rFonts w:ascii="Calibri" w:hAnsi="Calibri"/>
    </w:rPr>
  </w:style>
  <w:style w:type="paragraph" w:styleId="ImageCenter" w:customStyle="1">
    <w:name w:val="Image Center"/>
    <w:basedOn w:val="ImageLeft"/>
    <w:next w:val="Block1"/>
    <w:qFormat/>
    <w:pPr>
      <w:pBdr/>
      <w:spacing/>
      <w:jc w:val="center"/>
    </w:pPr>
    <w:rPr/>
  </w:style>
  <w:style w:type="paragraph" w:styleId="ImageCaptionAboveLeft" w:customStyle="1">
    <w:name w:val="Image Caption Above Left"/>
    <w:basedOn w:val="Block1"/>
    <w:next w:val="Block1"/>
    <w:qFormat/>
    <w:pPr>
      <w:keepNext/>
      <w:pBdr/>
      <w:spacing/>
    </w:pPr>
    <w:rPr>
      <w:b/>
    </w:rPr>
  </w:style>
  <w:style w:type="paragraph" w:styleId="ImageCaptionBelowRight" w:customStyle="1">
    <w:name w:val="Image Caption Below Right"/>
    <w:basedOn w:val="ImageCaptionBelowLeft"/>
    <w:next w:val="Block1"/>
    <w:qFormat/>
    <w:pPr>
      <w:pBdr/>
      <w:spacing/>
      <w:jc w:val="right"/>
    </w:pPr>
    <w:rPr/>
  </w:style>
  <w:style w:type="paragraph" w:styleId="ImageRight" w:customStyle="1">
    <w:name w:val="Image Right"/>
    <w:basedOn w:val="ImageLeft"/>
    <w:next w:val="Block1"/>
    <w:qFormat/>
    <w:pPr>
      <w:pBdr/>
      <w:spacing/>
      <w:jc w:val="right"/>
    </w:pPr>
    <w:rPr/>
  </w:style>
  <w:style w:type="character" w:styleId="Hyperlink">
    <w:name w:val="Hyperlink"/>
    <w:basedOn w:val="DefaultParagraphFont"/>
    <w:uiPriority w:val="99"/>
    <w:unhideWhenUsed/>
    <w:rPr>
      <w:color w:val="4472C4"/>
      <w:u w:val="none"/>
    </w:rPr>
  </w:style>
  <w:style w:type="paragraph" w:styleId="BlockCenter" w:customStyle="1">
    <w:name w:val="Block Center"/>
    <w:basedOn w:val="Block1"/>
    <w:qFormat/>
    <w:pPr>
      <w:pBdr/>
      <w:spacing/>
      <w:jc w:val="center"/>
    </w:pPr>
    <w:rPr/>
  </w:style>
  <w:style w:type="paragraph" w:styleId="BodyText">
    <w:name w:val="Body Text"/>
    <w:basedOn w:val="Normal"/>
    <w:link w:val="BodyTextChar"/>
    <w:uiPriority w:val="99"/>
    <w:semiHidden/>
    <w:pPr>
      <w:pBdr/>
      <w:spacing/>
    </w:pPr>
    <w:rPr/>
  </w:style>
  <w:style w:type="character" w:styleId="BodyTextChar" w:customStyle="1">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pBdr/>
      <w:spacing/>
      <w:ind w:left="360" w:hanging="360"/>
      <w:contextualSpacing/>
    </w:pPr>
    <w:rPr/>
  </w:style>
  <w:style w:type="paragraph" w:styleId="ListBullet">
    <w:name w:val="List Bullet"/>
    <w:basedOn w:val="Normal"/>
    <w:uiPriority w:val="99"/>
    <w:semiHidden/>
    <w:unhideWhenUsed/>
    <w:qFormat/>
    <w:numPr>
      <w:numId w:val="1"/>
    </w:numPr>
    <w:pPr>
      <w:numPr>
        <w:numId w:val="1"/>
      </w:numPr>
      <w:pBdr/>
      <w:spacing/>
      <w:contextualSpacing/>
    </w:pPr>
    <w:rPr/>
  </w:style>
  <w:style w:type="paragraph" w:styleId="ListContinue">
    <w:name w:val="List Continue"/>
    <w:basedOn w:val="Normal"/>
    <w:uiPriority w:val="99"/>
    <w:semiHidden/>
    <w:unhideWhenUsed/>
    <w:pPr>
      <w:pBdr/>
      <w:spacing/>
      <w:ind w:left="360"/>
      <w:contextualSpacing/>
    </w:pPr>
    <w:rPr/>
  </w:style>
  <w:style w:type="paragraph" w:styleId="Block1Center" w:customStyle="1">
    <w:name w:val="Block 1 Center"/>
    <w:basedOn w:val="Block1"/>
    <w:qFormat/>
    <w:pPr>
      <w:pBdr/>
      <w:spacing/>
      <w:jc w:val="center"/>
    </w:pPr>
    <w:rPr/>
  </w:style>
  <w:style w:type="paragraph" w:styleId="Block2Center" w:customStyle="1">
    <w:name w:val="Block 2 Center"/>
    <w:basedOn w:val="Block2"/>
    <w:qFormat/>
    <w:pPr>
      <w:pBdr/>
      <w:spacing/>
      <w:jc w:val="center"/>
    </w:pPr>
    <w:rPr/>
  </w:style>
  <w:style w:type="paragraph" w:styleId="Block3Center" w:customStyle="1">
    <w:name w:val="Block 3 Center"/>
    <w:basedOn w:val="Block3"/>
    <w:qFormat/>
    <w:pPr>
      <w:pBdr/>
      <w:spacing/>
      <w:jc w:val="center"/>
    </w:pPr>
    <w:rPr/>
  </w:style>
  <w:style w:type="paragraph" w:styleId="Block4Center" w:customStyle="1">
    <w:name w:val="Block 4 Center"/>
    <w:basedOn w:val="Block4"/>
    <w:qFormat/>
    <w:pPr>
      <w:pBdr/>
      <w:spacing/>
      <w:jc w:val="center"/>
    </w:pPr>
    <w:rPr/>
  </w:style>
  <w:style w:type="paragraph" w:styleId="Block5Center" w:customStyle="1">
    <w:name w:val="Block 5 Center"/>
    <w:basedOn w:val="Block5"/>
    <w:qFormat/>
    <w:pPr>
      <w:pBdr/>
      <w:spacing/>
      <w:jc w:val="center"/>
    </w:pPr>
    <w:rPr/>
  </w:style>
  <w:style w:type="paragraph" w:styleId="Block6Center" w:customStyle="1">
    <w:name w:val="Block 6 Center"/>
    <w:basedOn w:val="Block6"/>
    <w:qFormat/>
    <w:pPr>
      <w:pBdr/>
      <w:spacing/>
      <w:jc w:val="center"/>
    </w:pPr>
    <w:rPr/>
  </w:style>
  <w:style w:type="paragraph" w:styleId="Block7Center" w:customStyle="1">
    <w:name w:val="Block 7 Center"/>
    <w:basedOn w:val="Block7"/>
    <w:qFormat/>
    <w:pPr>
      <w:pBdr/>
      <w:spacing/>
      <w:jc w:val="center"/>
    </w:pPr>
    <w:rPr/>
  </w:style>
  <w:style w:type="paragraph" w:styleId="Block8Center" w:customStyle="1">
    <w:name w:val="Block 8 Center"/>
    <w:basedOn w:val="Block8"/>
    <w:qFormat/>
    <w:pPr>
      <w:pBdr/>
      <w:spacing/>
      <w:jc w:val="center"/>
    </w:pPr>
    <w:rPr/>
  </w:style>
  <w:style w:type="paragraph" w:styleId="Block9Center" w:customStyle="1">
    <w:name w:val="Block 9 Center"/>
    <w:basedOn w:val="Block9"/>
    <w:qFormat/>
    <w:pPr>
      <w:pBdr/>
      <w:spacing/>
      <w:jc w:val="center"/>
    </w:pPr>
    <w:rPr/>
  </w:style>
  <w:style w:type="paragraph" w:styleId="ListNumber">
    <w:name w:val="List Number"/>
    <w:basedOn w:val="Normal"/>
    <w:uiPriority w:val="99"/>
    <w:semiHidden/>
    <w:unhideWhenUsed/>
    <w:numPr>
      <w:numId w:val="2"/>
    </w:numPr>
    <w:pPr>
      <w:numPr>
        <w:numId w:val="2"/>
      </w:numPr>
      <w:pBdr/>
      <w:spacing/>
      <w:contextualSpacing/>
    </w:pPr>
    <w:rPr/>
  </w:style>
  <w:style w:type="paragraph" w:styleId="TableofFigures">
    <w:name w:val="Table of Figures"/>
    <w:basedOn w:val="Normal"/>
    <w:next w:val="Normal"/>
    <w:uiPriority w:val="99"/>
    <w:semiHidden/>
    <w:unhideWhenUsed/>
    <w:pPr>
      <w:pBdr/>
      <w:spacing w:after="0"/>
    </w:pPr>
    <w:rPr/>
  </w:style>
  <w:style w:type="paragraph" w:styleId="Subtitle">
    <w:name w:val="Subtitle"/>
    <w:basedOn w:val="Normal"/>
    <w:next w:val="Normal"/>
    <w:link w:val="SubtitleChar"/>
    <w:uiPriority w:val="87"/>
    <w:semiHidden/>
    <w:unhideWhenUsed/>
    <w:qFormat/>
    <w:numPr>
      <w:ilvl w:val="1"/>
    </w:numPr>
    <w:pPr>
      <w:numPr>
        <w:ilvl w:val="1"/>
      </w:numPr>
      <w:pBdr/>
      <w:spacing w:after="160"/>
    </w:pPr>
    <w:rPr>
      <w:rFonts w:eastAsiaTheme="minorEastAsia"/>
      <w:color w:val="5A5A5A"/>
      <w:spacing w:val="15"/>
      <w:sz w:val="22"/>
      <w:szCs w:val="22"/>
    </w:rPr>
  </w:style>
  <w:style w:type="character" w:styleId="SubtitleChar" w:customStyle="1">
    <w:name w:val="Subtitle Char"/>
    <w:basedOn w:val="DefaultParagraphFont"/>
    <w:link w:val="Subtitle"/>
    <w:uiPriority w:val="87"/>
    <w:semiHidden/>
    <w:rPr>
      <w:rFonts w:ascii="Calibri" w:hAnsi="Calibri" w:eastAsiaTheme="minorEastAsia"/>
      <w:color w:val="5A5A5A"/>
      <w:spacing w:val="15"/>
      <w:sz w:val="22"/>
      <w:szCs w:val="22"/>
    </w:rPr>
  </w:style>
  <w:style w:type="paragraph" w:styleId="Footer">
    <w:name w:val="Footer"/>
    <w:basedOn w:val="Normal"/>
    <w:link w:val="FooterChar"/>
    <w:uiPriority w:val="99"/>
    <w:semiHidden/>
    <w:unhideWhenUsed/>
    <w:pPr>
      <w:pBdr/>
      <w:tabs>
        <w:tab w:val="center" w:pos="4680"/>
        <w:tab w:val="right" w:pos="9360"/>
      </w:tabs>
      <w:spacing w:before="0" w:after="0"/>
    </w:pPr>
    <w:rPr/>
  </w:style>
  <w:style w:type="character" w:styleId="FooterChar" w:customStyle="1">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color="4472C4" w:sz="2" w:space="10"/>
        <w:left w:val="single" w:color="4472C4" w:sz="2" w:space="10"/>
        <w:bottom w:val="single" w:color="4472C4" w:sz="2" w:space="10"/>
        <w:right w:val="single" w:color="4472C4" w:sz="2" w:space="10"/>
      </w:pBdr>
      <w:spacing/>
      <w:ind w:left="1152" w:right="1152"/>
    </w:pPr>
    <w:rPr>
      <w:rFonts w:eastAsiaTheme="minorEastAsia"/>
      <w:i/>
      <w:iCs/>
      <w:color w:val="4472C4"/>
    </w:rPr>
  </w:style>
  <w:style w:type="paragraph" w:styleId="BodyText2">
    <w:name w:val="Body Text 2"/>
    <w:basedOn w:val="Normal"/>
    <w:link w:val="BodyText2Char"/>
    <w:uiPriority w:val="99"/>
    <w:semiHidden/>
    <w:pPr>
      <w:pBdr/>
      <w:spacing w:line="480" w:lineRule="auto"/>
    </w:pPr>
    <w:rPr/>
  </w:style>
  <w:style w:type="character" w:styleId="BodyText2Char" w:customStyle="1">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pPr>
      <w:pBdr/>
      <w:spacing/>
    </w:pPr>
    <w:rPr>
      <w:sz w:val="16"/>
      <w:szCs w:val="16"/>
    </w:rPr>
  </w:style>
  <w:style w:type="character" w:styleId="BodyText3Char" w:customStyle="1">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pBdr/>
      <w:spacing/>
      <w:ind w:firstLine="360"/>
    </w:pPr>
    <w:rPr/>
  </w:style>
  <w:style w:type="character" w:styleId="BodyTextFirstIndentChar" w:customStyle="1">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pBdr/>
      <w:spacing/>
      <w:ind w:left="360"/>
    </w:pPr>
    <w:rPr/>
  </w:style>
  <w:style w:type="character" w:styleId="BodyTextIndentChar" w:customStyle="1">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pBdr/>
      <w:spacing/>
      <w:ind w:firstLine="360"/>
    </w:pPr>
    <w:rPr/>
  </w:style>
  <w:style w:type="character" w:styleId="BodyTextFirstIndent2Char" w:customStyle="1">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pBdr/>
      <w:spacing w:line="480" w:lineRule="auto"/>
      <w:ind w:left="360"/>
    </w:pPr>
    <w:rPr/>
  </w:style>
  <w:style w:type="character" w:styleId="BodyTextIndent2Char" w:customStyle="1">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pBdr/>
      <w:spacing/>
      <w:ind w:left="360"/>
    </w:pPr>
    <w:rPr>
      <w:sz w:val="16"/>
      <w:szCs w:val="16"/>
    </w:rPr>
  </w:style>
  <w:style w:type="character" w:styleId="BodyTextIndent3Char" w:customStyle="1">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pBdr/>
      <w:spacing w:before="0" w:after="200"/>
    </w:pPr>
    <w:rPr>
      <w:i/>
      <w:iCs/>
      <w:color w:val="44546A"/>
      <w:sz w:val="18"/>
      <w:szCs w:val="18"/>
    </w:rPr>
  </w:style>
  <w:style w:type="paragraph" w:styleId="Closing">
    <w:name w:val="Closing"/>
    <w:basedOn w:val="Normal"/>
    <w:link w:val="ClosingChar"/>
    <w:uiPriority w:val="99"/>
    <w:semiHidden/>
    <w:pPr>
      <w:pBdr/>
      <w:spacing w:before="0" w:after="0"/>
      <w:ind w:left="4320"/>
    </w:pPr>
    <w:rPr/>
  </w:style>
  <w:style w:type="character" w:styleId="ClosingChar" w:customStyle="1">
    <w:name w:val="Closing Char"/>
    <w:basedOn w:val="DefaultParagraphFont"/>
    <w:link w:val="Closing"/>
    <w:uiPriority w:val="99"/>
    <w:semiHidden/>
    <w:rPr>
      <w:rFonts w:ascii="Calibri" w:hAnsi="Calibri"/>
      <w:sz w:val="20"/>
    </w:rPr>
  </w:style>
  <w:style w:type="paragraph" w:styleId="CommentText" w:customStyle="1">
    <w:name w:val="annotation text"/>
    <w:basedOn w:val="Normal"/>
    <w:link w:val="CommentTextChar"/>
    <w:uiPriority w:val="99"/>
    <w:semiHidden/>
    <w:unhideWhenUsed/>
    <w:pPr>
      <w:pBdr/>
      <w:spacing/>
    </w:pPr>
    <w:rPr>
      <w:szCs w:val="20"/>
    </w:rPr>
  </w:style>
  <w:style w:type="character" w:styleId="CommentTextChar" w:customStyle="1">
    <w:name w:val="Comment Text Char"/>
    <w:basedOn w:val="DefaultParagraphFont"/>
    <w:link w:val="annotationtext"/>
    <w:uiPriority w:val="99"/>
    <w:semiHidden/>
    <w:rPr>
      <w:rFonts w:ascii="Calibri" w:hAnsi="Calibri"/>
      <w:sz w:val="20"/>
      <w:szCs w:val="20"/>
    </w:rPr>
  </w:style>
  <w:style w:type="paragraph" w:styleId="CommentSubject" w:customStyle="1">
    <w:name w:val="annotation subject"/>
    <w:basedOn w:val="CommentText"/>
    <w:next w:val="CommentText"/>
    <w:link w:val="CommentSubjectChar"/>
    <w:uiPriority w:val="99"/>
    <w:semiHidden/>
    <w:unhideWhenUsed/>
    <w:pPr>
      <w:pBdr/>
      <w:spacing/>
    </w:pPr>
    <w:rPr>
      <w:b/>
      <w:bCs/>
    </w:rPr>
  </w:style>
  <w:style w:type="character" w:styleId="CommentSubjectChar" w:customStyle="1">
    <w:name w:val="Comment Subject Char"/>
    <w:basedOn w:val="CommentTextChar"/>
    <w:link w:val="annotationsubject"/>
    <w:uiPriority w:val="99"/>
    <w:semiHidden/>
    <w:rPr>
      <w:rFonts w:ascii="Calibri" w:hAnsi="Calibri"/>
      <w:b/>
      <w:bCs/>
      <w:sz w:val="20"/>
      <w:szCs w:val="20"/>
    </w:rPr>
  </w:style>
  <w:style w:type="paragraph" w:styleId="Date">
    <w:name w:val="Date"/>
    <w:basedOn w:val="Normal"/>
    <w:next w:val="Normal"/>
    <w:link w:val="DateChar"/>
    <w:uiPriority w:val="99"/>
    <w:semiHidden/>
    <w:unhideWhenUsed/>
    <w:pPr>
      <w:pBdr/>
      <w:spacing/>
    </w:pPr>
    <w:rPr/>
  </w:style>
  <w:style w:type="character" w:styleId="DateChar" w:customStyle="1">
    <w:name w:val="Date Char"/>
    <w:basedOn w:val="DefaultParagraphFont"/>
    <w:link w:val="Date"/>
    <w:uiPriority w:val="99"/>
    <w:semiHidden/>
    <w:rPr>
      <w:rFonts w:ascii="Calibri" w:hAnsi="Calibri"/>
      <w:sz w:val="20"/>
    </w:rPr>
  </w:style>
  <w:style w:type="character" w:styleId="BookTitle" w:customStyle="1">
    <w:name w:val="Book Title"/>
    <w:basedOn w:val="DefaultParagraphFont"/>
    <w:uiPriority w:val="84"/>
    <w:semiHidden/>
    <w:unhideWhenUsed/>
    <w:qFormat/>
    <w:rPr>
      <w:b/>
      <w:bCs/>
      <w:i/>
      <w:iCs/>
      <w:spacing w:val="5"/>
    </w:rPr>
  </w:style>
  <w:style w:type="character" w:styleId="CommentReference" w:customStyle="1">
    <w:name w:val="annotation reference"/>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pBdr/>
      <w:spacing w:before="0" w:after="0"/>
    </w:pPr>
    <w:rPr>
      <w:rFonts w:cs="Calibri"/>
      <w:sz w:val="16"/>
      <w:szCs w:val="16"/>
    </w:rPr>
  </w:style>
  <w:style w:type="character" w:styleId="DocumentMapChar" w:customStyle="1">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pBdr/>
      <w:spacing w:before="0" w:after="0"/>
    </w:pPr>
    <w:rPr/>
  </w:style>
  <w:style w:type="character" w:styleId="E-mailSignatureChar" w:customStyle="1">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pBdr/>
      <w:spacing w:before="0" w:after="0"/>
    </w:pPr>
    <w:rPr>
      <w:szCs w:val="20"/>
    </w:rPr>
  </w:style>
  <w:style w:type="character" w:styleId="EndnoteTextChar" w:customStyle="1">
    <w:name w:val="Endnote Text Char"/>
    <w:basedOn w:val="DefaultParagraphFont"/>
    <w:link w:val="EndnoteText"/>
    <w:uiPriority w:val="99"/>
    <w:semiHidden/>
    <w:rPr>
      <w:rFonts w:ascii="Calibri" w:hAnsi="Calibri"/>
      <w:sz w:val="20"/>
      <w:szCs w:val="20"/>
    </w:rPr>
  </w:style>
  <w:style w:type="paragraph" w:styleId="EnvelopeAddress" w:customStyle="1">
    <w:name w:val="envelope address"/>
    <w:basedOn w:val="Normal"/>
    <w:uiPriority w:val="99"/>
    <w:semiHidden/>
    <w:unhideWhenUsed/>
    <w:pPr>
      <w:framePr w:w="7920" w:h="1980" w:hSpace="180" w:wrap="auto" w:hAnchor="page" w:xAlign="center" w:yAlign="bottom" w:hRule="exact"/>
      <w:pBdr/>
      <w:spacing w:before="0" w:after="0"/>
      <w:ind w:left="2880"/>
    </w:pPr>
    <w:rPr>
      <w:rFonts w:asciiTheme="majorHAnsi" w:hAnsiTheme="majorHAnsi" w:eastAsiaTheme="majorEastAsia" w:cstheme="majorBidi"/>
      <w:sz w:val="24"/>
    </w:rPr>
  </w:style>
  <w:style w:type="paragraph" w:styleId="EnvelopeReturn" w:customStyle="1">
    <w:name w:val="envelope return"/>
    <w:basedOn w:val="Normal"/>
    <w:uiPriority w:val="99"/>
    <w:semiHidden/>
    <w:unhideWhenUsed/>
    <w:pPr>
      <w:pBdr/>
      <w:spacing w:before="0" w:after="0"/>
    </w:pPr>
    <w:rPr>
      <w:rFonts w:asciiTheme="majorHAnsi" w:hAnsiTheme="majorHAnsi" w:eastAsiaTheme="majorEastAsia"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pBdr/>
      <w:tabs>
        <w:tab w:val="center" w:pos="4680"/>
        <w:tab w:val="right" w:pos="9360"/>
      </w:tabs>
      <w:spacing w:before="0" w:after="0"/>
    </w:pPr>
    <w:rPr/>
  </w:style>
  <w:style w:type="character" w:styleId="HeaderChar" w:customStyle="1">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pBdr/>
      <w:spacing w:before="0" w:after="0"/>
    </w:pPr>
    <w:rPr/>
  </w:style>
  <w:style w:type="character" w:styleId="NoteHeadingChar" w:customStyle="1">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numPr>
      <w:numId w:val="3"/>
    </w:numPr>
    <w:pPr>
      <w:numPr>
        <w:numId w:val="3"/>
      </w:numPr>
      <w:pBdr/>
      <w:spacing/>
      <w:contextualSpacing/>
    </w:pPr>
    <w:rPr/>
  </w:style>
  <w:style w:type="paragraph" w:styleId="ListBullet3">
    <w:name w:val="List Bullet 3"/>
    <w:basedOn w:val="Normal"/>
    <w:uiPriority w:val="99"/>
    <w:semiHidden/>
    <w:unhideWhenUsed/>
    <w:numPr>
      <w:numId w:val="4"/>
    </w:numPr>
    <w:pPr>
      <w:numPr>
        <w:numId w:val="4"/>
      </w:numPr>
      <w:pBdr/>
      <w:spacing/>
      <w:contextualSpacing/>
    </w:pPr>
    <w:rPr/>
  </w:style>
  <w:style w:type="paragraph" w:styleId="ListBullet4">
    <w:name w:val="List Bullet 4"/>
    <w:basedOn w:val="Normal"/>
    <w:uiPriority w:val="99"/>
    <w:semiHidden/>
    <w:unhideWhenUsed/>
    <w:numPr>
      <w:numId w:val="5"/>
    </w:numPr>
    <w:pPr>
      <w:numPr>
        <w:numId w:val="5"/>
      </w:numPr>
      <w:pBdr/>
      <w:spacing/>
      <w:contextualSpacing/>
    </w:pPr>
    <w:rPr/>
  </w:style>
  <w:style w:type="paragraph" w:styleId="ListBullet5">
    <w:name w:val="List Bullet 5"/>
    <w:basedOn w:val="Normal"/>
    <w:uiPriority w:val="99"/>
    <w:semiHidden/>
    <w:unhideWhenUsed/>
    <w:numPr>
      <w:numId w:val="6"/>
    </w:numPr>
    <w:pPr>
      <w:numPr>
        <w:numId w:val="6"/>
      </w:numPr>
      <w:pBdr/>
      <w:spacing/>
      <w:contextualSpacing/>
    </w:pPr>
    <w:rPr/>
  </w:style>
  <w:style w:type="paragraph" w:styleId="ListContinue2">
    <w:name w:val="List Continue 2"/>
    <w:basedOn w:val="Normal"/>
    <w:uiPriority w:val="99"/>
    <w:semiHidden/>
    <w:unhideWhenUsed/>
    <w:pPr>
      <w:pBdr/>
      <w:spacing/>
      <w:ind w:left="720"/>
      <w:contextualSpacing/>
    </w:pPr>
    <w:rPr/>
  </w:style>
  <w:style w:type="paragraph" w:styleId="ListContinue3">
    <w:name w:val="List Continue 3"/>
    <w:basedOn w:val="Normal"/>
    <w:uiPriority w:val="99"/>
    <w:semiHidden/>
    <w:unhideWhenUsed/>
    <w:qFormat/>
    <w:pPr>
      <w:pBdr/>
      <w:spacing/>
      <w:ind w:left="1080"/>
      <w:contextualSpacing/>
    </w:pPr>
    <w:rPr/>
  </w:style>
  <w:style w:type="paragraph" w:styleId="ListContinue4">
    <w:name w:val="List Continue 4"/>
    <w:basedOn w:val="Normal"/>
    <w:uiPriority w:val="99"/>
    <w:semiHidden/>
    <w:unhideWhenUsed/>
    <w:qFormat/>
    <w:pPr>
      <w:pBdr/>
      <w:spacing/>
      <w:ind w:left="1440"/>
      <w:contextualSpacing/>
    </w:pPr>
    <w:rPr/>
  </w:style>
  <w:style w:type="paragraph" w:styleId="ListContinue5">
    <w:name w:val="List Continue 5"/>
    <w:basedOn w:val="Normal"/>
    <w:uiPriority w:val="99"/>
    <w:semiHidden/>
    <w:unhideWhenUsed/>
    <w:qFormat/>
    <w:pPr>
      <w:pBdr/>
      <w:spacing/>
      <w:ind w:left="1800"/>
      <w:contextualSpacing/>
    </w:pPr>
    <w:rPr/>
  </w:style>
  <w:style w:type="paragraph" w:styleId="ListNumber2">
    <w:name w:val="List Number 2"/>
    <w:basedOn w:val="Normal"/>
    <w:uiPriority w:val="99"/>
    <w:semiHidden/>
    <w:unhideWhenUsed/>
    <w:qFormat/>
    <w:numPr>
      <w:numId w:val="7"/>
    </w:numPr>
    <w:pPr>
      <w:numPr>
        <w:numId w:val="7"/>
      </w:numPr>
      <w:pBdr/>
      <w:spacing/>
      <w:contextualSpacing/>
    </w:pPr>
    <w:rPr/>
  </w:style>
  <w:style w:type="paragraph" w:styleId="ListNumber3">
    <w:name w:val="List Number 3"/>
    <w:basedOn w:val="Normal"/>
    <w:uiPriority w:val="99"/>
    <w:semiHidden/>
    <w:unhideWhenUsed/>
    <w:qFormat/>
    <w:numPr>
      <w:numId w:val="8"/>
    </w:numPr>
    <w:pPr>
      <w:numPr>
        <w:numId w:val="8"/>
      </w:numPr>
      <w:pBdr/>
      <w:spacing/>
      <w:contextualSpacing/>
    </w:pPr>
    <w:rPr/>
  </w:style>
  <w:style w:type="paragraph" w:styleId="ListNumber4">
    <w:name w:val="List Number 4"/>
    <w:basedOn w:val="Normal"/>
    <w:uiPriority w:val="99"/>
    <w:semiHidden/>
    <w:unhideWhenUsed/>
    <w:qFormat/>
    <w:numPr>
      <w:numId w:val="9"/>
    </w:numPr>
    <w:pPr>
      <w:numPr>
        <w:numId w:val="9"/>
      </w:numPr>
      <w:pBdr/>
      <w:spacing/>
      <w:contextualSpacing/>
    </w:pPr>
    <w:rPr/>
  </w:style>
  <w:style w:type="paragraph" w:styleId="ListNumber5">
    <w:name w:val="List Number 5"/>
    <w:basedOn w:val="Normal"/>
    <w:uiPriority w:val="99"/>
    <w:semiHidden/>
    <w:unhideWhenUsed/>
    <w:qFormat/>
    <w:numPr>
      <w:numId w:val="10"/>
    </w:numPr>
    <w:pPr>
      <w:numPr>
        <w:numId w:val="10"/>
      </w:numPr>
      <w:pBdr/>
      <w:spacing/>
      <w:contextualSpacing/>
    </w:pPr>
    <w:rPr/>
  </w:style>
  <w:style w:type="paragraph" w:styleId="TOCHeading" w:customStyle="1">
    <w:name w:val="TOC Heading"/>
    <w:basedOn w:val="Heading1"/>
    <w:next w:val="Normal"/>
    <w:uiPriority w:val="69"/>
    <w:semiHidden/>
    <w:unhideWhenUsed/>
    <w:qFormat/>
    <w:pPr>
      <w:pBd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pBdr/>
      <w:spacing w:before="120"/>
    </w:pPr>
    <w:rPr>
      <w:rFonts w:eastAsiaTheme="majorEastAsia" w:cstheme="majorBidi"/>
      <w:b/>
      <w:bCs/>
      <w:sz w:val="24"/>
    </w:rPr>
  </w:style>
  <w:style w:type="paragraph" w:styleId="IndexHeading">
    <w:name w:val="Index Heading"/>
    <w:basedOn w:val="Normal"/>
    <w:next w:val="Index1"/>
    <w:uiPriority w:val="99"/>
    <w:semiHidden/>
    <w:unhideWhenUsed/>
    <w:qFormat/>
    <w:pPr>
      <w:pBdr/>
      <w:spacing/>
    </w:pPr>
    <w:rPr>
      <w:rFonts w:eastAsiaTheme="majorEastAsia" w:cstheme="majorBidi"/>
      <w:b/>
      <w:bCs/>
    </w:rPr>
  </w:style>
  <w:style w:type="paragraph" w:styleId="TableofAuthorities">
    <w:name w:val="Table of Authorities"/>
    <w:basedOn w:val="Normal"/>
    <w:next w:val="Normal"/>
    <w:uiPriority w:val="99"/>
    <w:semiHidden/>
    <w:unhideWhenUsed/>
    <w:pPr>
      <w:pBdr/>
      <w:spacing w:after="0"/>
      <w:ind w:left="200" w:hanging="200"/>
    </w:pPr>
    <w:rPr/>
  </w:style>
  <w:style w:type="table" w:styleId="NormalTable_4d3e6edb-52bd-4670-a69d-04e0c5810409" w:customStyle="1">
    <w:name w:val="Normal Table_4d3e6edb-52bd-4670-a69d-04e0c581040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 w:customStyle="1">
    <w:name w:val="Table 1"/>
    <w:basedOn w:val="NormalTable_4d3e6edb-52bd-4670-a69d-04e0c5810409"/>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a1e3c152-be73-4465-8932-cb8c7f66a1ca" w:customStyle="1">
    <w:name w:val="Normal Table_a1e3c152-be73-4465-8932-cb8c7f66a1c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d31dbd61-2fc1-458d-bf75-e2a63d463bc1" w:customStyle="1">
    <w:name w:val="Table 1_d31dbd61-2fc1-458d-bf75-e2a63d463bc1"/>
    <w:basedOn w:val="NormalTable_a1e3c152-be73-4465-8932-cb8c7f66a1ca"/>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 w:customStyle="1">
    <w:name w:val="Table 2"/>
    <w:basedOn w:val="Table1_d31dbd61-2fc1-458d-bf75-e2a63d463bc1"/>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e4ed8726-2647-45a9-a275-81a131c37ede" w:customStyle="1">
    <w:name w:val="Normal Table_e4ed8726-2647-45a9-a275-81a131c37ed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e65652e1-68ff-48d5-844e-05a1624ffa33" w:customStyle="1">
    <w:name w:val="Table 1_e65652e1-68ff-48d5-844e-05a1624ffa33"/>
    <w:basedOn w:val="NormalTable_e4ed8726-2647-45a9-a275-81a131c37ede"/>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b652eeba-a0db-4224-b889-69be57b6e19a" w:customStyle="1">
    <w:name w:val="Table 2_b652eeba-a0db-4224-b889-69be57b6e19a"/>
    <w:basedOn w:val="Table1_e65652e1-68ff-48d5-844e-05a1624ffa33"/>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 w:customStyle="1">
    <w:name w:val="Table 3"/>
    <w:basedOn w:val="Table2_b652eeba-a0db-4224-b889-69be57b6e19a"/>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164c3ad-c3a6-4a05-b3e8-3ac5af746574" w:customStyle="1">
    <w:name w:val="Normal Table_f164c3ad-c3a6-4a05-b3e8-3ac5af74657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da72ea1b-a08c-4258-8c17-6e76ae983bcb" w:customStyle="1">
    <w:name w:val="Table 1_da72ea1b-a08c-4258-8c17-6e76ae983bcb"/>
    <w:basedOn w:val="NormalTable_f164c3ad-c3a6-4a05-b3e8-3ac5af74657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01744091-d5d7-4812-bd3f-e982c0faeb68" w:customStyle="1">
    <w:name w:val="Table 2_01744091-d5d7-4812-bd3f-e982c0faeb68"/>
    <w:basedOn w:val="Table1_da72ea1b-a08c-4258-8c17-6e76ae983bcb"/>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6d7ec812-0a5f-4f4d-8df3-0f8d09be5ed2" w:customStyle="1">
    <w:name w:val="Table 3_6d7ec812-0a5f-4f4d-8df3-0f8d09be5ed2"/>
    <w:basedOn w:val="Table2_01744091-d5d7-4812-bd3f-e982c0faeb68"/>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 w:customStyle="1">
    <w:name w:val="Table 4"/>
    <w:basedOn w:val="Table3_6d7ec812-0a5f-4f4d-8df3-0f8d09be5ed2"/>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e4a1f1d0-8973-4f12-a5e1-4f30c144f3a5" w:customStyle="1">
    <w:name w:val="Normal Table_e4a1f1d0-8973-4f12-a5e1-4f30c144f3a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77ec3dd4-6bb8-4f28-b650-8d81f572044c" w:customStyle="1">
    <w:name w:val="Table 1_77ec3dd4-6bb8-4f28-b650-8d81f572044c"/>
    <w:basedOn w:val="NormalTable_e4a1f1d0-8973-4f12-a5e1-4f30c144f3a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8e046e5b-af3c-4d8b-a9b3-599eef43b1c7" w:customStyle="1">
    <w:name w:val="Table 2_8e046e5b-af3c-4d8b-a9b3-599eef43b1c7"/>
    <w:basedOn w:val="Table1_77ec3dd4-6bb8-4f28-b650-8d81f572044c"/>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b6b9f388-4123-42ff-8fa8-40756e11b43a" w:customStyle="1">
    <w:name w:val="Table 3_b6b9f388-4123-42ff-8fa8-40756e11b43a"/>
    <w:basedOn w:val="Table2_8e046e5b-af3c-4d8b-a9b3-599eef43b1c7"/>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0866932b-8962-4743-820b-85ca9d56e0ad" w:customStyle="1">
    <w:name w:val="Table 4_0866932b-8962-4743-820b-85ca9d56e0ad"/>
    <w:basedOn w:val="Table3_b6b9f388-4123-42ff-8fa8-40756e11b43a"/>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 w:customStyle="1">
    <w:name w:val="Table 5"/>
    <w:basedOn w:val="Table4_0866932b-8962-4743-820b-85ca9d56e0ad"/>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b262b114-e8f4-474f-aee5-56c40fc39d41" w:customStyle="1">
    <w:name w:val="Normal Table_b262b114-e8f4-474f-aee5-56c40fc39d4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470db5a4-fe68-408d-b61e-cdbe04cc0d15" w:customStyle="1">
    <w:name w:val="Table 1_470db5a4-fe68-408d-b61e-cdbe04cc0d15"/>
    <w:basedOn w:val="NormalTable_b262b114-e8f4-474f-aee5-56c40fc39d4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3f901d3c-0ed0-42e4-a8e3-e617082a3b9d" w:customStyle="1">
    <w:name w:val="Table 2_3f901d3c-0ed0-42e4-a8e3-e617082a3b9d"/>
    <w:basedOn w:val="Table1_470db5a4-fe68-408d-b61e-cdbe04cc0d15"/>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47e294c4-8cd8-4f3d-914d-16178df95b35" w:customStyle="1">
    <w:name w:val="Table 3_47e294c4-8cd8-4f3d-914d-16178df95b35"/>
    <w:basedOn w:val="Table2_3f901d3c-0ed0-42e4-a8e3-e617082a3b9d"/>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4bda2c17-bb46-4882-8f86-c9b93167c245" w:customStyle="1">
    <w:name w:val="Table 4_4bda2c17-bb46-4882-8f86-c9b93167c245"/>
    <w:basedOn w:val="Table3_47e294c4-8cd8-4f3d-914d-16178df95b35"/>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9854cfe0-1a50-4cb4-bed4-f78d9f01ca74" w:customStyle="1">
    <w:name w:val="Table 5_9854cfe0-1a50-4cb4-bed4-f78d9f01ca74"/>
    <w:basedOn w:val="Table4_4bda2c17-bb46-4882-8f86-c9b93167c245"/>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 w:customStyle="1">
    <w:name w:val="Table 6"/>
    <w:basedOn w:val="Table5_9854cfe0-1a50-4cb4-bed4-f78d9f01ca74"/>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NormalTable_058ec062-e349-4d03-a0ed-2535a67bbb88" w:customStyle="1">
    <w:name w:val="Normal Table_058ec062-e349-4d03-a0ed-2535a67bbb8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094893f9-ecdd-4536-b8fd-a97ad33a7478" w:customStyle="1">
    <w:name w:val="Table 1_094893f9-ecdd-4536-b8fd-a97ad33a7478"/>
    <w:basedOn w:val="NormalTable_058ec062-e349-4d03-a0ed-2535a67bbb88"/>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e7dab6a7-b557-4ba9-b2b0-13448c5dd746" w:customStyle="1">
    <w:name w:val="Table 2_e7dab6a7-b557-4ba9-b2b0-13448c5dd746"/>
    <w:basedOn w:val="Table1_094893f9-ecdd-4536-b8fd-a97ad33a7478"/>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2defbb22-4a42-43d7-b8c4-b9320fec8eda" w:customStyle="1">
    <w:name w:val="Table 3_2defbb22-4a42-43d7-b8c4-b9320fec8eda"/>
    <w:basedOn w:val="Table2_e7dab6a7-b557-4ba9-b2b0-13448c5dd746"/>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b2b4e323-ab1c-4ecf-bf83-06d02914e2ad" w:customStyle="1">
    <w:name w:val="Table 4_b2b4e323-ab1c-4ecf-bf83-06d02914e2ad"/>
    <w:basedOn w:val="Table3_2defbb22-4a42-43d7-b8c4-b9320fec8eda"/>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120dd7db-b3d7-4a1b-bc1e-95ef2c7da4a1" w:customStyle="1">
    <w:name w:val="Table 5_120dd7db-b3d7-4a1b-bc1e-95ef2c7da4a1"/>
    <w:basedOn w:val="Table4_b2b4e323-ab1c-4ecf-bf83-06d02914e2ad"/>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3fbf1be4-c495-4bd8-bd42-50dbef2a387a" w:customStyle="1">
    <w:name w:val="Table 6_3fbf1be4-c495-4bd8-bd42-50dbef2a387a"/>
    <w:basedOn w:val="Table5_120dd7db-b3d7-4a1b-bc1e-95ef2c7da4a1"/>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 w:customStyle="1">
    <w:name w:val="Table 7"/>
    <w:basedOn w:val="Table6_3fbf1be4-c495-4bd8-bd42-50dbef2a387a"/>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68a8a392-cc17-454b-a886-cc522de4f0a4" w:customStyle="1">
    <w:name w:val="Normal Table_68a8a392-cc17-454b-a886-cc522de4f0a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33de7973-bf20-4dd1-b973-9da83fd56a64" w:customStyle="1">
    <w:name w:val="Table 1_33de7973-bf20-4dd1-b973-9da83fd56a64"/>
    <w:basedOn w:val="NormalTable_68a8a392-cc17-454b-a886-cc522de4f0a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2c48402d-318f-4045-be1e-7a4e16934f08" w:customStyle="1">
    <w:name w:val="Table 2_2c48402d-318f-4045-be1e-7a4e16934f08"/>
    <w:basedOn w:val="Table1_33de7973-bf20-4dd1-b973-9da83fd56a64"/>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12f40060-13e4-411d-b1c1-85b7bdfc4236" w:customStyle="1">
    <w:name w:val="Table 3_12f40060-13e4-411d-b1c1-85b7bdfc4236"/>
    <w:basedOn w:val="Table2_2c48402d-318f-4045-be1e-7a4e16934f08"/>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5bff99bd-3e45-42d6-a2c3-d100a8d5f219" w:customStyle="1">
    <w:name w:val="Table 4_5bff99bd-3e45-42d6-a2c3-d100a8d5f219"/>
    <w:basedOn w:val="Table3_12f40060-13e4-411d-b1c1-85b7bdfc4236"/>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a03956c9-f201-420d-9103-238ff34ef6f5" w:customStyle="1">
    <w:name w:val="Table 5_a03956c9-f201-420d-9103-238ff34ef6f5"/>
    <w:basedOn w:val="Table4_5bff99bd-3e45-42d6-a2c3-d100a8d5f219"/>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22c1c55a-69c9-492d-b9b5-e497edbd6112" w:customStyle="1">
    <w:name w:val="Table 6_22c1c55a-69c9-492d-b9b5-e497edbd6112"/>
    <w:basedOn w:val="Table5_a03956c9-f201-420d-9103-238ff34ef6f5"/>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d98d135f-9140-4846-a4a9-123ceb23177d" w:customStyle="1">
    <w:name w:val="Table 7_d98d135f-9140-4846-a4a9-123ceb23177d"/>
    <w:basedOn w:val="Table6_22c1c55a-69c9-492d-b9b5-e497edbd6112"/>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 w:customStyle="1">
    <w:name w:val="Table 8"/>
    <w:basedOn w:val="Table7_d98d135f-9140-4846-a4a9-123ceb23177d"/>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605b1cfd-0530-4775-9f76-523ff4033c1f" w:customStyle="1">
    <w:name w:val="Normal Table_605b1cfd-0530-4775-9f76-523ff4033c1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75cf3985-347d-4c9e-96b7-61aaa02c1424" w:customStyle="1">
    <w:name w:val="Table 1_75cf3985-347d-4c9e-96b7-61aaa02c1424"/>
    <w:basedOn w:val="NormalTable_605b1cfd-0530-4775-9f76-523ff4033c1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0ef2933d-eda8-4de1-a0b6-a2dacf2d4dc2" w:customStyle="1">
    <w:name w:val="Table 2_0ef2933d-eda8-4de1-a0b6-a2dacf2d4dc2"/>
    <w:basedOn w:val="Table1_75cf3985-347d-4c9e-96b7-61aaa02c1424"/>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50914b70-f519-4c4c-b476-bca74f706755" w:customStyle="1">
    <w:name w:val="Table 3_50914b70-f519-4c4c-b476-bca74f706755"/>
    <w:basedOn w:val="Table2_0ef2933d-eda8-4de1-a0b6-a2dacf2d4dc2"/>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e764b64a-b9b9-4b36-967f-3a9c6c46769a" w:customStyle="1">
    <w:name w:val="Table 4_e764b64a-b9b9-4b36-967f-3a9c6c46769a"/>
    <w:basedOn w:val="Table3_50914b70-f519-4c4c-b476-bca74f706755"/>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f3540856-c074-45c9-9955-874bf26081f0" w:customStyle="1">
    <w:name w:val="Table 5_f3540856-c074-45c9-9955-874bf26081f0"/>
    <w:basedOn w:val="Table4_e764b64a-b9b9-4b36-967f-3a9c6c46769a"/>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a9094046-a6ad-447d-a977-05251c2f860b" w:customStyle="1">
    <w:name w:val="Table 6_a9094046-a6ad-447d-a977-05251c2f860b"/>
    <w:basedOn w:val="Table5_f3540856-c074-45c9-9955-874bf26081f0"/>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f0b05bc8-22ed-4c53-93f7-b159e4bd027d" w:customStyle="1">
    <w:name w:val="Table 7_f0b05bc8-22ed-4c53-93f7-b159e4bd027d"/>
    <w:basedOn w:val="Table6_a9094046-a6ad-447d-a977-05251c2f860b"/>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_10dc625b-ec0b-41e2-a500-7f6288377255" w:customStyle="1">
    <w:name w:val="Table 8_10dc625b-ec0b-41e2-a500-7f6288377255"/>
    <w:basedOn w:val="Table7_f0b05bc8-22ed-4c53-93f7-b159e4bd027d"/>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9" w:customStyle="1">
    <w:name w:val="Table 9"/>
    <w:basedOn w:val="Table8_10dc625b-ec0b-41e2-a500-7f6288377255"/>
    <w:uiPriority w:val="99"/>
    <w:pPr>
      <w:pBdr/>
      <w:spacing/>
    </w:pPr>
    <w:rPr/>
    <w:tblPr>
      <w:tblInd w:w="39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40e79dca-ca0a-4c54-940f-f96fb6c56228" w:customStyle="1">
    <w:name w:val="Normal Table_40e79dca-ca0a-4c54-940f-f96fb6c5622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 w:customStyle="1">
    <w:name w:val="Table NoRule 1"/>
    <w:basedOn w:val="NormalTable_40e79dca-ca0a-4c54-940f-f96fb6c56228"/>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NormalTable_b40ad580-a491-42b7-ba6d-338f53d5532a" w:customStyle="1">
    <w:name w:val="Normal Table_b40ad580-a491-42b7-ba6d-338f53d5532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654064b4-21a1-42e0-9ca8-16e3aaf02037" w:customStyle="1">
    <w:name w:val="Table NoRule 1_654064b4-21a1-42e0-9ca8-16e3aaf02037"/>
    <w:basedOn w:val="NormalTable_b40ad580-a491-42b7-ba6d-338f53d5532a"/>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 w:customStyle="1">
    <w:name w:val="Table NoRule 2"/>
    <w:basedOn w:val="TableNoRule1_654064b4-21a1-42e0-9ca8-16e3aaf02037"/>
    <w:uiPriority w:val="99"/>
    <w:pPr>
      <w:pBdr/>
      <w:spacing/>
    </w:pPr>
    <w:rPr/>
    <w:tblPr>
      <w:tblInd w:w="475" w:type="dxa"/>
      <w:tblBorders/>
      <w:tblCellMar/>
    </w:tblPr>
    <w:trPr/>
    <w:tcPr>
      <w:tcBorders/>
      <w:shd w:val="clear" w:color="auto" w:fill="auto"/>
      <w:tcMar/>
      <w:vAlign w:val="top"/>
    </w:tcPr>
  </w:style>
  <w:style w:type="table" w:styleId="NormalTable_5c767c53-89e6-43dd-8143-573cd6f4ede3" w:customStyle="1">
    <w:name w:val="Normal Table_5c767c53-89e6-43dd-8143-573cd6f4ede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72f72bd7-c07b-4129-bba4-0fca2750ff6c" w:customStyle="1">
    <w:name w:val="Table NoRule 1_72f72bd7-c07b-4129-bba4-0fca2750ff6c"/>
    <w:basedOn w:val="NormalTable_5c767c53-89e6-43dd-8143-573cd6f4ede3"/>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ba02541c-6237-4b5f-b9b9-d770e042623c" w:customStyle="1">
    <w:name w:val="Table NoRule 2_ba02541c-6237-4b5f-b9b9-d770e042623c"/>
    <w:basedOn w:val="TableNoRule1_72f72bd7-c07b-4129-bba4-0fca2750ff6c"/>
    <w:uiPriority w:val="99"/>
    <w:pPr>
      <w:pBdr/>
      <w:spacing/>
    </w:pPr>
    <w:rPr/>
    <w:tblPr>
      <w:tblInd w:w="475" w:type="dxa"/>
      <w:tblBorders/>
      <w:tblCellMar/>
    </w:tblPr>
    <w:trPr/>
    <w:tcPr>
      <w:tcBorders/>
      <w:shd w:val="clear" w:color="auto" w:fill="auto"/>
      <w:tcMar/>
      <w:vAlign w:val="top"/>
    </w:tcPr>
  </w:style>
  <w:style w:type="table" w:styleId="TableNoRule3" w:customStyle="1">
    <w:name w:val="Table NoRule 3"/>
    <w:basedOn w:val="TableNoRule2_ba02541c-6237-4b5f-b9b9-d770e042623c"/>
    <w:uiPriority w:val="99"/>
    <w:pPr>
      <w:pBdr/>
      <w:spacing/>
    </w:pPr>
    <w:rPr/>
    <w:tblPr>
      <w:tblInd w:w="950" w:type="dxa"/>
      <w:tblBorders/>
      <w:tblCellMar/>
    </w:tblPr>
    <w:trPr/>
    <w:tcPr>
      <w:tcBorders/>
      <w:shd w:val="clear" w:color="auto" w:fill="auto"/>
      <w:tcMar/>
      <w:vAlign w:val="top"/>
    </w:tcPr>
  </w:style>
  <w:style w:type="table" w:styleId="NormalTable_e805cec6-0f69-4a5c-9e0c-c1729e55a9a5" w:customStyle="1">
    <w:name w:val="Normal Table_e805cec6-0f69-4a5c-9e0c-c1729e55a9a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c9a3de8f-8859-40ed-8c37-b6105e9cded6" w:customStyle="1">
    <w:name w:val="Table NoRule 1_c9a3de8f-8859-40ed-8c37-b6105e9cded6"/>
    <w:basedOn w:val="NormalTable_e805cec6-0f69-4a5c-9e0c-c1729e55a9a5"/>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15dcdc9e-6c9a-4ea5-bb41-03a7a3759871" w:customStyle="1">
    <w:name w:val="Table NoRule 2_15dcdc9e-6c9a-4ea5-bb41-03a7a3759871"/>
    <w:basedOn w:val="TableNoRule1_c9a3de8f-8859-40ed-8c37-b6105e9cded6"/>
    <w:uiPriority w:val="99"/>
    <w:pPr>
      <w:pBdr/>
      <w:spacing/>
    </w:pPr>
    <w:rPr/>
    <w:tblPr>
      <w:tblInd w:w="475" w:type="dxa"/>
      <w:tblBorders/>
      <w:tblCellMar/>
    </w:tblPr>
    <w:trPr/>
    <w:tcPr>
      <w:tcBorders/>
      <w:shd w:val="clear" w:color="auto" w:fill="auto"/>
      <w:tcMar/>
      <w:vAlign w:val="top"/>
    </w:tcPr>
  </w:style>
  <w:style w:type="table" w:styleId="TableNoRule3_1626b133-0d25-4661-82c4-74fa76b0fa0f" w:customStyle="1">
    <w:name w:val="Table NoRule 3_1626b133-0d25-4661-82c4-74fa76b0fa0f"/>
    <w:basedOn w:val="TableNoRule2_15dcdc9e-6c9a-4ea5-bb41-03a7a3759871"/>
    <w:uiPriority w:val="99"/>
    <w:pPr>
      <w:pBdr/>
      <w:spacing/>
    </w:pPr>
    <w:rPr/>
    <w:tblPr>
      <w:tblInd w:w="950" w:type="dxa"/>
      <w:tblBorders/>
      <w:tblCellMar/>
    </w:tblPr>
    <w:trPr/>
    <w:tcPr>
      <w:tcBorders/>
      <w:shd w:val="clear" w:color="auto" w:fill="auto"/>
      <w:tcMar/>
      <w:vAlign w:val="top"/>
    </w:tcPr>
  </w:style>
  <w:style w:type="table" w:styleId="TableNoRule4" w:customStyle="1">
    <w:name w:val="Table NoRule 4"/>
    <w:basedOn w:val="TableNoRule3_1626b133-0d25-4661-82c4-74fa76b0fa0f"/>
    <w:uiPriority w:val="99"/>
    <w:pPr>
      <w:pBdr/>
      <w:spacing/>
    </w:pPr>
    <w:rPr/>
    <w:tblPr>
      <w:tblInd w:w="1440" w:type="dxa"/>
      <w:tblBorders/>
      <w:tblCellMar/>
    </w:tblPr>
    <w:trPr/>
    <w:tcPr>
      <w:tcBorders/>
      <w:shd w:val="clear" w:color="auto" w:fill="auto"/>
      <w:tcMar/>
      <w:vAlign w:val="top"/>
    </w:tcPr>
  </w:style>
  <w:style w:type="table" w:styleId="NormalTable_6ae35835-d197-4901-af9d-d987804b723b" w:customStyle="1">
    <w:name w:val="Normal Table_6ae35835-d197-4901-af9d-d987804b723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afd73ae1-18e0-41b4-a538-ca401ffe4229" w:customStyle="1">
    <w:name w:val="Table NoRule 1_afd73ae1-18e0-41b4-a538-ca401ffe4229"/>
    <w:basedOn w:val="NormalTable_6ae35835-d197-4901-af9d-d987804b723b"/>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26601c8e-9a39-420c-9d48-297632a74156" w:customStyle="1">
    <w:name w:val="Table NoRule 2_26601c8e-9a39-420c-9d48-297632a74156"/>
    <w:basedOn w:val="TableNoRule1_afd73ae1-18e0-41b4-a538-ca401ffe4229"/>
    <w:uiPriority w:val="99"/>
    <w:pPr>
      <w:pBdr/>
      <w:spacing/>
    </w:pPr>
    <w:rPr/>
    <w:tblPr>
      <w:tblInd w:w="475" w:type="dxa"/>
      <w:tblBorders/>
      <w:tblCellMar/>
    </w:tblPr>
    <w:trPr/>
    <w:tcPr>
      <w:tcBorders/>
      <w:shd w:val="clear" w:color="auto" w:fill="auto"/>
      <w:tcMar/>
      <w:vAlign w:val="top"/>
    </w:tcPr>
  </w:style>
  <w:style w:type="table" w:styleId="TableNoRule3_5a7afe91-8cf1-433c-b2bf-cc31cf42f754" w:customStyle="1">
    <w:name w:val="Table NoRule 3_5a7afe91-8cf1-433c-b2bf-cc31cf42f754"/>
    <w:basedOn w:val="TableNoRule2_26601c8e-9a39-420c-9d48-297632a74156"/>
    <w:uiPriority w:val="99"/>
    <w:pPr>
      <w:pBdr/>
      <w:spacing/>
    </w:pPr>
    <w:rPr/>
    <w:tblPr>
      <w:tblInd w:w="950" w:type="dxa"/>
      <w:tblBorders/>
      <w:tblCellMar/>
    </w:tblPr>
    <w:trPr/>
    <w:tcPr>
      <w:tcBorders/>
      <w:shd w:val="clear" w:color="auto" w:fill="auto"/>
      <w:tcMar/>
      <w:vAlign w:val="top"/>
    </w:tcPr>
  </w:style>
  <w:style w:type="table" w:styleId="TableNoRule4_1521873f-8868-4abc-b7b2-2e96e7fa60ee" w:customStyle="1">
    <w:name w:val="Table NoRule 4_1521873f-8868-4abc-b7b2-2e96e7fa60ee"/>
    <w:basedOn w:val="TableNoRule3_5a7afe91-8cf1-433c-b2bf-cc31cf42f754"/>
    <w:uiPriority w:val="99"/>
    <w:pPr>
      <w:pBdr/>
      <w:spacing/>
    </w:pPr>
    <w:rPr/>
    <w:tblPr>
      <w:tblInd w:w="1440" w:type="dxa"/>
      <w:tblBorders/>
      <w:tblCellMar/>
    </w:tblPr>
    <w:trPr/>
    <w:tcPr>
      <w:tcBorders/>
      <w:shd w:val="clear" w:color="auto" w:fill="auto"/>
      <w:tcMar/>
      <w:vAlign w:val="top"/>
    </w:tcPr>
  </w:style>
  <w:style w:type="table" w:styleId="TableNoRule5" w:customStyle="1">
    <w:name w:val="Table NoRule 5"/>
    <w:basedOn w:val="TableNoRule4_1521873f-8868-4abc-b7b2-2e96e7fa60ee"/>
    <w:uiPriority w:val="99"/>
    <w:pPr>
      <w:pBdr/>
      <w:spacing/>
    </w:pPr>
    <w:rPr/>
    <w:tblPr>
      <w:tblInd w:w="1915" w:type="dxa"/>
      <w:tblBorders/>
      <w:tblCellMar/>
    </w:tblPr>
    <w:trPr/>
    <w:tcPr>
      <w:tcBorders/>
      <w:shd w:val="clear" w:color="auto" w:fill="auto"/>
      <w:tcMar/>
      <w:vAlign w:val="top"/>
    </w:tcPr>
  </w:style>
  <w:style w:type="table" w:styleId="NormalTable_ee9e5d10-04d4-43f4-8a39-36b8a667ed70" w:customStyle="1">
    <w:name w:val="Normal Table_ee9e5d10-04d4-43f4-8a39-36b8a667ed7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cf51f3d8-8b43-498a-841c-e4ba40a7e372" w:customStyle="1">
    <w:name w:val="Table NoRule 1_cf51f3d8-8b43-498a-841c-e4ba40a7e372"/>
    <w:basedOn w:val="NormalTable_ee9e5d10-04d4-43f4-8a39-36b8a667ed70"/>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6cc6d145-7afd-4344-a512-adc109e664c1" w:customStyle="1">
    <w:name w:val="Table NoRule 2_6cc6d145-7afd-4344-a512-adc109e664c1"/>
    <w:basedOn w:val="TableNoRule1_cf51f3d8-8b43-498a-841c-e4ba40a7e372"/>
    <w:uiPriority w:val="99"/>
    <w:pPr>
      <w:pBdr/>
      <w:spacing/>
    </w:pPr>
    <w:rPr/>
    <w:tblPr>
      <w:tblInd w:w="475" w:type="dxa"/>
      <w:tblBorders/>
      <w:tblCellMar/>
    </w:tblPr>
    <w:trPr/>
    <w:tcPr>
      <w:tcBorders/>
      <w:shd w:val="clear" w:color="auto" w:fill="auto"/>
      <w:tcMar/>
      <w:vAlign w:val="top"/>
    </w:tcPr>
  </w:style>
  <w:style w:type="table" w:styleId="TableNoRule3_428b70d5-1579-443e-b0a7-37f530cf69d5" w:customStyle="1">
    <w:name w:val="Table NoRule 3_428b70d5-1579-443e-b0a7-37f530cf69d5"/>
    <w:basedOn w:val="TableNoRule2_6cc6d145-7afd-4344-a512-adc109e664c1"/>
    <w:uiPriority w:val="99"/>
    <w:pPr>
      <w:pBdr/>
      <w:spacing/>
    </w:pPr>
    <w:rPr/>
    <w:tblPr>
      <w:tblInd w:w="950" w:type="dxa"/>
      <w:tblBorders/>
      <w:tblCellMar/>
    </w:tblPr>
    <w:trPr/>
    <w:tcPr>
      <w:tcBorders/>
      <w:shd w:val="clear" w:color="auto" w:fill="auto"/>
      <w:tcMar/>
      <w:vAlign w:val="top"/>
    </w:tcPr>
  </w:style>
  <w:style w:type="table" w:styleId="TableNoRule4_f202486c-4dfd-4abd-801f-cbb5de7f394e" w:customStyle="1">
    <w:name w:val="Table NoRule 4_f202486c-4dfd-4abd-801f-cbb5de7f394e"/>
    <w:basedOn w:val="TableNoRule3_428b70d5-1579-443e-b0a7-37f530cf69d5"/>
    <w:uiPriority w:val="99"/>
    <w:pPr>
      <w:pBdr/>
      <w:spacing/>
    </w:pPr>
    <w:rPr/>
    <w:tblPr>
      <w:tblInd w:w="1440" w:type="dxa"/>
      <w:tblBorders/>
      <w:tblCellMar/>
    </w:tblPr>
    <w:trPr/>
    <w:tcPr>
      <w:tcBorders/>
      <w:shd w:val="clear" w:color="auto" w:fill="auto"/>
      <w:tcMar/>
      <w:vAlign w:val="top"/>
    </w:tcPr>
  </w:style>
  <w:style w:type="table" w:styleId="TableNoRule5_f3ebf1f7-99ae-426a-929b-fc9e75894d28" w:customStyle="1">
    <w:name w:val="Table NoRule 5_f3ebf1f7-99ae-426a-929b-fc9e75894d28"/>
    <w:basedOn w:val="TableNoRule4_f202486c-4dfd-4abd-801f-cbb5de7f394e"/>
    <w:uiPriority w:val="99"/>
    <w:pPr>
      <w:pBdr/>
      <w:spacing/>
    </w:pPr>
    <w:rPr/>
    <w:tblPr>
      <w:tblInd w:w="1915" w:type="dxa"/>
      <w:tblBorders/>
      <w:tblCellMar/>
    </w:tblPr>
    <w:trPr/>
    <w:tcPr>
      <w:tcBorders/>
      <w:shd w:val="clear" w:color="auto" w:fill="auto"/>
      <w:tcMar/>
      <w:vAlign w:val="top"/>
    </w:tcPr>
  </w:style>
  <w:style w:type="table" w:styleId="TableNoRule6" w:customStyle="1">
    <w:name w:val="Table NoRule 6"/>
    <w:basedOn w:val="TableNoRule5_f3ebf1f7-99ae-426a-929b-fc9e75894d28"/>
    <w:uiPriority w:val="99"/>
    <w:pPr>
      <w:pBdr/>
      <w:spacing/>
    </w:pPr>
    <w:rPr/>
    <w:tblPr>
      <w:tblInd w:w="2390" w:type="dxa"/>
      <w:tblBorders/>
      <w:tblCellMar/>
    </w:tblPr>
    <w:trPr/>
    <w:tcPr>
      <w:tcBorders/>
      <w:shd w:val="clear" w:color="auto" w:fill="auto"/>
      <w:tcMar/>
      <w:vAlign w:val="top"/>
    </w:tcPr>
  </w:style>
  <w:style w:type="table" w:styleId="NormalTable_f607d209-1e6c-4483-961a-88d60c3e4005" w:customStyle="1">
    <w:name w:val="Normal Table_f607d209-1e6c-4483-961a-88d60c3e400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ea305704-9295-45cc-a1a9-1144157e807d" w:customStyle="1">
    <w:name w:val="Table NoRule 1_ea305704-9295-45cc-a1a9-1144157e807d"/>
    <w:basedOn w:val="NormalTable_f607d209-1e6c-4483-961a-88d60c3e4005"/>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e72bafa5-c9e4-43b7-b767-acc2fe406557" w:customStyle="1">
    <w:name w:val="Table NoRule 2_e72bafa5-c9e4-43b7-b767-acc2fe406557"/>
    <w:basedOn w:val="TableNoRule1_ea305704-9295-45cc-a1a9-1144157e807d"/>
    <w:uiPriority w:val="99"/>
    <w:pPr>
      <w:pBdr/>
      <w:spacing/>
    </w:pPr>
    <w:rPr/>
    <w:tblPr>
      <w:tblInd w:w="475" w:type="dxa"/>
      <w:tblBorders/>
      <w:tblCellMar/>
    </w:tblPr>
    <w:trPr/>
    <w:tcPr>
      <w:tcBorders/>
      <w:shd w:val="clear" w:color="auto" w:fill="auto"/>
      <w:tcMar/>
      <w:vAlign w:val="top"/>
    </w:tcPr>
  </w:style>
  <w:style w:type="table" w:styleId="TableNoRule3_577f75be-0e81-46c3-91e4-721fe6b0ff7c" w:customStyle="1">
    <w:name w:val="Table NoRule 3_577f75be-0e81-46c3-91e4-721fe6b0ff7c"/>
    <w:basedOn w:val="TableNoRule2_e72bafa5-c9e4-43b7-b767-acc2fe406557"/>
    <w:uiPriority w:val="99"/>
    <w:pPr>
      <w:pBdr/>
      <w:spacing/>
    </w:pPr>
    <w:rPr/>
    <w:tblPr>
      <w:tblInd w:w="950" w:type="dxa"/>
      <w:tblBorders/>
      <w:tblCellMar/>
    </w:tblPr>
    <w:trPr/>
    <w:tcPr>
      <w:tcBorders/>
      <w:shd w:val="clear" w:color="auto" w:fill="auto"/>
      <w:tcMar/>
      <w:vAlign w:val="top"/>
    </w:tcPr>
  </w:style>
  <w:style w:type="table" w:styleId="TableNoRule4_31fa4de9-958f-448a-b015-1595b3c5a148" w:customStyle="1">
    <w:name w:val="Table NoRule 4_31fa4de9-958f-448a-b015-1595b3c5a148"/>
    <w:basedOn w:val="TableNoRule3_577f75be-0e81-46c3-91e4-721fe6b0ff7c"/>
    <w:uiPriority w:val="99"/>
    <w:pPr>
      <w:pBdr/>
      <w:spacing/>
    </w:pPr>
    <w:rPr/>
    <w:tblPr>
      <w:tblInd w:w="1440" w:type="dxa"/>
      <w:tblBorders/>
      <w:tblCellMar/>
    </w:tblPr>
    <w:trPr/>
    <w:tcPr>
      <w:tcBorders/>
      <w:shd w:val="clear" w:color="auto" w:fill="auto"/>
      <w:tcMar/>
      <w:vAlign w:val="top"/>
    </w:tcPr>
  </w:style>
  <w:style w:type="table" w:styleId="TableNoRule5_fdc073d8-6188-4e9b-adf4-58abf2041b0a" w:customStyle="1">
    <w:name w:val="Table NoRule 5_fdc073d8-6188-4e9b-adf4-58abf2041b0a"/>
    <w:basedOn w:val="TableNoRule4_31fa4de9-958f-448a-b015-1595b3c5a148"/>
    <w:uiPriority w:val="99"/>
    <w:pPr>
      <w:pBdr/>
      <w:spacing/>
    </w:pPr>
    <w:rPr/>
    <w:tblPr>
      <w:tblInd w:w="1915" w:type="dxa"/>
      <w:tblBorders/>
      <w:tblCellMar/>
    </w:tblPr>
    <w:trPr/>
    <w:tcPr>
      <w:tcBorders/>
      <w:shd w:val="clear" w:color="auto" w:fill="auto"/>
      <w:tcMar/>
      <w:vAlign w:val="top"/>
    </w:tcPr>
  </w:style>
  <w:style w:type="table" w:styleId="TableNoRule6_fef49650-2855-472e-8b91-3156ef7d8c19" w:customStyle="1">
    <w:name w:val="Table NoRule 6_fef49650-2855-472e-8b91-3156ef7d8c19"/>
    <w:basedOn w:val="TableNoRule5_fdc073d8-6188-4e9b-adf4-58abf2041b0a"/>
    <w:uiPriority w:val="99"/>
    <w:pPr>
      <w:pBdr/>
      <w:spacing/>
    </w:pPr>
    <w:rPr/>
    <w:tblPr>
      <w:tblInd w:w="2390" w:type="dxa"/>
      <w:tblBorders/>
      <w:tblCellMar/>
    </w:tblPr>
    <w:trPr/>
    <w:tcPr>
      <w:tcBorders/>
      <w:shd w:val="clear" w:color="auto" w:fill="auto"/>
      <w:tcMar/>
      <w:vAlign w:val="top"/>
    </w:tcPr>
  </w:style>
  <w:style w:type="table" w:styleId="TableNoRule7" w:customStyle="1">
    <w:name w:val="Table NoRule 7"/>
    <w:basedOn w:val="TableNoRule6_fef49650-2855-472e-8b91-3156ef7d8c19"/>
    <w:uiPriority w:val="99"/>
    <w:pPr>
      <w:pBdr/>
      <w:spacing/>
    </w:pPr>
    <w:rPr/>
    <w:tblPr>
      <w:tblInd w:w="2880" w:type="dxa"/>
      <w:tblBorders/>
      <w:tblCellMar/>
    </w:tblPr>
    <w:trPr/>
    <w:tcPr>
      <w:tcBorders/>
      <w:shd w:val="clear" w:color="auto" w:fill="auto"/>
      <w:tcMar/>
      <w:vAlign w:val="top"/>
    </w:tcPr>
  </w:style>
  <w:style w:type="table" w:styleId="NormalTable_c9a35943-e02a-42ee-a5b1-4aa42c12e7c9" w:customStyle="1">
    <w:name w:val="Normal Table_c9a35943-e02a-42ee-a5b1-4aa42c12e7c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5bac0067-3f51-4697-a66d-a67228f2ebaf" w:customStyle="1">
    <w:name w:val="Table NoRule 1_5bac0067-3f51-4697-a66d-a67228f2ebaf"/>
    <w:basedOn w:val="NormalTable_c9a35943-e02a-42ee-a5b1-4aa42c12e7c9"/>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f30a9c4b-826d-4e30-9f85-10352c94653c" w:customStyle="1">
    <w:name w:val="Table NoRule 2_f30a9c4b-826d-4e30-9f85-10352c94653c"/>
    <w:basedOn w:val="TableNoRule1_5bac0067-3f51-4697-a66d-a67228f2ebaf"/>
    <w:uiPriority w:val="99"/>
    <w:pPr>
      <w:pBdr/>
      <w:spacing/>
    </w:pPr>
    <w:rPr/>
    <w:tblPr>
      <w:tblInd w:w="475" w:type="dxa"/>
      <w:tblBorders/>
      <w:tblCellMar/>
    </w:tblPr>
    <w:trPr/>
    <w:tcPr>
      <w:tcBorders/>
      <w:shd w:val="clear" w:color="auto" w:fill="auto"/>
      <w:tcMar/>
      <w:vAlign w:val="top"/>
    </w:tcPr>
  </w:style>
  <w:style w:type="table" w:styleId="TableNoRule3_7e63f8cc-bb77-42f5-b685-32e3259c9dfa" w:customStyle="1">
    <w:name w:val="Table NoRule 3_7e63f8cc-bb77-42f5-b685-32e3259c9dfa"/>
    <w:basedOn w:val="TableNoRule2_f30a9c4b-826d-4e30-9f85-10352c94653c"/>
    <w:uiPriority w:val="99"/>
    <w:pPr>
      <w:pBdr/>
      <w:spacing/>
    </w:pPr>
    <w:rPr/>
    <w:tblPr>
      <w:tblInd w:w="950" w:type="dxa"/>
      <w:tblBorders/>
      <w:tblCellMar/>
    </w:tblPr>
    <w:trPr/>
    <w:tcPr>
      <w:tcBorders/>
      <w:shd w:val="clear" w:color="auto" w:fill="auto"/>
      <w:tcMar/>
      <w:vAlign w:val="top"/>
    </w:tcPr>
  </w:style>
  <w:style w:type="table" w:styleId="TableNoRule4_bfc09042-9929-49e9-8ef6-776cd09e4796" w:customStyle="1">
    <w:name w:val="Table NoRule 4_bfc09042-9929-49e9-8ef6-776cd09e4796"/>
    <w:basedOn w:val="TableNoRule3_7e63f8cc-bb77-42f5-b685-32e3259c9dfa"/>
    <w:uiPriority w:val="99"/>
    <w:pPr>
      <w:pBdr/>
      <w:spacing/>
    </w:pPr>
    <w:rPr/>
    <w:tblPr>
      <w:tblInd w:w="1440" w:type="dxa"/>
      <w:tblBorders/>
      <w:tblCellMar/>
    </w:tblPr>
    <w:trPr/>
    <w:tcPr>
      <w:tcBorders/>
      <w:shd w:val="clear" w:color="auto" w:fill="auto"/>
      <w:tcMar/>
      <w:vAlign w:val="top"/>
    </w:tcPr>
  </w:style>
  <w:style w:type="table" w:styleId="TableNoRule5_4ec471ab-c73b-4d86-baf0-298dad272aff" w:customStyle="1">
    <w:name w:val="Table NoRule 5_4ec471ab-c73b-4d86-baf0-298dad272aff"/>
    <w:basedOn w:val="TableNoRule4_bfc09042-9929-49e9-8ef6-776cd09e4796"/>
    <w:uiPriority w:val="99"/>
    <w:pPr>
      <w:pBdr/>
      <w:spacing/>
    </w:pPr>
    <w:rPr/>
    <w:tblPr>
      <w:tblInd w:w="1915" w:type="dxa"/>
      <w:tblBorders/>
      <w:tblCellMar/>
    </w:tblPr>
    <w:trPr/>
    <w:tcPr>
      <w:tcBorders/>
      <w:shd w:val="clear" w:color="auto" w:fill="auto"/>
      <w:tcMar/>
      <w:vAlign w:val="top"/>
    </w:tcPr>
  </w:style>
  <w:style w:type="table" w:styleId="TableNoRule6_88e7e37b-a443-40ad-86cf-b0243f611753" w:customStyle="1">
    <w:name w:val="Table NoRule 6_88e7e37b-a443-40ad-86cf-b0243f611753"/>
    <w:basedOn w:val="TableNoRule5_4ec471ab-c73b-4d86-baf0-298dad272aff"/>
    <w:uiPriority w:val="99"/>
    <w:pPr>
      <w:pBdr/>
      <w:spacing/>
    </w:pPr>
    <w:rPr/>
    <w:tblPr>
      <w:tblInd w:w="2390" w:type="dxa"/>
      <w:tblBorders/>
      <w:tblCellMar/>
    </w:tblPr>
    <w:trPr/>
    <w:tcPr>
      <w:tcBorders/>
      <w:shd w:val="clear" w:color="auto" w:fill="auto"/>
      <w:tcMar/>
      <w:vAlign w:val="top"/>
    </w:tcPr>
  </w:style>
  <w:style w:type="table" w:styleId="TableNoRule7_f475512c-d4f1-4c87-bfdb-68a06a2febdc" w:customStyle="1">
    <w:name w:val="Table NoRule 7_f475512c-d4f1-4c87-bfdb-68a06a2febdc"/>
    <w:basedOn w:val="TableNoRule6_88e7e37b-a443-40ad-86cf-b0243f611753"/>
    <w:uiPriority w:val="99"/>
    <w:pPr>
      <w:pBdr/>
      <w:spacing/>
    </w:pPr>
    <w:rPr/>
    <w:tblPr>
      <w:tblInd w:w="2880" w:type="dxa"/>
      <w:tblBorders/>
      <w:tblCellMar/>
    </w:tblPr>
    <w:trPr/>
    <w:tcPr>
      <w:tcBorders/>
      <w:shd w:val="clear" w:color="auto" w:fill="auto"/>
      <w:tcMar/>
      <w:vAlign w:val="top"/>
    </w:tcPr>
  </w:style>
  <w:style w:type="table" w:styleId="TableNoRule8" w:customStyle="1">
    <w:name w:val="Table NoRule 8"/>
    <w:basedOn w:val="TableNoRule7_f475512c-d4f1-4c87-bfdb-68a06a2febdc"/>
    <w:uiPriority w:val="99"/>
    <w:pPr>
      <w:pBdr/>
      <w:spacing/>
    </w:pPr>
    <w:rPr/>
    <w:tblPr>
      <w:tblInd w:w="3355" w:type="dxa"/>
      <w:tblBorders/>
      <w:tblCellMar/>
    </w:tblPr>
    <w:trPr/>
    <w:tcPr>
      <w:tcBorders/>
      <w:shd w:val="clear" w:color="auto" w:fill="auto"/>
      <w:tcMar/>
      <w:vAlign w:val="top"/>
    </w:tcPr>
  </w:style>
  <w:style w:type="table" w:styleId="NormalTable_5f340e2f-dc93-4050-83d4-86e44c948a95" w:customStyle="1">
    <w:name w:val="Normal Table_5f340e2f-dc93-4050-83d4-86e44c948a9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23c29809-2511-4e60-b4a2-74d94037c859" w:customStyle="1">
    <w:name w:val="Table NoRule 1_23c29809-2511-4e60-b4a2-74d94037c859"/>
    <w:basedOn w:val="NormalTable_5f340e2f-dc93-4050-83d4-86e44c948a95"/>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c3324aaa-debb-4f68-add6-ae823498f9ea" w:customStyle="1">
    <w:name w:val="Table NoRule 2_c3324aaa-debb-4f68-add6-ae823498f9ea"/>
    <w:basedOn w:val="TableNoRule1_23c29809-2511-4e60-b4a2-74d94037c859"/>
    <w:uiPriority w:val="99"/>
    <w:pPr>
      <w:pBdr/>
      <w:spacing/>
    </w:pPr>
    <w:rPr/>
    <w:tblPr>
      <w:tblInd w:w="475" w:type="dxa"/>
      <w:tblBorders/>
      <w:tblCellMar/>
    </w:tblPr>
    <w:trPr/>
    <w:tcPr>
      <w:tcBorders/>
      <w:shd w:val="clear" w:color="auto" w:fill="auto"/>
      <w:tcMar/>
      <w:vAlign w:val="top"/>
    </w:tcPr>
  </w:style>
  <w:style w:type="table" w:styleId="TableNoRule3_daa9ab04-3622-4b2e-b1ec-3f44b7ec2b2e" w:customStyle="1">
    <w:name w:val="Table NoRule 3_daa9ab04-3622-4b2e-b1ec-3f44b7ec2b2e"/>
    <w:basedOn w:val="TableNoRule2_c3324aaa-debb-4f68-add6-ae823498f9ea"/>
    <w:uiPriority w:val="99"/>
    <w:pPr>
      <w:pBdr/>
      <w:spacing/>
    </w:pPr>
    <w:rPr/>
    <w:tblPr>
      <w:tblInd w:w="950" w:type="dxa"/>
      <w:tblBorders/>
      <w:tblCellMar/>
    </w:tblPr>
    <w:trPr/>
    <w:tcPr>
      <w:tcBorders/>
      <w:shd w:val="clear" w:color="auto" w:fill="auto"/>
      <w:tcMar/>
      <w:vAlign w:val="top"/>
    </w:tcPr>
  </w:style>
  <w:style w:type="table" w:styleId="TableNoRule4_070350d4-9fa7-42d5-a936-8326bfa1c1a9" w:customStyle="1">
    <w:name w:val="Table NoRule 4_070350d4-9fa7-42d5-a936-8326bfa1c1a9"/>
    <w:basedOn w:val="TableNoRule3_daa9ab04-3622-4b2e-b1ec-3f44b7ec2b2e"/>
    <w:uiPriority w:val="99"/>
    <w:pPr>
      <w:pBdr/>
      <w:spacing/>
    </w:pPr>
    <w:rPr/>
    <w:tblPr>
      <w:tblInd w:w="1440" w:type="dxa"/>
      <w:tblBorders/>
      <w:tblCellMar/>
    </w:tblPr>
    <w:trPr/>
    <w:tcPr>
      <w:tcBorders/>
      <w:shd w:val="clear" w:color="auto" w:fill="auto"/>
      <w:tcMar/>
      <w:vAlign w:val="top"/>
    </w:tcPr>
  </w:style>
  <w:style w:type="table" w:styleId="TableNoRule5_44714c8d-ca85-4818-8c55-bd066d936374" w:customStyle="1">
    <w:name w:val="Table NoRule 5_44714c8d-ca85-4818-8c55-bd066d936374"/>
    <w:basedOn w:val="TableNoRule4_070350d4-9fa7-42d5-a936-8326bfa1c1a9"/>
    <w:uiPriority w:val="99"/>
    <w:pPr>
      <w:pBdr/>
      <w:spacing/>
    </w:pPr>
    <w:rPr/>
    <w:tblPr>
      <w:tblInd w:w="1915" w:type="dxa"/>
      <w:tblBorders/>
      <w:tblCellMar/>
    </w:tblPr>
    <w:trPr/>
    <w:tcPr>
      <w:tcBorders/>
      <w:shd w:val="clear" w:color="auto" w:fill="auto"/>
      <w:tcMar/>
      <w:vAlign w:val="top"/>
    </w:tcPr>
  </w:style>
  <w:style w:type="table" w:styleId="TableNoRule6_3787a2ea-1774-4e30-92f8-808fb19ac760" w:customStyle="1">
    <w:name w:val="Table NoRule 6_3787a2ea-1774-4e30-92f8-808fb19ac760"/>
    <w:basedOn w:val="TableNoRule5_44714c8d-ca85-4818-8c55-bd066d936374"/>
    <w:uiPriority w:val="99"/>
    <w:pPr>
      <w:pBdr/>
      <w:spacing/>
    </w:pPr>
    <w:rPr/>
    <w:tblPr>
      <w:tblInd w:w="2390" w:type="dxa"/>
      <w:tblBorders/>
      <w:tblCellMar/>
    </w:tblPr>
    <w:trPr/>
    <w:tcPr>
      <w:tcBorders/>
      <w:shd w:val="clear" w:color="auto" w:fill="auto"/>
      <w:tcMar/>
      <w:vAlign w:val="top"/>
    </w:tcPr>
  </w:style>
  <w:style w:type="table" w:styleId="TableNoRule7_364fb92c-4798-4b5f-b90c-07daa3c23185" w:customStyle="1">
    <w:name w:val="Table NoRule 7_364fb92c-4798-4b5f-b90c-07daa3c23185"/>
    <w:basedOn w:val="TableNoRule6_3787a2ea-1774-4e30-92f8-808fb19ac760"/>
    <w:uiPriority w:val="99"/>
    <w:pPr>
      <w:pBdr/>
      <w:spacing/>
    </w:pPr>
    <w:rPr/>
    <w:tblPr>
      <w:tblInd w:w="2880" w:type="dxa"/>
      <w:tblBorders/>
      <w:tblCellMar/>
    </w:tblPr>
    <w:trPr/>
    <w:tcPr>
      <w:tcBorders/>
      <w:shd w:val="clear" w:color="auto" w:fill="auto"/>
      <w:tcMar/>
      <w:vAlign w:val="top"/>
    </w:tcPr>
  </w:style>
  <w:style w:type="table" w:styleId="TableNoRule8_47272a1e-85f2-47ef-ba63-c10091fd8205" w:customStyle="1">
    <w:name w:val="Table NoRule 8_47272a1e-85f2-47ef-ba63-c10091fd8205"/>
    <w:basedOn w:val="TableNoRule7_364fb92c-4798-4b5f-b90c-07daa3c23185"/>
    <w:uiPriority w:val="99"/>
    <w:pPr>
      <w:pBdr/>
      <w:spacing/>
    </w:pPr>
    <w:rPr/>
    <w:tblPr>
      <w:tblInd w:w="3355" w:type="dxa"/>
      <w:tblBorders/>
      <w:tblCellMar/>
    </w:tblPr>
    <w:trPr/>
    <w:tcPr>
      <w:tcBorders/>
      <w:shd w:val="clear" w:color="auto" w:fill="auto"/>
      <w:tcMar/>
      <w:vAlign w:val="top"/>
    </w:tcPr>
  </w:style>
  <w:style w:type="table" w:styleId="TableNoRule9" w:customStyle="1">
    <w:name w:val="Table NoRule 9"/>
    <w:basedOn w:val="TableNoRule8_47272a1e-85f2-47ef-ba63-c10091fd8205"/>
    <w:uiPriority w:val="99"/>
    <w:pPr>
      <w:pBdr/>
      <w:spacing/>
    </w:pPr>
    <w:rPr/>
    <w:tblPr>
      <w:tblInd w:w="3830" w:type="dxa"/>
      <w:tblBorders/>
      <w:tblCellMar/>
    </w:tblPr>
    <w:trPr/>
    <w:tcPr>
      <w:tcBorders/>
      <w:shd w:val="clear" w:color="auto" w:fill="auto"/>
      <w:tcMar/>
      <w:vAlign w:val="top"/>
    </w:tcPr>
  </w:style>
  <w:style w:type="paragraph" w:styleId="PageBreakB4Table" w:customStyle="1">
    <w:name w:val="PageBreakB4Table"/>
    <w:basedOn w:val="Normal"/>
    <w:qFormat/>
    <w:pPr>
      <w:pBdr/>
      <w:spacing w:before="0" w:after="0"/>
    </w:pPr>
    <w:rPr>
      <w:rFonts w:ascii="Cambria Math" w:hAnsi="Cambria Math"/>
      <w:sz w:val="6"/>
    </w:rPr>
  </w:style>
  <w:style w:type="paragraph" w:styleId="ImageAboveCaptionLeft" w:customStyle="1">
    <w:name w:val="Image Above Caption Left"/>
    <w:next w:val="Block1"/>
    <w:qFormat/>
    <w:pPr>
      <w:keepNext/>
      <w:pBdr/>
      <w:spacing/>
      <w:jc w:val="left"/>
    </w:pPr>
    <w:rPr>
      <w:rFonts w:ascii="Calibri" w:hAnsi="Calibri"/>
      <w:noProof/>
    </w:rPr>
  </w:style>
  <w:style w:type="paragraph" w:styleId="ImageAboveCaptionCenter" w:customStyle="1">
    <w:name w:val="Image Above Caption Center"/>
    <w:basedOn w:val="ImageAboveCaptionLeft"/>
    <w:next w:val="Block1"/>
    <w:qFormat/>
    <w:pPr>
      <w:pBdr/>
      <w:spacing/>
      <w:jc w:val="center"/>
    </w:pPr>
    <w:rPr/>
  </w:style>
  <w:style w:type="paragraph" w:styleId="ImageCaptionAboveCenter" w:customStyle="1">
    <w:name w:val="Image Caption Above Center"/>
    <w:basedOn w:val="ImageCaptionAboveLeft"/>
    <w:next w:val="Block1"/>
    <w:qFormat/>
    <w:pPr>
      <w:pBdr/>
      <w:spacing/>
      <w:jc w:val="center"/>
    </w:pPr>
    <w:rPr/>
  </w:style>
  <w:style w:type="paragraph" w:styleId="ImageCaptionAboveRight" w:customStyle="1">
    <w:name w:val="Image Caption Above Right"/>
    <w:basedOn w:val="ImageCaptionAboveLeft"/>
    <w:next w:val="Block1"/>
    <w:qFormat/>
    <w:pPr>
      <w:pBdr/>
      <w:spacing/>
      <w:jc w:val="right"/>
    </w:pPr>
    <w:rPr/>
  </w:style>
  <w:style w:type="paragraph" w:styleId="ImageAboveCaptionRight" w:customStyle="1">
    <w:name w:val="Image Above Caption Right"/>
    <w:basedOn w:val="ImageAboveCaptionLeft"/>
    <w:qFormat/>
    <w:pPr>
      <w:pBdr/>
      <w:spacing/>
      <w:jc w:val="right"/>
    </w:pPr>
    <w:rPr/>
  </w:style>
</w:styles>
</file>

<file path=word/_rels/document.xml.rels>&#65279;<?xml version="1.0" encoding="utf-8" standalone="yes"?><Relationships xmlns="http://schemas.openxmlformats.org/package/2006/relationships"><Relationship Id="rId36" Type="http://schemas.openxmlformats.org/officeDocument/2006/relationships/styles" Target="styles.xml" /><Relationship Id="rId37" Type="http://schemas.openxmlformats.org/officeDocument/2006/relationships/settings" Target="settings.xml" /><Relationship Id="rId38" Type="http://schemas.openxmlformats.org/officeDocument/2006/relationships/theme" Target="theme/theme1.xml" /><Relationship Id="rId39" Type="http://schemas.openxmlformats.org/officeDocument/2006/relationships/numbering" Target="numbering.xml" /><Relationship Id="rId2" Type="http://schemas.openxmlformats.org/officeDocument/2006/relationships/footer" Target="footer2.xml" /><Relationship Id="rId4" Type="http://schemas.openxmlformats.org/officeDocument/2006/relationships/footer" Target="footer4.xml" /><Relationship Id="rId6" Type="http://schemas.openxmlformats.org/officeDocument/2006/relationships/footer" Target="footer6.xml" /><Relationship Id="rId8" Type="http://schemas.openxmlformats.org/officeDocument/2006/relationships/footer" Target="footer8.xml" /><Relationship Id="rId10" Type="http://schemas.openxmlformats.org/officeDocument/2006/relationships/footer" Target="footer10.xml" /><Relationship Id="rId12" Type="http://schemas.openxmlformats.org/officeDocument/2006/relationships/footer" Target="footer12.xml" /><Relationship Id="rId14" Type="http://schemas.openxmlformats.org/officeDocument/2006/relationships/footer" Target="footer14.xml" /><Relationship Id="rId16" Type="http://schemas.openxmlformats.org/officeDocument/2006/relationships/footer" Target="footer16.xml" /><Relationship Id="rId18" Type="http://schemas.openxmlformats.org/officeDocument/2006/relationships/footer" Target="footer18.xml" /><Relationship Id="rId20" Type="http://schemas.openxmlformats.org/officeDocument/2006/relationships/footer" Target="footer20.xml" /><Relationship Id="rId22" Type="http://schemas.openxmlformats.org/officeDocument/2006/relationships/footer" Target="footer22.xml" /><Relationship Id="rId24" Type="http://schemas.openxmlformats.org/officeDocument/2006/relationships/footer" Target="footer24.xml" /><Relationship Id="rId26" Type="http://schemas.openxmlformats.org/officeDocument/2006/relationships/footer" Target="footer26.xml" /><Relationship Id="rId28" Type="http://schemas.openxmlformats.org/officeDocument/2006/relationships/footer" Target="footer28.xml" /><Relationship Id="rId30" Type="http://schemas.openxmlformats.org/officeDocument/2006/relationships/footer" Target="footer30.xml" /><Relationship Id="rId32" Type="http://schemas.openxmlformats.org/officeDocument/2006/relationships/footer" Target="footer32.xml" /><Relationship Id="rId35" Type="http://schemas.openxmlformats.org/officeDocument/2006/relationships/footer" Target="footer35.xml" /><Relationship Id="rId1" Type="http://schemas.openxmlformats.org/officeDocument/2006/relationships/header" Target="header1.xml" /><Relationship Id="rId3" Type="http://schemas.openxmlformats.org/officeDocument/2006/relationships/header" Target="header3.xml" /><Relationship Id="rId5" Type="http://schemas.openxmlformats.org/officeDocument/2006/relationships/header" Target="header5.xml" /><Relationship Id="rId7" Type="http://schemas.openxmlformats.org/officeDocument/2006/relationships/header" Target="header7.xml" /><Relationship Id="rId9" Type="http://schemas.openxmlformats.org/officeDocument/2006/relationships/header" Target="header9.xml" /><Relationship Id="rId11" Type="http://schemas.openxmlformats.org/officeDocument/2006/relationships/header" Target="header11.xml" /><Relationship Id="rId13" Type="http://schemas.openxmlformats.org/officeDocument/2006/relationships/header" Target="header13.xml" /><Relationship Id="rId15" Type="http://schemas.openxmlformats.org/officeDocument/2006/relationships/header" Target="header15.xml" /><Relationship Id="rId17" Type="http://schemas.openxmlformats.org/officeDocument/2006/relationships/header" Target="header17.xml" /><Relationship Id="rId19" Type="http://schemas.openxmlformats.org/officeDocument/2006/relationships/header" Target="header19.xml" /><Relationship Id="rId21" Type="http://schemas.openxmlformats.org/officeDocument/2006/relationships/header" Target="header21.xml" /><Relationship Id="rId23" Type="http://schemas.openxmlformats.org/officeDocument/2006/relationships/header" Target="header23.xml" /><Relationship Id="rId25" Type="http://schemas.openxmlformats.org/officeDocument/2006/relationships/header" Target="header25.xml" /><Relationship Id="rId27" Type="http://schemas.openxmlformats.org/officeDocument/2006/relationships/header" Target="header27.xml" /><Relationship Id="rId29" Type="http://schemas.openxmlformats.org/officeDocument/2006/relationships/header" Target="header29.xml" /><Relationship Id="rId31" Type="http://schemas.openxmlformats.org/officeDocument/2006/relationships/header" Target="header31.xml" /><Relationship Id="rId34" Type="http://schemas.openxmlformats.org/officeDocument/2006/relationships/header" Target="header34.xml" /><Relationship Id="rId33"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2026-09-07T17:19:22Z</dcterms:created>
  <dcterms:modified xsi:type="dcterms:W3CDTF">2026-09-07T17:19:22Z</dcterms:modified>
</cp:coreProperties>
</file>