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BA" w:rsidRPr="005B7ED1" w:rsidRDefault="000D5BBA" w:rsidP="000D5BBA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0D5BBA" w:rsidRPr="005B7ED1" w:rsidRDefault="000D5BBA" w:rsidP="000D5BBA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НАЦІОНАЛЬНИЙ УНІВЕРСИТЕТ „ЛЬВІВСЬКА ПОЛІТЕХНІКА”</w:t>
      </w:r>
    </w:p>
    <w:p w:rsidR="000D5BBA" w:rsidRDefault="000D5BBA" w:rsidP="000D5BBA">
      <w:pPr>
        <w:jc w:val="center"/>
        <w:rPr>
          <w:rFonts w:ascii="Times New Roman" w:hAnsi="Times New Roman" w:cs="Times New Roman"/>
          <w:sz w:val="32"/>
        </w:rPr>
      </w:pPr>
    </w:p>
    <w:p w:rsidR="000D5BBA" w:rsidRPr="005B7ED1" w:rsidRDefault="000D5BBA" w:rsidP="000D5BBA">
      <w:pPr>
        <w:jc w:val="center"/>
        <w:rPr>
          <w:rFonts w:ascii="Times New Roman" w:hAnsi="Times New Roman" w:cs="Times New Roman"/>
          <w:sz w:val="32"/>
        </w:rPr>
      </w:pPr>
    </w:p>
    <w:p w:rsidR="000D5BBA" w:rsidRPr="00D53177" w:rsidRDefault="000D5BBA" w:rsidP="000D5BBA">
      <w:pPr>
        <w:jc w:val="right"/>
        <w:rPr>
          <w:rFonts w:ascii="Times New Roman" w:hAnsi="Times New Roman" w:cs="Times New Roman"/>
          <w:sz w:val="24"/>
        </w:rPr>
      </w:pPr>
      <w:r w:rsidRPr="00D53177">
        <w:rPr>
          <w:rFonts w:ascii="Times New Roman" w:hAnsi="Times New Roman" w:cs="Times New Roman"/>
          <w:sz w:val="24"/>
        </w:rPr>
        <w:t xml:space="preserve">Кафедра </w:t>
      </w:r>
      <w:r w:rsidRPr="00322A23">
        <w:rPr>
          <w:rFonts w:ascii="Times New Roman" w:hAnsi="Times New Roman" w:cs="Times New Roman"/>
          <w:sz w:val="24"/>
        </w:rPr>
        <w:t>ЦБ</w:t>
      </w:r>
    </w:p>
    <w:p w:rsidR="000D5BBA" w:rsidRPr="00E30696" w:rsidRDefault="000D5BBA" w:rsidP="000D5BBA">
      <w:pPr>
        <w:jc w:val="center"/>
        <w:rPr>
          <w:rFonts w:ascii="Times New Roman" w:hAnsi="Times New Roman" w:cs="Times New Roman"/>
          <w:sz w:val="28"/>
        </w:rPr>
      </w:pPr>
    </w:p>
    <w:p w:rsidR="000D5BBA" w:rsidRDefault="000D5BBA" w:rsidP="000D5BBA">
      <w:pPr>
        <w:jc w:val="center"/>
        <w:rPr>
          <w:rFonts w:ascii="Times New Roman" w:hAnsi="Times New Roman" w:cs="Times New Roman"/>
          <w:sz w:val="28"/>
        </w:rPr>
      </w:pPr>
    </w:p>
    <w:p w:rsidR="000D5BBA" w:rsidRDefault="000D5BBA" w:rsidP="000D5BBA">
      <w:pPr>
        <w:jc w:val="center"/>
        <w:rPr>
          <w:rFonts w:ascii="Times New Roman" w:hAnsi="Times New Roman" w:cs="Times New Roman"/>
          <w:sz w:val="28"/>
        </w:rPr>
      </w:pPr>
    </w:p>
    <w:p w:rsidR="000D5BBA" w:rsidRPr="00E30696" w:rsidRDefault="000D5BBA" w:rsidP="000D5BBA">
      <w:pPr>
        <w:jc w:val="center"/>
        <w:rPr>
          <w:rFonts w:ascii="Times New Roman" w:hAnsi="Times New Roman" w:cs="Times New Roman"/>
          <w:sz w:val="28"/>
        </w:rPr>
      </w:pPr>
    </w:p>
    <w:p w:rsidR="000D5BBA" w:rsidRPr="005B7ED1" w:rsidRDefault="000D5BBA" w:rsidP="000D5BBA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Р О З Р А Х У Н К О В А  Р О Б О Т А</w:t>
      </w:r>
    </w:p>
    <w:p w:rsidR="000D5BBA" w:rsidRPr="005B7ED1" w:rsidRDefault="000D5BBA" w:rsidP="000D5B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  <w:r w:rsidRPr="005B7ED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759">
        <w:rPr>
          <w:rFonts w:ascii="Times New Roman" w:hAnsi="Times New Roman" w:cs="Times New Roman"/>
          <w:sz w:val="28"/>
          <w:szCs w:val="28"/>
        </w:rPr>
        <w:t>Основи охорони праці та безпека життєдіяльності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7ED1">
        <w:rPr>
          <w:rFonts w:ascii="Times New Roman" w:hAnsi="Times New Roman" w:cs="Times New Roman"/>
          <w:sz w:val="28"/>
          <w:szCs w:val="28"/>
        </w:rPr>
        <w:t>»</w:t>
      </w:r>
    </w:p>
    <w:p w:rsidR="000D5BBA" w:rsidRPr="008573A8" w:rsidRDefault="000D5BBA" w:rsidP="000D5BBA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8573A8">
        <w:rPr>
          <w:rFonts w:ascii="Times New Roman" w:hAnsi="Times New Roman" w:cs="Times New Roman"/>
          <w:sz w:val="28"/>
          <w:szCs w:val="36"/>
        </w:rPr>
        <w:t>Варіант №</w:t>
      </w:r>
      <w:r w:rsidRPr="008573A8">
        <w:rPr>
          <w:rFonts w:ascii="Times New Roman" w:hAnsi="Times New Roman" w:cs="Times New Roman"/>
          <w:sz w:val="28"/>
          <w:szCs w:val="36"/>
          <w:lang w:val="ru-RU"/>
        </w:rPr>
        <w:t>2</w:t>
      </w:r>
      <w:r>
        <w:rPr>
          <w:rFonts w:ascii="Times New Roman" w:hAnsi="Times New Roman" w:cs="Times New Roman"/>
          <w:sz w:val="28"/>
          <w:szCs w:val="36"/>
          <w:lang w:val="ru-RU"/>
        </w:rPr>
        <w:t>9</w:t>
      </w:r>
    </w:p>
    <w:p w:rsidR="000D5BBA" w:rsidRDefault="000D5BBA" w:rsidP="000D5BBA">
      <w:pPr>
        <w:jc w:val="center"/>
        <w:rPr>
          <w:rFonts w:ascii="Times New Roman" w:hAnsi="Times New Roman" w:cs="Times New Roman"/>
          <w:sz w:val="36"/>
          <w:lang w:val="ru-RU"/>
        </w:rPr>
      </w:pPr>
    </w:p>
    <w:p w:rsidR="000D5BBA" w:rsidRPr="00E30696" w:rsidRDefault="000D5BBA" w:rsidP="000D5BBA">
      <w:pPr>
        <w:jc w:val="center"/>
        <w:rPr>
          <w:rFonts w:ascii="Times New Roman" w:hAnsi="Times New Roman" w:cs="Times New Roman"/>
          <w:sz w:val="36"/>
          <w:lang w:val="ru-RU"/>
        </w:rPr>
      </w:pPr>
    </w:p>
    <w:p w:rsidR="000D5BBA" w:rsidRPr="00E30696" w:rsidRDefault="000D5BBA" w:rsidP="000D5BBA">
      <w:pPr>
        <w:jc w:val="center"/>
        <w:rPr>
          <w:rFonts w:ascii="Times New Roman" w:hAnsi="Times New Roman" w:cs="Times New Roman"/>
          <w:sz w:val="36"/>
          <w:lang w:val="ru-RU"/>
        </w:rPr>
      </w:pPr>
    </w:p>
    <w:p w:rsidR="000D5BBA" w:rsidRDefault="000D5BBA" w:rsidP="000D5BBA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Виконав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573A8">
        <w:rPr>
          <w:rFonts w:ascii="Times New Roman" w:hAnsi="Times New Roman" w:cs="Times New Roman"/>
          <w:sz w:val="28"/>
          <w:szCs w:val="28"/>
        </w:rPr>
        <w:t>студент групи КН-4</w:t>
      </w:r>
      <w:r w:rsidRPr="008573A8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A8">
        <w:rPr>
          <w:rFonts w:ascii="Times New Roman" w:hAnsi="Times New Roman" w:cs="Times New Roman"/>
          <w:sz w:val="28"/>
          <w:szCs w:val="28"/>
          <w:lang w:val="ru-RU"/>
        </w:rPr>
        <w:t>Басистюк</w:t>
      </w:r>
      <w:proofErr w:type="spellEnd"/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О.</w:t>
      </w:r>
      <w:r w:rsidRPr="008573A8">
        <w:rPr>
          <w:rFonts w:ascii="Times New Roman" w:hAnsi="Times New Roman" w:cs="Times New Roman"/>
          <w:sz w:val="28"/>
          <w:szCs w:val="28"/>
        </w:rPr>
        <w:t>А.</w:t>
      </w: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Прийняв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D5BBA" w:rsidRPr="00415B72" w:rsidRDefault="000D5BBA" w:rsidP="000D5BBA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доцент кафедри </w:t>
      </w:r>
      <w:r>
        <w:rPr>
          <w:rFonts w:ascii="Times New Roman" w:hAnsi="Times New Roman" w:cs="Times New Roman"/>
          <w:sz w:val="28"/>
          <w:szCs w:val="28"/>
        </w:rPr>
        <w:t>ЦБ</w:t>
      </w:r>
    </w:p>
    <w:p w:rsidR="000D5BBA" w:rsidRPr="00415B72" w:rsidRDefault="000D5BBA" w:rsidP="000D5BBA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Катренко</w:t>
      </w:r>
      <w:proofErr w:type="spellEnd"/>
      <w:r w:rsidRPr="0041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</w:rPr>
        <w:t>Львів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–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0D5BBA" w:rsidRDefault="000D5BBA" w:rsidP="000D5BBA">
      <w:pPr>
        <w:pStyle w:val="1"/>
        <w:jc w:val="center"/>
        <w:rPr>
          <w:rFonts w:ascii="Times New Roman" w:hAnsi="Times New Roman" w:cs="Times New Roman"/>
        </w:rPr>
      </w:pPr>
      <w:bookmarkStart w:id="0" w:name="_Toc2461518"/>
      <w:r w:rsidRPr="00504B77">
        <w:rPr>
          <w:rFonts w:ascii="Times New Roman" w:hAnsi="Times New Roman" w:cs="Times New Roman"/>
          <w:sz w:val="28"/>
        </w:rPr>
        <w:lastRenderedPageBreak/>
        <w:t>ЗАВДАННЯ</w:t>
      </w:r>
      <w:bookmarkEnd w:id="0"/>
    </w:p>
    <w:p w:rsidR="000D5BBA" w:rsidRDefault="000D5BBA" w:rsidP="001B01A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BBA">
        <w:rPr>
          <w:rFonts w:ascii="Times New Roman" w:hAnsi="Times New Roman" w:cs="Times New Roman"/>
          <w:sz w:val="28"/>
          <w:szCs w:val="28"/>
        </w:rPr>
        <w:t>Провести аналіз виробничого травматизму на підприємстві та розрахувати коефіцієнти частоти, важкості та загального травматизму. Побудувати графіки показників за період 2010-2018 роки.</w:t>
      </w:r>
    </w:p>
    <w:p w:rsidR="000D5BBA" w:rsidRPr="001B01A1" w:rsidRDefault="000D5BBA" w:rsidP="000D5BBA">
      <w:pPr>
        <w:pStyle w:val="a3"/>
        <w:ind w:left="36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B01A1">
        <w:rPr>
          <w:rFonts w:ascii="Times New Roman" w:hAnsi="Times New Roman" w:cs="Times New Roman"/>
          <w:b/>
          <w:sz w:val="20"/>
          <w:szCs w:val="20"/>
        </w:rPr>
        <w:t>Таблиця 1.</w:t>
      </w:r>
    </w:p>
    <w:tbl>
      <w:tblPr>
        <w:tblW w:w="90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9"/>
        <w:gridCol w:w="1001"/>
        <w:gridCol w:w="999"/>
        <w:gridCol w:w="1001"/>
        <w:gridCol w:w="999"/>
        <w:gridCol w:w="1001"/>
        <w:gridCol w:w="999"/>
        <w:gridCol w:w="1001"/>
        <w:gridCol w:w="1003"/>
      </w:tblGrid>
      <w:tr w:rsidR="000D5BBA" w:rsidRPr="00434D3A" w:rsidTr="000D5BBA">
        <w:trPr>
          <w:trHeight w:val="473"/>
        </w:trPr>
        <w:tc>
          <w:tcPr>
            <w:tcW w:w="9003" w:type="dxa"/>
            <w:gridSpan w:val="9"/>
          </w:tcPr>
          <w:p w:rsidR="000D5BBA" w:rsidRPr="00434D3A" w:rsidRDefault="000D5BBA" w:rsidP="000D5BB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</w:t>
            </w:r>
            <w:r w:rsidRPr="00434D3A">
              <w:rPr>
                <w:b/>
                <w:sz w:val="20"/>
              </w:rPr>
              <w:t>ількість не</w:t>
            </w:r>
            <w:r>
              <w:rPr>
                <w:b/>
                <w:sz w:val="20"/>
              </w:rPr>
              <w:t>щасних випадків по роках</w:t>
            </w:r>
          </w:p>
        </w:tc>
      </w:tr>
      <w:tr w:rsidR="000D5BBA" w:rsidRPr="00434D3A" w:rsidTr="000D5BBA">
        <w:trPr>
          <w:trHeight w:val="412"/>
        </w:trPr>
        <w:tc>
          <w:tcPr>
            <w:tcW w:w="999" w:type="dxa"/>
          </w:tcPr>
          <w:p w:rsidR="000D5BBA" w:rsidRPr="00434D3A" w:rsidRDefault="002D7E8D" w:rsidP="000D5B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001" w:type="dxa"/>
          </w:tcPr>
          <w:p w:rsidR="000D5BBA" w:rsidRPr="00434D3A" w:rsidRDefault="002D7E8D" w:rsidP="000D5B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999" w:type="dxa"/>
          </w:tcPr>
          <w:p w:rsidR="000D5BBA" w:rsidRPr="00434D3A" w:rsidRDefault="002D7E8D" w:rsidP="000D5B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1001" w:type="dxa"/>
          </w:tcPr>
          <w:p w:rsidR="000D5BBA" w:rsidRPr="00434D3A" w:rsidRDefault="002D7E8D" w:rsidP="000D5B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99" w:type="dxa"/>
          </w:tcPr>
          <w:p w:rsidR="000D5BBA" w:rsidRPr="00434D3A" w:rsidRDefault="002D7E8D" w:rsidP="000D5B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1001" w:type="dxa"/>
          </w:tcPr>
          <w:p w:rsidR="000D5BBA" w:rsidRPr="00434D3A" w:rsidRDefault="002D7E8D" w:rsidP="000D5B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999" w:type="dxa"/>
          </w:tcPr>
          <w:p w:rsidR="000D5BBA" w:rsidRPr="00434D3A" w:rsidRDefault="002D7E8D" w:rsidP="000D5B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1001" w:type="dxa"/>
          </w:tcPr>
          <w:p w:rsidR="000D5BBA" w:rsidRPr="00434D3A" w:rsidRDefault="002D7E8D" w:rsidP="000D5B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 w:rsidRPr="00434D3A">
              <w:rPr>
                <w:b/>
                <w:sz w:val="16"/>
                <w:szCs w:val="16"/>
              </w:rPr>
              <w:t>1</w:t>
            </w:r>
            <w:r w:rsidR="000D5BBA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003" w:type="dxa"/>
          </w:tcPr>
          <w:p w:rsidR="000D5BBA" w:rsidRPr="00434D3A" w:rsidRDefault="002D7E8D" w:rsidP="000D5B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18</w:t>
            </w:r>
          </w:p>
        </w:tc>
      </w:tr>
      <w:tr w:rsidR="000D5BBA" w:rsidRPr="006A72DB" w:rsidTr="000D5BBA">
        <w:trPr>
          <w:trHeight w:val="412"/>
        </w:trPr>
        <w:tc>
          <w:tcPr>
            <w:tcW w:w="999" w:type="dxa"/>
          </w:tcPr>
          <w:p w:rsidR="000D5BBA" w:rsidRDefault="000D5BBA" w:rsidP="000D5B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01" w:type="dxa"/>
          </w:tcPr>
          <w:p w:rsidR="000D5BBA" w:rsidRDefault="000D5BBA" w:rsidP="000D5B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9" w:type="dxa"/>
          </w:tcPr>
          <w:p w:rsidR="000D5BBA" w:rsidRPr="006A72DB" w:rsidRDefault="000D5BBA" w:rsidP="000D5BBA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001" w:type="dxa"/>
          </w:tcPr>
          <w:p w:rsidR="000D5BBA" w:rsidRPr="006A72DB" w:rsidRDefault="000D5BBA" w:rsidP="000D5BBA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999" w:type="dxa"/>
          </w:tcPr>
          <w:p w:rsidR="000D5BBA" w:rsidRDefault="000D5BBA" w:rsidP="000D5B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1" w:type="dxa"/>
          </w:tcPr>
          <w:p w:rsidR="000D5BBA" w:rsidRPr="006A72DB" w:rsidRDefault="000D5BBA" w:rsidP="000D5BBA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999" w:type="dxa"/>
          </w:tcPr>
          <w:p w:rsidR="000D5BBA" w:rsidRPr="006A72DB" w:rsidRDefault="000D5BBA" w:rsidP="000D5B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01" w:type="dxa"/>
          </w:tcPr>
          <w:p w:rsidR="000D5BBA" w:rsidRPr="009A4725" w:rsidRDefault="000D5BBA" w:rsidP="000D5B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03" w:type="dxa"/>
          </w:tcPr>
          <w:p w:rsidR="000D5BBA" w:rsidRPr="006A72DB" w:rsidRDefault="000D5BBA" w:rsidP="000D5BBA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6</w:t>
            </w:r>
          </w:p>
        </w:tc>
      </w:tr>
      <w:tr w:rsidR="000D5BBA" w:rsidRPr="006A72DB" w:rsidTr="00033046">
        <w:trPr>
          <w:trHeight w:val="412"/>
        </w:trPr>
        <w:tc>
          <w:tcPr>
            <w:tcW w:w="9003" w:type="dxa"/>
            <w:gridSpan w:val="9"/>
          </w:tcPr>
          <w:p w:rsidR="000D5BBA" w:rsidRPr="006A72DB" w:rsidRDefault="000D5BBA" w:rsidP="000D5BBA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sz w:val="20"/>
              </w:rPr>
              <w:t>С</w:t>
            </w:r>
            <w:r w:rsidRPr="00434D3A">
              <w:rPr>
                <w:b/>
                <w:sz w:val="20"/>
              </w:rPr>
              <w:t>ередньоспискова</w:t>
            </w:r>
            <w:proofErr w:type="spellEnd"/>
            <w:r w:rsidRPr="00434D3A">
              <w:rPr>
                <w:b/>
                <w:sz w:val="20"/>
              </w:rPr>
              <w:t xml:space="preserve"> кількість працівників по роках</w:t>
            </w:r>
          </w:p>
        </w:tc>
      </w:tr>
      <w:tr w:rsidR="000D5BBA" w:rsidRPr="006A72DB" w:rsidTr="000D5BBA">
        <w:trPr>
          <w:trHeight w:val="412"/>
        </w:trPr>
        <w:tc>
          <w:tcPr>
            <w:tcW w:w="999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001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999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1001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99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1001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999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1001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1003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18</w:t>
            </w:r>
          </w:p>
        </w:tc>
      </w:tr>
      <w:tr w:rsidR="000D5BBA" w:rsidRPr="006A72DB" w:rsidTr="000D5BBA">
        <w:trPr>
          <w:trHeight w:val="412"/>
        </w:trPr>
        <w:tc>
          <w:tcPr>
            <w:tcW w:w="999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250</w:t>
            </w:r>
          </w:p>
        </w:tc>
        <w:tc>
          <w:tcPr>
            <w:tcW w:w="1001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250</w:t>
            </w:r>
          </w:p>
        </w:tc>
        <w:tc>
          <w:tcPr>
            <w:tcW w:w="999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170</w:t>
            </w:r>
          </w:p>
        </w:tc>
        <w:tc>
          <w:tcPr>
            <w:tcW w:w="1001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</w:rPr>
            </w:pPr>
            <w:r w:rsidRPr="006A72DB">
              <w:rPr>
                <w:sz w:val="16"/>
                <w:szCs w:val="16"/>
              </w:rPr>
              <w:t>180</w:t>
            </w:r>
          </w:p>
        </w:tc>
        <w:tc>
          <w:tcPr>
            <w:tcW w:w="999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</w:rPr>
            </w:pPr>
            <w:r w:rsidRPr="006A72DB">
              <w:rPr>
                <w:sz w:val="16"/>
                <w:szCs w:val="16"/>
              </w:rPr>
              <w:t>177</w:t>
            </w:r>
          </w:p>
        </w:tc>
        <w:tc>
          <w:tcPr>
            <w:tcW w:w="1001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268</w:t>
            </w:r>
          </w:p>
        </w:tc>
        <w:tc>
          <w:tcPr>
            <w:tcW w:w="999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</w:rPr>
            </w:pPr>
            <w:r w:rsidRPr="006A72DB">
              <w:rPr>
                <w:sz w:val="16"/>
                <w:szCs w:val="16"/>
              </w:rPr>
              <w:t>310</w:t>
            </w:r>
          </w:p>
        </w:tc>
        <w:tc>
          <w:tcPr>
            <w:tcW w:w="1001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170</w:t>
            </w:r>
          </w:p>
        </w:tc>
        <w:tc>
          <w:tcPr>
            <w:tcW w:w="1003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</w:rPr>
            </w:pPr>
            <w:r w:rsidRPr="006A72DB">
              <w:rPr>
                <w:sz w:val="16"/>
                <w:szCs w:val="16"/>
              </w:rPr>
              <w:t>175</w:t>
            </w:r>
          </w:p>
        </w:tc>
      </w:tr>
      <w:tr w:rsidR="000D5BBA" w:rsidRPr="006A72DB" w:rsidTr="008255E4">
        <w:trPr>
          <w:trHeight w:val="412"/>
        </w:trPr>
        <w:tc>
          <w:tcPr>
            <w:tcW w:w="9003" w:type="dxa"/>
            <w:gridSpan w:val="9"/>
          </w:tcPr>
          <w:p w:rsidR="000D5BBA" w:rsidRPr="006A72DB" w:rsidRDefault="000D5BBA" w:rsidP="000D5BB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К</w:t>
            </w:r>
            <w:r w:rsidRPr="00434D3A">
              <w:rPr>
                <w:b/>
                <w:sz w:val="20"/>
              </w:rPr>
              <w:t>ількість днів непрацездатності по роках</w:t>
            </w:r>
          </w:p>
        </w:tc>
      </w:tr>
      <w:tr w:rsidR="000D5BBA" w:rsidRPr="006A72DB" w:rsidTr="000D5BBA">
        <w:trPr>
          <w:trHeight w:val="412"/>
        </w:trPr>
        <w:tc>
          <w:tcPr>
            <w:tcW w:w="999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001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999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1001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99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1001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 w:rsidRPr="00434D3A">
              <w:rPr>
                <w:b/>
                <w:sz w:val="16"/>
                <w:szCs w:val="16"/>
              </w:rPr>
              <w:t>1</w:t>
            </w:r>
            <w:r w:rsidR="000D5BBA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999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1001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1003" w:type="dxa"/>
          </w:tcPr>
          <w:p w:rsidR="000D5BBA" w:rsidRPr="00434D3A" w:rsidRDefault="002D7E8D" w:rsidP="00B22E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="000D5BBA">
              <w:rPr>
                <w:b/>
                <w:sz w:val="16"/>
                <w:szCs w:val="16"/>
              </w:rPr>
              <w:t>18</w:t>
            </w:r>
          </w:p>
        </w:tc>
      </w:tr>
      <w:tr w:rsidR="000D5BBA" w:rsidRPr="006A72DB" w:rsidTr="000D5BBA">
        <w:trPr>
          <w:trHeight w:val="412"/>
        </w:trPr>
        <w:tc>
          <w:tcPr>
            <w:tcW w:w="999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</w:rPr>
            </w:pPr>
            <w:r w:rsidRPr="006A72DB">
              <w:rPr>
                <w:sz w:val="16"/>
                <w:szCs w:val="16"/>
              </w:rPr>
              <w:t>220</w:t>
            </w:r>
          </w:p>
        </w:tc>
        <w:tc>
          <w:tcPr>
            <w:tcW w:w="1001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240</w:t>
            </w:r>
          </w:p>
        </w:tc>
        <w:tc>
          <w:tcPr>
            <w:tcW w:w="999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</w:rPr>
            </w:pPr>
            <w:r w:rsidRPr="006A72DB">
              <w:rPr>
                <w:sz w:val="16"/>
                <w:szCs w:val="16"/>
              </w:rPr>
              <w:t>44</w:t>
            </w:r>
          </w:p>
        </w:tc>
        <w:tc>
          <w:tcPr>
            <w:tcW w:w="1001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69</w:t>
            </w:r>
          </w:p>
        </w:tc>
        <w:tc>
          <w:tcPr>
            <w:tcW w:w="999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1001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69</w:t>
            </w:r>
          </w:p>
        </w:tc>
        <w:tc>
          <w:tcPr>
            <w:tcW w:w="999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</w:rPr>
            </w:pPr>
            <w:r w:rsidRPr="006A72DB">
              <w:rPr>
                <w:sz w:val="16"/>
                <w:szCs w:val="16"/>
              </w:rPr>
              <w:t>82</w:t>
            </w:r>
          </w:p>
        </w:tc>
        <w:tc>
          <w:tcPr>
            <w:tcW w:w="1001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</w:rPr>
            </w:pPr>
            <w:r w:rsidRPr="006A72DB">
              <w:rPr>
                <w:sz w:val="16"/>
                <w:szCs w:val="16"/>
              </w:rPr>
              <w:t>66</w:t>
            </w:r>
          </w:p>
        </w:tc>
        <w:tc>
          <w:tcPr>
            <w:tcW w:w="1003" w:type="dxa"/>
          </w:tcPr>
          <w:p w:rsidR="000D5BBA" w:rsidRPr="006A72DB" w:rsidRDefault="000D5BBA" w:rsidP="00B22E04">
            <w:pPr>
              <w:jc w:val="center"/>
              <w:rPr>
                <w:sz w:val="16"/>
                <w:szCs w:val="16"/>
                <w:lang w:val="en-US"/>
              </w:rPr>
            </w:pPr>
            <w:r w:rsidRPr="006A72DB">
              <w:rPr>
                <w:sz w:val="16"/>
                <w:szCs w:val="16"/>
                <w:lang w:val="en-US"/>
              </w:rPr>
              <w:t>54</w:t>
            </w:r>
          </w:p>
        </w:tc>
      </w:tr>
    </w:tbl>
    <w:p w:rsidR="000D5BBA" w:rsidRPr="000D5BBA" w:rsidRDefault="000D5BBA" w:rsidP="000D5BB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5BBA" w:rsidRDefault="000D5BBA" w:rsidP="001B01A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BBA">
        <w:rPr>
          <w:rFonts w:ascii="Times New Roman" w:hAnsi="Times New Roman" w:cs="Times New Roman"/>
          <w:sz w:val="28"/>
          <w:szCs w:val="28"/>
        </w:rPr>
        <w:t>Розрахунок</w:t>
      </w:r>
      <w:r w:rsidR="00B62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BBA">
        <w:rPr>
          <w:rFonts w:ascii="Times New Roman" w:hAnsi="Times New Roman" w:cs="Times New Roman"/>
          <w:sz w:val="28"/>
          <w:szCs w:val="28"/>
        </w:rPr>
        <w:t>бокового природного освітлення</w:t>
      </w:r>
      <w:r w:rsidR="00FC62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5662E" w:rsidRPr="0085662E">
        <w:rPr>
          <w:rFonts w:ascii="Times New Roman" w:hAnsi="Times New Roman" w:cs="Times New Roman"/>
          <w:sz w:val="28"/>
          <w:szCs w:val="28"/>
        </w:rPr>
        <w:t>Необхідно визначити площу світлових прорізів</w:t>
      </w:r>
      <w:r w:rsidR="008566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69C8" w:rsidRPr="001B01A1" w:rsidRDefault="003D69C8" w:rsidP="003D69C8">
      <w:pPr>
        <w:pStyle w:val="a3"/>
        <w:ind w:left="36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B01A1">
        <w:rPr>
          <w:rFonts w:ascii="Times New Roman" w:hAnsi="Times New Roman" w:cs="Times New Roman"/>
          <w:b/>
          <w:sz w:val="20"/>
          <w:szCs w:val="20"/>
        </w:rPr>
        <w:t>Таблиця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7"/>
        <w:gridCol w:w="3256"/>
      </w:tblGrid>
      <w:tr w:rsidR="00B22E04" w:rsidTr="00B22E04">
        <w:trPr>
          <w:trHeight w:val="610"/>
          <w:jc w:val="center"/>
        </w:trPr>
        <w:tc>
          <w:tcPr>
            <w:tcW w:w="3157" w:type="dxa"/>
          </w:tcPr>
          <w:p w:rsidR="00B22E04" w:rsidRPr="003D69C8" w:rsidRDefault="00B22E04" w:rsidP="00B22E04">
            <w:pPr>
              <w:jc w:val="center"/>
              <w:rPr>
                <w:rFonts w:eastAsia="MS Mincho"/>
                <w:b/>
                <w:sz w:val="20"/>
              </w:rPr>
            </w:pPr>
            <w:r w:rsidRPr="003D69C8">
              <w:rPr>
                <w:b/>
                <w:sz w:val="20"/>
              </w:rPr>
              <w:t xml:space="preserve">Нормоване значення коефіцієнту природної освітленості </w:t>
            </w:r>
            <w:proofErr w:type="spellStart"/>
            <w:r w:rsidRPr="003D69C8">
              <w:rPr>
                <w:b/>
                <w:sz w:val="20"/>
              </w:rPr>
              <w:t>е</w:t>
            </w:r>
            <w:r w:rsidRPr="003D69C8">
              <w:rPr>
                <w:b/>
                <w:sz w:val="20"/>
                <w:vertAlign w:val="subscript"/>
              </w:rPr>
              <w:t>н</w:t>
            </w:r>
            <w:proofErr w:type="spellEnd"/>
            <w:r w:rsidRPr="003D69C8">
              <w:rPr>
                <w:b/>
                <w:sz w:val="20"/>
                <w:vertAlign w:val="subscript"/>
                <w:lang w:val="ru-RU"/>
              </w:rPr>
              <w:t xml:space="preserve"> %</w:t>
            </w:r>
          </w:p>
        </w:tc>
        <w:tc>
          <w:tcPr>
            <w:tcW w:w="3256" w:type="dxa"/>
          </w:tcPr>
          <w:p w:rsidR="00B22E04" w:rsidRPr="003D69C8" w:rsidRDefault="00B22E04" w:rsidP="00B22E04">
            <w:pPr>
              <w:jc w:val="center"/>
              <w:rPr>
                <w:rFonts w:eastAsia="MS Mincho"/>
                <w:b/>
                <w:sz w:val="20"/>
              </w:rPr>
            </w:pPr>
            <w:r w:rsidRPr="003D69C8">
              <w:rPr>
                <w:b/>
                <w:sz w:val="20"/>
              </w:rPr>
              <w:t>Розміри приміщення А*В</w:t>
            </w:r>
            <w:r w:rsidRPr="003D69C8">
              <w:rPr>
                <w:b/>
                <w:sz w:val="20"/>
                <w:lang w:val="ru-RU"/>
              </w:rPr>
              <w:t xml:space="preserve">, </w:t>
            </w:r>
            <w:r w:rsidRPr="003D69C8">
              <w:rPr>
                <w:b/>
                <w:sz w:val="20"/>
              </w:rPr>
              <w:t>м</w:t>
            </w:r>
          </w:p>
        </w:tc>
      </w:tr>
      <w:tr w:rsidR="00B22E04" w:rsidTr="00B22E04">
        <w:trPr>
          <w:trHeight w:val="211"/>
          <w:jc w:val="center"/>
        </w:trPr>
        <w:tc>
          <w:tcPr>
            <w:tcW w:w="3157" w:type="dxa"/>
          </w:tcPr>
          <w:p w:rsidR="00B22E04" w:rsidRDefault="00B22E04" w:rsidP="00B22E04">
            <w:pPr>
              <w:jc w:val="center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1,5</w:t>
            </w:r>
          </w:p>
        </w:tc>
        <w:tc>
          <w:tcPr>
            <w:tcW w:w="3256" w:type="dxa"/>
          </w:tcPr>
          <w:p w:rsidR="00B22E04" w:rsidRDefault="00B22E04" w:rsidP="00B22E04">
            <w:pPr>
              <w:jc w:val="center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8*6</w:t>
            </w:r>
          </w:p>
        </w:tc>
      </w:tr>
    </w:tbl>
    <w:p w:rsidR="003D69C8" w:rsidRPr="000D5BBA" w:rsidRDefault="003D69C8" w:rsidP="003D69C8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5BBA" w:rsidRDefault="000D5BBA" w:rsidP="000D5BB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5BBA">
        <w:rPr>
          <w:rFonts w:ascii="Times New Roman" w:hAnsi="Times New Roman" w:cs="Times New Roman"/>
          <w:sz w:val="28"/>
          <w:szCs w:val="28"/>
        </w:rPr>
        <w:t>Дати відповіді на питання.</w:t>
      </w:r>
    </w:p>
    <w:p w:rsidR="000D5BBA" w:rsidRDefault="000D5BBA" w:rsidP="000D5BBA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5BBA">
        <w:rPr>
          <w:rFonts w:ascii="Times New Roman" w:hAnsi="Times New Roman" w:cs="Times New Roman"/>
          <w:noProof/>
          <w:sz w:val="28"/>
          <w:szCs w:val="28"/>
        </w:rPr>
        <w:t>Вібрація, дія на організм людини, нормування</w:t>
      </w:r>
    </w:p>
    <w:p w:rsidR="000D5BBA" w:rsidRPr="003D69C8" w:rsidRDefault="000D5BBA" w:rsidP="000D5BBA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5BBA">
        <w:rPr>
          <w:rFonts w:ascii="Times New Roman" w:hAnsi="Times New Roman" w:cs="Times New Roman"/>
          <w:noProof/>
          <w:sz w:val="28"/>
          <w:szCs w:val="28"/>
        </w:rPr>
        <w:t>Самозаймання, його види.</w:t>
      </w:r>
    </w:p>
    <w:p w:rsidR="003D69C8" w:rsidRPr="00EE5735" w:rsidRDefault="003D69C8" w:rsidP="003D69C8">
      <w:pPr>
        <w:pStyle w:val="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ХІД РОБОТИ</w:t>
      </w:r>
    </w:p>
    <w:p w:rsidR="006A568A" w:rsidRPr="006B32C9" w:rsidRDefault="006B32C9" w:rsidP="006B32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2C9">
        <w:rPr>
          <w:rFonts w:ascii="Times New Roman" w:hAnsi="Times New Roman" w:cs="Times New Roman"/>
          <w:sz w:val="28"/>
          <w:szCs w:val="28"/>
        </w:rPr>
        <w:t>Визначаємо</w:t>
      </w:r>
      <w:r w:rsidR="00596780">
        <w:rPr>
          <w:rFonts w:ascii="Times New Roman" w:hAnsi="Times New Roman" w:cs="Times New Roman"/>
          <w:sz w:val="28"/>
          <w:szCs w:val="28"/>
        </w:rPr>
        <w:t xml:space="preserve"> </w:t>
      </w:r>
      <w:r w:rsidR="00596780" w:rsidRPr="000D5BBA">
        <w:rPr>
          <w:rFonts w:ascii="Times New Roman" w:hAnsi="Times New Roman" w:cs="Times New Roman"/>
          <w:sz w:val="28"/>
          <w:szCs w:val="28"/>
        </w:rPr>
        <w:t>коефіцієнт частоти</w:t>
      </w:r>
      <w:r w:rsidRPr="006B32C9">
        <w:rPr>
          <w:rFonts w:ascii="Times New Roman" w:hAnsi="Times New Roman" w:cs="Times New Roman"/>
          <w:sz w:val="28"/>
          <w:szCs w:val="28"/>
        </w:rPr>
        <w:t xml:space="preserve"> </w:t>
      </w:r>
      <w:r w:rsidR="00596780">
        <w:rPr>
          <w:rFonts w:ascii="Times New Roman" w:hAnsi="Times New Roman" w:cs="Times New Roman"/>
          <w:sz w:val="28"/>
          <w:szCs w:val="28"/>
        </w:rPr>
        <w:t xml:space="preserve">травматизму </w:t>
      </w:r>
      <w:r w:rsidR="00A43609" w:rsidRPr="00A43609">
        <w:rPr>
          <w:rFonts w:ascii="Times New Roman" w:hAnsi="Times New Roman" w:cs="Times New Roman"/>
          <w:sz w:val="28"/>
          <w:szCs w:val="28"/>
        </w:rPr>
        <w:t>по роках</w:t>
      </w:r>
      <w:r w:rsidRPr="006B32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32C9" w:rsidRPr="00A43609" w:rsidRDefault="00582E55" w:rsidP="006B32C9">
      <w:pPr>
        <w:pStyle w:val="a3"/>
        <w:ind w:left="36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</w:rPr>
            <m:t>*1000</m:t>
          </m:r>
        </m:oMath>
      </m:oMathPara>
    </w:p>
    <w:p w:rsidR="00A43609" w:rsidRDefault="00A43609" w:rsidP="00A43609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Н – кількість випадків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травматизму</w:t>
      </w:r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A43609" w:rsidRPr="00A43609" w:rsidRDefault="00A43609" w:rsidP="00A43609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с</w:t>
      </w:r>
      <w:r w:rsidRPr="00A43609">
        <w:rPr>
          <w:rFonts w:ascii="Times New Roman" w:eastAsiaTheme="minorEastAsia" w:hAnsi="Times New Roman" w:cs="Times New Roman"/>
          <w:sz w:val="28"/>
        </w:rPr>
        <w:t>ередньоспискова</w:t>
      </w:r>
      <w:proofErr w:type="spellEnd"/>
      <w:r w:rsidRPr="00A4360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кількість працівників</w:t>
      </w:r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tbl>
      <w:tblPr>
        <w:tblW w:w="90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9"/>
        <w:gridCol w:w="1001"/>
        <w:gridCol w:w="999"/>
        <w:gridCol w:w="1001"/>
        <w:gridCol w:w="999"/>
        <w:gridCol w:w="1001"/>
        <w:gridCol w:w="999"/>
        <w:gridCol w:w="1001"/>
        <w:gridCol w:w="1003"/>
      </w:tblGrid>
      <w:tr w:rsidR="00A43609" w:rsidRPr="00434D3A" w:rsidTr="00CD5932">
        <w:trPr>
          <w:trHeight w:val="473"/>
        </w:trPr>
        <w:tc>
          <w:tcPr>
            <w:tcW w:w="9003" w:type="dxa"/>
            <w:gridSpan w:val="9"/>
          </w:tcPr>
          <w:p w:rsidR="00A43609" w:rsidRPr="00434D3A" w:rsidRDefault="00596780" w:rsidP="00CD593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</w:t>
            </w:r>
            <w:r w:rsidRPr="00596780">
              <w:rPr>
                <w:b/>
                <w:sz w:val="20"/>
              </w:rPr>
              <w:t>оефіцієнти частоти</w:t>
            </w:r>
            <w:r>
              <w:t xml:space="preserve"> </w:t>
            </w:r>
            <w:r w:rsidRPr="00596780">
              <w:rPr>
                <w:b/>
                <w:sz w:val="20"/>
              </w:rPr>
              <w:t>травматизму по роках</w:t>
            </w:r>
          </w:p>
        </w:tc>
      </w:tr>
      <w:tr w:rsidR="00A43609" w:rsidRPr="00434D3A" w:rsidTr="00CD5932">
        <w:trPr>
          <w:trHeight w:val="412"/>
        </w:trPr>
        <w:tc>
          <w:tcPr>
            <w:tcW w:w="999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2010</w:t>
            </w:r>
          </w:p>
        </w:tc>
        <w:tc>
          <w:tcPr>
            <w:tcW w:w="1001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2011</w:t>
            </w:r>
          </w:p>
        </w:tc>
        <w:tc>
          <w:tcPr>
            <w:tcW w:w="999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2012</w:t>
            </w:r>
          </w:p>
        </w:tc>
        <w:tc>
          <w:tcPr>
            <w:tcW w:w="1001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2013</w:t>
            </w:r>
          </w:p>
        </w:tc>
        <w:tc>
          <w:tcPr>
            <w:tcW w:w="999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2014</w:t>
            </w:r>
          </w:p>
        </w:tc>
        <w:tc>
          <w:tcPr>
            <w:tcW w:w="1001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2015</w:t>
            </w:r>
          </w:p>
        </w:tc>
        <w:tc>
          <w:tcPr>
            <w:tcW w:w="999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2016</w:t>
            </w:r>
          </w:p>
        </w:tc>
        <w:tc>
          <w:tcPr>
            <w:tcW w:w="1001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Pr="00434D3A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003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2018</w:t>
            </w:r>
          </w:p>
        </w:tc>
      </w:tr>
      <w:tr w:rsidR="00A43609" w:rsidRPr="006A72DB" w:rsidTr="00CD5932">
        <w:trPr>
          <w:trHeight w:val="412"/>
        </w:trPr>
        <w:tc>
          <w:tcPr>
            <w:tcW w:w="999" w:type="dxa"/>
          </w:tcPr>
          <w:p w:rsidR="00A43609" w:rsidRPr="00A43609" w:rsidRDefault="00A43609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1.6</w:t>
            </w:r>
          </w:p>
        </w:tc>
        <w:tc>
          <w:tcPr>
            <w:tcW w:w="1001" w:type="dxa"/>
          </w:tcPr>
          <w:p w:rsidR="00A43609" w:rsidRPr="00A43609" w:rsidRDefault="00A43609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2.4</w:t>
            </w:r>
          </w:p>
        </w:tc>
        <w:tc>
          <w:tcPr>
            <w:tcW w:w="999" w:type="dxa"/>
          </w:tcPr>
          <w:p w:rsidR="00A43609" w:rsidRPr="006A72DB" w:rsidRDefault="00A43609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2.35</w:t>
            </w:r>
          </w:p>
        </w:tc>
        <w:tc>
          <w:tcPr>
            <w:tcW w:w="1001" w:type="dxa"/>
          </w:tcPr>
          <w:p w:rsidR="00A43609" w:rsidRPr="006A72DB" w:rsidRDefault="00A43609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2.2</w:t>
            </w:r>
          </w:p>
        </w:tc>
        <w:tc>
          <w:tcPr>
            <w:tcW w:w="999" w:type="dxa"/>
          </w:tcPr>
          <w:p w:rsidR="00A43609" w:rsidRPr="003B6C2B" w:rsidRDefault="00A43609" w:rsidP="00CD5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1001" w:type="dxa"/>
          </w:tcPr>
          <w:p w:rsidR="00A43609" w:rsidRPr="006A72DB" w:rsidRDefault="00A43609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1.5</w:t>
            </w:r>
          </w:p>
        </w:tc>
        <w:tc>
          <w:tcPr>
            <w:tcW w:w="999" w:type="dxa"/>
          </w:tcPr>
          <w:p w:rsidR="00A43609" w:rsidRPr="00A43609" w:rsidRDefault="00A43609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2.3</w:t>
            </w:r>
          </w:p>
        </w:tc>
        <w:tc>
          <w:tcPr>
            <w:tcW w:w="1001" w:type="dxa"/>
          </w:tcPr>
          <w:p w:rsidR="00A43609" w:rsidRPr="00A43609" w:rsidRDefault="00A43609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</w:t>
            </w:r>
            <w:r w:rsidR="00524947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003" w:type="dxa"/>
          </w:tcPr>
          <w:p w:rsidR="00A43609" w:rsidRPr="006A72DB" w:rsidRDefault="00A43609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3.4</w:t>
            </w:r>
          </w:p>
        </w:tc>
      </w:tr>
    </w:tbl>
    <w:p w:rsidR="00596780" w:rsidRDefault="00B90295" w:rsidP="00B9029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7E3FD31" wp14:editId="2FF4AEAD">
            <wp:extent cx="4572000" cy="2743200"/>
            <wp:effectExtent l="0" t="0" r="12700" b="1270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040B396-3784-5547-A029-EF7666ABA0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96780" w:rsidRDefault="00B90295" w:rsidP="00B9029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1. </w:t>
      </w:r>
      <w:r>
        <w:rPr>
          <w:rFonts w:ascii="Times New Roman" w:hAnsi="Times New Roman" w:cs="Times New Roman"/>
          <w:sz w:val="28"/>
          <w:szCs w:val="28"/>
        </w:rPr>
        <w:t>Графік к</w:t>
      </w:r>
      <w:r w:rsidRPr="00B90295">
        <w:rPr>
          <w:rFonts w:ascii="Times New Roman" w:hAnsi="Times New Roman" w:cs="Times New Roman"/>
          <w:sz w:val="28"/>
          <w:szCs w:val="28"/>
        </w:rPr>
        <w:t>оефіцієнт</w:t>
      </w:r>
      <w:r>
        <w:rPr>
          <w:rFonts w:ascii="Times New Roman" w:hAnsi="Times New Roman" w:cs="Times New Roman"/>
          <w:sz w:val="28"/>
          <w:szCs w:val="28"/>
        </w:rPr>
        <w:t>у частоти</w:t>
      </w:r>
      <w:r w:rsidRPr="00B90295">
        <w:rPr>
          <w:rFonts w:ascii="Times New Roman" w:hAnsi="Times New Roman" w:cs="Times New Roman"/>
          <w:sz w:val="28"/>
          <w:szCs w:val="28"/>
        </w:rPr>
        <w:t xml:space="preserve"> травматизму по роках</w:t>
      </w:r>
    </w:p>
    <w:p w:rsidR="00596780" w:rsidRDefault="00596780" w:rsidP="0059678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32C9">
        <w:rPr>
          <w:rFonts w:ascii="Times New Roman" w:hAnsi="Times New Roman" w:cs="Times New Roman"/>
          <w:sz w:val="28"/>
          <w:szCs w:val="28"/>
        </w:rPr>
        <w:t>Визначаємо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BBA">
        <w:rPr>
          <w:rFonts w:ascii="Times New Roman" w:hAnsi="Times New Roman" w:cs="Times New Roman"/>
          <w:sz w:val="28"/>
          <w:szCs w:val="28"/>
        </w:rPr>
        <w:t xml:space="preserve">коефіцієнт </w:t>
      </w:r>
      <w:r w:rsidRPr="00596780">
        <w:rPr>
          <w:rFonts w:ascii="Times New Roman" w:hAnsi="Times New Roman" w:cs="Times New Roman"/>
          <w:sz w:val="28"/>
          <w:szCs w:val="28"/>
        </w:rPr>
        <w:t xml:space="preserve">важкості </w:t>
      </w:r>
      <w:r>
        <w:rPr>
          <w:rFonts w:ascii="Times New Roman" w:hAnsi="Times New Roman" w:cs="Times New Roman"/>
          <w:sz w:val="28"/>
          <w:szCs w:val="28"/>
        </w:rPr>
        <w:t xml:space="preserve">травматизму </w:t>
      </w:r>
      <w:r w:rsidRPr="00A43609">
        <w:rPr>
          <w:rFonts w:ascii="Times New Roman" w:hAnsi="Times New Roman" w:cs="Times New Roman"/>
          <w:sz w:val="28"/>
          <w:szCs w:val="28"/>
        </w:rPr>
        <w:t>по роках</w:t>
      </w:r>
      <w:r w:rsidRPr="006B32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3609" w:rsidRPr="00A43609" w:rsidRDefault="00582E55" w:rsidP="00596780">
      <w:pPr>
        <w:pStyle w:val="a3"/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</m:oMath>
      </m:oMathPara>
      <w:bookmarkStart w:id="1" w:name="_GoBack"/>
      <w:bookmarkEnd w:id="1"/>
    </w:p>
    <w:p w:rsidR="00A43609" w:rsidRPr="00A43609" w:rsidRDefault="00A43609" w:rsidP="00A43609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D </w:t>
      </w:r>
      <w:r>
        <w:rPr>
          <w:rFonts w:ascii="Times New Roman" w:eastAsiaTheme="minorEastAsia" w:hAnsi="Times New Roman" w:cs="Times New Roman"/>
          <w:sz w:val="28"/>
        </w:rPr>
        <w:t>– кількість днів непрацездатності</w:t>
      </w:r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A43609" w:rsidRPr="00A43609" w:rsidRDefault="00A43609" w:rsidP="00A43609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Н – кількість випадків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травматизму</w:t>
      </w:r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9"/>
        <w:gridCol w:w="1001"/>
        <w:gridCol w:w="999"/>
        <w:gridCol w:w="1001"/>
        <w:gridCol w:w="999"/>
        <w:gridCol w:w="1001"/>
        <w:gridCol w:w="999"/>
        <w:gridCol w:w="1001"/>
        <w:gridCol w:w="1003"/>
      </w:tblGrid>
      <w:tr w:rsidR="00A43609" w:rsidRPr="00434D3A" w:rsidTr="00A43609">
        <w:trPr>
          <w:trHeight w:val="473"/>
          <w:jc w:val="center"/>
        </w:trPr>
        <w:tc>
          <w:tcPr>
            <w:tcW w:w="9003" w:type="dxa"/>
            <w:gridSpan w:val="9"/>
          </w:tcPr>
          <w:p w:rsidR="00A43609" w:rsidRPr="00434D3A" w:rsidRDefault="00596780" w:rsidP="00CD5932">
            <w:pPr>
              <w:jc w:val="center"/>
              <w:rPr>
                <w:b/>
                <w:sz w:val="20"/>
              </w:rPr>
            </w:pPr>
            <w:bookmarkStart w:id="2" w:name="OLE_LINK1"/>
            <w:r>
              <w:rPr>
                <w:b/>
                <w:sz w:val="20"/>
              </w:rPr>
              <w:t>К</w:t>
            </w:r>
            <w:r w:rsidRPr="00596780">
              <w:rPr>
                <w:b/>
                <w:sz w:val="20"/>
              </w:rPr>
              <w:t>оефіцієнти важкості</w:t>
            </w:r>
            <w:r w:rsidRPr="00A43609">
              <w:rPr>
                <w:b/>
                <w:sz w:val="20"/>
              </w:rPr>
              <w:t xml:space="preserve"> </w:t>
            </w:r>
            <w:r w:rsidRPr="00596780">
              <w:rPr>
                <w:b/>
                <w:sz w:val="20"/>
              </w:rPr>
              <w:t>травматизму по роках</w:t>
            </w:r>
          </w:p>
        </w:tc>
      </w:tr>
      <w:tr w:rsidR="00A43609" w:rsidRPr="00434D3A" w:rsidTr="00A43609">
        <w:trPr>
          <w:trHeight w:val="412"/>
          <w:jc w:val="center"/>
        </w:trPr>
        <w:tc>
          <w:tcPr>
            <w:tcW w:w="999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2010</w:t>
            </w:r>
          </w:p>
        </w:tc>
        <w:tc>
          <w:tcPr>
            <w:tcW w:w="1001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2011</w:t>
            </w:r>
          </w:p>
        </w:tc>
        <w:tc>
          <w:tcPr>
            <w:tcW w:w="999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2012</w:t>
            </w:r>
          </w:p>
        </w:tc>
        <w:tc>
          <w:tcPr>
            <w:tcW w:w="1001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2013</w:t>
            </w:r>
          </w:p>
        </w:tc>
        <w:tc>
          <w:tcPr>
            <w:tcW w:w="999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2014</w:t>
            </w:r>
          </w:p>
        </w:tc>
        <w:tc>
          <w:tcPr>
            <w:tcW w:w="1001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2015</w:t>
            </w:r>
          </w:p>
        </w:tc>
        <w:tc>
          <w:tcPr>
            <w:tcW w:w="999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2016</w:t>
            </w:r>
          </w:p>
        </w:tc>
        <w:tc>
          <w:tcPr>
            <w:tcW w:w="1001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Pr="00434D3A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003" w:type="dxa"/>
          </w:tcPr>
          <w:p w:rsidR="00A43609" w:rsidRPr="00434D3A" w:rsidRDefault="00A43609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2018</w:t>
            </w:r>
          </w:p>
        </w:tc>
      </w:tr>
      <w:tr w:rsidR="00A43609" w:rsidRPr="006A72DB" w:rsidTr="00A43609">
        <w:trPr>
          <w:trHeight w:val="412"/>
          <w:jc w:val="center"/>
        </w:trPr>
        <w:tc>
          <w:tcPr>
            <w:tcW w:w="999" w:type="dxa"/>
          </w:tcPr>
          <w:p w:rsidR="00A43609" w:rsidRPr="00A43609" w:rsidRDefault="00A43609" w:rsidP="00CD5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001" w:type="dxa"/>
          </w:tcPr>
          <w:p w:rsidR="00A43609" w:rsidRPr="00A43609" w:rsidRDefault="00A43609" w:rsidP="00CD5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999" w:type="dxa"/>
          </w:tcPr>
          <w:p w:rsidR="00A43609" w:rsidRPr="00A43609" w:rsidRDefault="00A43609" w:rsidP="00CD5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001" w:type="dxa"/>
          </w:tcPr>
          <w:p w:rsidR="00A43609" w:rsidRPr="00A43609" w:rsidRDefault="00A43609" w:rsidP="00CD5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99" w:type="dxa"/>
          </w:tcPr>
          <w:p w:rsidR="00A43609" w:rsidRDefault="003B6C2B" w:rsidP="00CD5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001" w:type="dxa"/>
          </w:tcPr>
          <w:p w:rsidR="00A43609" w:rsidRPr="003B6C2B" w:rsidRDefault="003B6C2B" w:rsidP="00CD5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99" w:type="dxa"/>
          </w:tcPr>
          <w:p w:rsidR="00A43609" w:rsidRPr="003B6C2B" w:rsidRDefault="003B6C2B" w:rsidP="00CD5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01" w:type="dxa"/>
          </w:tcPr>
          <w:p w:rsidR="00A43609" w:rsidRPr="003B6C2B" w:rsidRDefault="003B6C2B" w:rsidP="00CD5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003" w:type="dxa"/>
          </w:tcPr>
          <w:p w:rsidR="00A43609" w:rsidRPr="003B6C2B" w:rsidRDefault="003B6C2B" w:rsidP="00CD5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bookmarkEnd w:id="2"/>
    </w:tbl>
    <w:p w:rsidR="00B90295" w:rsidRDefault="00B90295" w:rsidP="00B9029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90295" w:rsidRDefault="00B90295" w:rsidP="00B9029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D280A63" wp14:editId="3E5BAB97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FE28374-3CC8-5949-BBF9-A75BD899D1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0295" w:rsidRPr="00B90295" w:rsidRDefault="00B90295" w:rsidP="00B9029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Графік к</w:t>
      </w:r>
      <w:r w:rsidRPr="00B90295">
        <w:rPr>
          <w:rFonts w:ascii="Times New Roman" w:hAnsi="Times New Roman" w:cs="Times New Roman"/>
          <w:sz w:val="28"/>
          <w:szCs w:val="28"/>
        </w:rPr>
        <w:t>оефіцієнт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B90295">
        <w:rPr>
          <w:rFonts w:ascii="Times New Roman" w:hAnsi="Times New Roman" w:cs="Times New Roman"/>
          <w:sz w:val="28"/>
          <w:szCs w:val="28"/>
        </w:rPr>
        <w:t>важкості травматизму по роках</w:t>
      </w:r>
    </w:p>
    <w:p w:rsidR="00596780" w:rsidRPr="006B32C9" w:rsidRDefault="00596780" w:rsidP="00D42F9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B32C9">
        <w:rPr>
          <w:rFonts w:ascii="Times New Roman" w:hAnsi="Times New Roman" w:cs="Times New Roman"/>
          <w:sz w:val="28"/>
          <w:szCs w:val="28"/>
        </w:rPr>
        <w:t>Визначаємо</w:t>
      </w:r>
      <w:r>
        <w:rPr>
          <w:rFonts w:ascii="Times New Roman" w:hAnsi="Times New Roman" w:cs="Times New Roman"/>
          <w:sz w:val="28"/>
          <w:szCs w:val="28"/>
        </w:rPr>
        <w:t xml:space="preserve"> загальний </w:t>
      </w:r>
      <w:r w:rsidRPr="000D5BBA">
        <w:rPr>
          <w:rFonts w:ascii="Times New Roman" w:hAnsi="Times New Roman" w:cs="Times New Roman"/>
          <w:sz w:val="28"/>
          <w:szCs w:val="28"/>
        </w:rPr>
        <w:t xml:space="preserve">коефіцієнт </w:t>
      </w:r>
      <w:r>
        <w:rPr>
          <w:rFonts w:ascii="Times New Roman" w:hAnsi="Times New Roman" w:cs="Times New Roman"/>
          <w:sz w:val="28"/>
          <w:szCs w:val="28"/>
        </w:rPr>
        <w:t xml:space="preserve">травматизму </w:t>
      </w:r>
      <w:r w:rsidRPr="00A43609">
        <w:rPr>
          <w:rFonts w:ascii="Times New Roman" w:hAnsi="Times New Roman" w:cs="Times New Roman"/>
          <w:sz w:val="28"/>
          <w:szCs w:val="28"/>
        </w:rPr>
        <w:t>по роках</w:t>
      </w:r>
      <w:r w:rsidRPr="006B32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6780" w:rsidRPr="00D265F9" w:rsidRDefault="00582E55" w:rsidP="00596780">
      <w:pPr>
        <w:pStyle w:val="a3"/>
        <w:ind w:left="360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</w:rPr>
            <m:t>*100</m:t>
          </m:r>
        </m:oMath>
      </m:oMathPara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9"/>
        <w:gridCol w:w="1001"/>
        <w:gridCol w:w="999"/>
        <w:gridCol w:w="1001"/>
        <w:gridCol w:w="999"/>
        <w:gridCol w:w="1001"/>
        <w:gridCol w:w="999"/>
        <w:gridCol w:w="1001"/>
        <w:gridCol w:w="1003"/>
      </w:tblGrid>
      <w:tr w:rsidR="00596780" w:rsidRPr="00434D3A" w:rsidTr="00CD5932">
        <w:trPr>
          <w:trHeight w:val="473"/>
          <w:jc w:val="center"/>
        </w:trPr>
        <w:tc>
          <w:tcPr>
            <w:tcW w:w="9003" w:type="dxa"/>
            <w:gridSpan w:val="9"/>
          </w:tcPr>
          <w:p w:rsidR="00596780" w:rsidRPr="00434D3A" w:rsidRDefault="00596780" w:rsidP="00CD593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З</w:t>
            </w:r>
            <w:r w:rsidRPr="00596780">
              <w:rPr>
                <w:b/>
                <w:sz w:val="20"/>
              </w:rPr>
              <w:t>агальний коефіцієнт травматизму по роках</w:t>
            </w:r>
          </w:p>
        </w:tc>
      </w:tr>
      <w:tr w:rsidR="00596780" w:rsidRPr="00434D3A" w:rsidTr="00CD5932">
        <w:trPr>
          <w:trHeight w:val="412"/>
          <w:jc w:val="center"/>
        </w:trPr>
        <w:tc>
          <w:tcPr>
            <w:tcW w:w="999" w:type="dxa"/>
          </w:tcPr>
          <w:p w:rsidR="00596780" w:rsidRPr="00434D3A" w:rsidRDefault="00596780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2010</w:t>
            </w:r>
          </w:p>
        </w:tc>
        <w:tc>
          <w:tcPr>
            <w:tcW w:w="1001" w:type="dxa"/>
          </w:tcPr>
          <w:p w:rsidR="00596780" w:rsidRPr="00434D3A" w:rsidRDefault="00596780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2011</w:t>
            </w:r>
          </w:p>
        </w:tc>
        <w:tc>
          <w:tcPr>
            <w:tcW w:w="999" w:type="dxa"/>
          </w:tcPr>
          <w:p w:rsidR="00596780" w:rsidRPr="00434D3A" w:rsidRDefault="00596780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2012</w:t>
            </w:r>
          </w:p>
        </w:tc>
        <w:tc>
          <w:tcPr>
            <w:tcW w:w="1001" w:type="dxa"/>
          </w:tcPr>
          <w:p w:rsidR="00596780" w:rsidRPr="00434D3A" w:rsidRDefault="00596780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2013</w:t>
            </w:r>
          </w:p>
        </w:tc>
        <w:tc>
          <w:tcPr>
            <w:tcW w:w="999" w:type="dxa"/>
          </w:tcPr>
          <w:p w:rsidR="00596780" w:rsidRPr="00434D3A" w:rsidRDefault="00596780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2014</w:t>
            </w:r>
          </w:p>
        </w:tc>
        <w:tc>
          <w:tcPr>
            <w:tcW w:w="1001" w:type="dxa"/>
          </w:tcPr>
          <w:p w:rsidR="00596780" w:rsidRPr="00434D3A" w:rsidRDefault="00596780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2015</w:t>
            </w:r>
          </w:p>
        </w:tc>
        <w:tc>
          <w:tcPr>
            <w:tcW w:w="999" w:type="dxa"/>
          </w:tcPr>
          <w:p w:rsidR="00596780" w:rsidRPr="00434D3A" w:rsidRDefault="00596780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2016</w:t>
            </w:r>
          </w:p>
        </w:tc>
        <w:tc>
          <w:tcPr>
            <w:tcW w:w="1001" w:type="dxa"/>
          </w:tcPr>
          <w:p w:rsidR="00596780" w:rsidRPr="00434D3A" w:rsidRDefault="00596780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Pr="00434D3A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003" w:type="dxa"/>
          </w:tcPr>
          <w:p w:rsidR="00596780" w:rsidRPr="00434D3A" w:rsidRDefault="00596780" w:rsidP="00CD593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2018</w:t>
            </w:r>
          </w:p>
        </w:tc>
      </w:tr>
      <w:tr w:rsidR="00596780" w:rsidRPr="006A72DB" w:rsidTr="00CD5932">
        <w:trPr>
          <w:trHeight w:val="412"/>
          <w:jc w:val="center"/>
        </w:trPr>
        <w:tc>
          <w:tcPr>
            <w:tcW w:w="999" w:type="dxa"/>
          </w:tcPr>
          <w:p w:rsidR="00596780" w:rsidRPr="00D265F9" w:rsidRDefault="00D265F9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1001" w:type="dxa"/>
          </w:tcPr>
          <w:p w:rsidR="00596780" w:rsidRPr="00D265F9" w:rsidRDefault="00D265F9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  <w:tc>
          <w:tcPr>
            <w:tcW w:w="999" w:type="dxa"/>
          </w:tcPr>
          <w:p w:rsidR="00596780" w:rsidRPr="00D265F9" w:rsidRDefault="00D265F9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1001" w:type="dxa"/>
          </w:tcPr>
          <w:p w:rsidR="00596780" w:rsidRPr="00D265F9" w:rsidRDefault="00D265F9" w:rsidP="00CD5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39</w:t>
            </w:r>
          </w:p>
        </w:tc>
        <w:tc>
          <w:tcPr>
            <w:tcW w:w="999" w:type="dxa"/>
          </w:tcPr>
          <w:p w:rsidR="00596780" w:rsidRPr="00524947" w:rsidRDefault="00524947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001" w:type="dxa"/>
          </w:tcPr>
          <w:p w:rsidR="00596780" w:rsidRPr="00524947" w:rsidRDefault="00524947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999" w:type="dxa"/>
          </w:tcPr>
          <w:p w:rsidR="00596780" w:rsidRPr="00524947" w:rsidRDefault="00524947" w:rsidP="00CD593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1001" w:type="dxa"/>
          </w:tcPr>
          <w:p w:rsidR="00596780" w:rsidRPr="00524947" w:rsidRDefault="00524947" w:rsidP="00CD5932">
            <w:pPr>
              <w:jc w:val="center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39</w:t>
            </w:r>
          </w:p>
        </w:tc>
        <w:tc>
          <w:tcPr>
            <w:tcW w:w="1003" w:type="dxa"/>
          </w:tcPr>
          <w:p w:rsidR="00596780" w:rsidRPr="006148CD" w:rsidRDefault="00524947" w:rsidP="00CD5932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31</w:t>
            </w:r>
          </w:p>
        </w:tc>
      </w:tr>
    </w:tbl>
    <w:p w:rsidR="00032741" w:rsidRDefault="00032741" w:rsidP="0003274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32741" w:rsidRDefault="00032741" w:rsidP="00032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209DF45" wp14:editId="0B359964">
            <wp:extent cx="4593167" cy="2743200"/>
            <wp:effectExtent l="0" t="0" r="17145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BFD9865-2ED9-8545-93E7-EAAEFF44C7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32741" w:rsidRDefault="00032741" w:rsidP="00032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Графік загального к</w:t>
      </w:r>
      <w:r w:rsidRPr="00B90295">
        <w:rPr>
          <w:rFonts w:ascii="Times New Roman" w:hAnsi="Times New Roman" w:cs="Times New Roman"/>
          <w:sz w:val="28"/>
          <w:szCs w:val="28"/>
        </w:rPr>
        <w:t>оефіцієнт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B90295">
        <w:rPr>
          <w:rFonts w:ascii="Times New Roman" w:hAnsi="Times New Roman" w:cs="Times New Roman"/>
          <w:sz w:val="28"/>
          <w:szCs w:val="28"/>
        </w:rPr>
        <w:t>травматизму по роках</w:t>
      </w:r>
    </w:p>
    <w:p w:rsidR="006148CD" w:rsidRPr="006B32C9" w:rsidRDefault="00B90295" w:rsidP="006148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D5BBA">
        <w:rPr>
          <w:rFonts w:ascii="Times New Roman" w:hAnsi="Times New Roman" w:cs="Times New Roman"/>
          <w:sz w:val="28"/>
          <w:szCs w:val="28"/>
        </w:rPr>
        <w:t>озрахунок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BBA">
        <w:rPr>
          <w:rFonts w:ascii="Times New Roman" w:hAnsi="Times New Roman" w:cs="Times New Roman"/>
          <w:sz w:val="28"/>
          <w:szCs w:val="28"/>
        </w:rPr>
        <w:t>бокового природного освітлення</w:t>
      </w:r>
      <w:r w:rsidR="006148CD" w:rsidRPr="006B32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48CD" w:rsidRPr="00194D26" w:rsidRDefault="00AE2DDB" w:rsidP="006148CD">
      <w:pPr>
        <w:pStyle w:val="a3"/>
        <w:ind w:left="1728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100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буд</m:t>
              </m:r>
            </m:sub>
          </m:sSub>
        </m:oMath>
      </m:oMathPara>
    </w:p>
    <w:p w:rsidR="00194D26" w:rsidRPr="00194D26" w:rsidRDefault="00582E55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O</m:t>
            </m:r>
          </m:sub>
        </m:sSub>
      </m:oMath>
      <w:r w:rsidR="00194D26" w:rsidRPr="00194D26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spacing w:val="4"/>
          <w:sz w:val="28"/>
          <w:szCs w:val="28"/>
        </w:rPr>
        <w:t xml:space="preserve">площа світлових отворів(у світлі) при бічному освітленні; </w:t>
      </w:r>
    </w:p>
    <w:p w:rsidR="00194D26" w:rsidRPr="00194D26" w:rsidRDefault="00582E55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П</m:t>
            </m:r>
          </m:sub>
        </m:sSub>
      </m:oMath>
      <w:r w:rsidR="00194D26" w:rsidRPr="00194D26">
        <w:rPr>
          <w:rFonts w:ascii="Times New Roman" w:hAnsi="Times New Roman" w:cs="Times New Roman"/>
          <w:i/>
          <w:spacing w:val="4"/>
          <w:sz w:val="28"/>
          <w:szCs w:val="28"/>
        </w:rPr>
        <w:t xml:space="preserve"> </w:t>
      </w:r>
      <w:r w:rsidR="00194D26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spacing w:val="4"/>
          <w:sz w:val="28"/>
          <w:szCs w:val="28"/>
        </w:rPr>
        <w:t xml:space="preserve">площа підлоги приміщення; </w:t>
      </w:r>
      <w:r w:rsidR="00194D2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</w:p>
    <w:p w:rsidR="00194D26" w:rsidRPr="00194D26" w:rsidRDefault="00582E55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н</m:t>
            </m:r>
          </m:sub>
        </m:sSub>
      </m:oMath>
      <w:r w:rsidR="00194D26" w:rsidRPr="00194D26">
        <w:rPr>
          <w:rFonts w:ascii="Times New Roman" w:hAnsi="Times New Roman" w:cs="Times New Roman"/>
          <w:i/>
          <w:spacing w:val="4"/>
          <w:sz w:val="28"/>
          <w:szCs w:val="28"/>
        </w:rPr>
        <w:t xml:space="preserve"> </w:t>
      </w:r>
      <w:r w:rsidR="0071623C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spacing w:val="4"/>
          <w:sz w:val="28"/>
          <w:szCs w:val="28"/>
        </w:rPr>
        <w:t>нормоване значення КПО;</w:t>
      </w:r>
    </w:p>
    <w:p w:rsidR="00194D26" w:rsidRPr="00194D26" w:rsidRDefault="00582E55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з</m:t>
            </m:r>
          </m:sub>
        </m:sSub>
      </m:oMath>
      <w:r w:rsidR="00194D26" w:rsidRPr="00194D26">
        <w:rPr>
          <w:rFonts w:ascii="Times New Roman" w:hAnsi="Times New Roman" w:cs="Times New Roman"/>
          <w:i/>
          <w:spacing w:val="4"/>
          <w:sz w:val="28"/>
          <w:szCs w:val="28"/>
        </w:rPr>
        <w:t xml:space="preserve"> </w:t>
      </w:r>
      <w:r w:rsidR="0071623C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spacing w:val="4"/>
          <w:sz w:val="28"/>
          <w:szCs w:val="28"/>
        </w:rPr>
        <w:t>коефіцієнт запасу, який приймається згідно з таблицею 3;</w:t>
      </w:r>
    </w:p>
    <w:p w:rsidR="00194D26" w:rsidRPr="00194D26" w:rsidRDefault="00582E55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о</m:t>
            </m:r>
          </m:sub>
        </m:sSub>
      </m:oMath>
      <w:r w:rsidR="007162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23C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spacing w:val="2"/>
          <w:sz w:val="28"/>
          <w:szCs w:val="28"/>
        </w:rPr>
        <w:t>світлова характеристика вікон, яка визначається за таблицею 4;</w:t>
      </w:r>
    </w:p>
    <w:p w:rsidR="00194D26" w:rsidRPr="00194D26" w:rsidRDefault="00582E55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о</m:t>
            </m:r>
          </m:sub>
        </m:sSub>
      </m:oMath>
      <w:r w:rsidR="00194D26" w:rsidRPr="00194D26">
        <w:rPr>
          <w:rFonts w:ascii="Times New Roman" w:hAnsi="Times New Roman" w:cs="Times New Roman"/>
          <w:sz w:val="28"/>
          <w:szCs w:val="28"/>
        </w:rPr>
        <w:t xml:space="preserve"> </w:t>
      </w:r>
      <w:r w:rsidR="0071623C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spacing w:val="3"/>
          <w:sz w:val="28"/>
          <w:szCs w:val="28"/>
        </w:rPr>
        <w:t>загальний коефіцієнт світлопроникності, який визначається за формулою</w:t>
      </w:r>
    </w:p>
    <w:p w:rsidR="00194D26" w:rsidRDefault="001C1D29" w:rsidP="00194D26">
      <w:pPr>
        <w:shd w:val="clear" w:color="auto" w:fill="FFFFFF"/>
        <w:tabs>
          <w:tab w:val="left" w:pos="9781"/>
        </w:tabs>
        <w:spacing w:line="240" w:lineRule="auto"/>
        <w:jc w:val="center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1C1D29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60" w:dyaOrig="360" w14:anchorId="3060B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2.75pt;height:18pt;mso-width-percent:0;mso-height-percent:0;mso-width-percent:0;mso-height-percent:0" o:ole="" fillcolor="window">
            <v:imagedata r:id="rId8" o:title=""/>
          </v:shape>
          <o:OLEObject Type="Embed" ProgID="Equation.3" ShapeID="_x0000_i1025" DrawAspect="Content" ObjectID="_1615135539" r:id="rId9"/>
        </w:object>
      </w:r>
    </w:p>
    <w:p w:rsidR="00194D26" w:rsidRPr="00194D26" w:rsidRDefault="001C1D29" w:rsidP="001B01A1">
      <w:pPr>
        <w:pStyle w:val="a3"/>
        <w:numPr>
          <w:ilvl w:val="0"/>
          <w:numId w:val="9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EEC">
        <w:rPr>
          <w:noProof/>
          <w:position w:val="-10"/>
        </w:rPr>
        <w:object w:dxaOrig="240" w:dyaOrig="340" w14:anchorId="4819F242">
          <v:shape id="_x0000_i1026" type="#_x0000_t75" alt="" style="width:12.75pt;height:17.25pt;mso-width-percent:0;mso-height-percent:0;mso-width-percent:0;mso-height-percent:0" o:ole="" fillcolor="window">
            <v:imagedata r:id="rId10" o:title=""/>
          </v:shape>
          <o:OLEObject Type="Embed" ProgID="Equation.3" ShapeID="_x0000_i1026" DrawAspect="Content" ObjectID="_1615135540" r:id="rId11"/>
        </w:object>
      </w:r>
      <w:r w:rsidR="00194D26" w:rsidRPr="00194D26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71623C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color w:val="000000"/>
          <w:spacing w:val="4"/>
          <w:sz w:val="28"/>
          <w:szCs w:val="28"/>
        </w:rPr>
        <w:t>коефіцієнт світлопроникності матеріалу, який визначається за таблицею Л.З;</w:t>
      </w:r>
    </w:p>
    <w:p w:rsidR="00194D26" w:rsidRPr="00194D26" w:rsidRDefault="001C1D29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EEC">
        <w:rPr>
          <w:noProof/>
          <w:position w:val="-10"/>
        </w:rPr>
        <w:object w:dxaOrig="260" w:dyaOrig="340" w14:anchorId="4ED3DFCE">
          <v:shape id="_x0000_i1027" type="#_x0000_t75" alt="" style="width:13.5pt;height:17.25pt;mso-width-percent:0;mso-height-percent:0;mso-width-percent:0;mso-height-percent:0" o:ole="" fillcolor="window">
            <v:imagedata r:id="rId12" o:title=""/>
          </v:shape>
          <o:OLEObject Type="Embed" ProgID="Equation.3" ShapeID="_x0000_i1027" DrawAspect="Content" ObjectID="_1615135541" r:id="rId13"/>
        </w:object>
      </w:r>
      <w:r w:rsidR="00194D26" w:rsidRPr="00194D26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94D26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="0071623C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color w:val="000000"/>
          <w:spacing w:val="3"/>
          <w:sz w:val="28"/>
          <w:szCs w:val="28"/>
        </w:rPr>
        <w:t>коефіцієнт, що враховує втрати світла в рамах світлового отвору, який визначається за  таблицею Л.З;</w:t>
      </w:r>
    </w:p>
    <w:p w:rsidR="00194D26" w:rsidRPr="00194D26" w:rsidRDefault="001C1D29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EEC">
        <w:rPr>
          <w:noProof/>
          <w:position w:val="-12"/>
        </w:rPr>
        <w:object w:dxaOrig="260" w:dyaOrig="360" w14:anchorId="2BAE46FB">
          <v:shape id="_x0000_i1028" type="#_x0000_t75" alt="" style="width:13.5pt;height:18pt;mso-width-percent:0;mso-height-percent:0;mso-width-percent:0;mso-height-percent:0" o:ole="" fillcolor="window">
            <v:imagedata r:id="rId14" o:title=""/>
          </v:shape>
          <o:OLEObject Type="Embed" ProgID="Equation.3" ShapeID="_x0000_i1028" DrawAspect="Content" ObjectID="_1615135542" r:id="rId15"/>
        </w:object>
      </w:r>
      <w:r w:rsidR="00194D26" w:rsidRPr="00194D26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="0071623C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spacing w:val="3"/>
          <w:sz w:val="28"/>
          <w:szCs w:val="28"/>
        </w:rPr>
        <w:t>коефіцієнт, що враховує втрати в несучих конструкціях, (при бічному освітленні</w:t>
      </w:r>
      <w:r w:rsidR="00194D26" w:rsidRPr="00194D26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94D26">
        <w:rPr>
          <w:rFonts w:ascii="Times New Roman" w:hAnsi="Times New Roman" w:cs="Times New Roman"/>
          <w:spacing w:val="3"/>
          <w:sz w:val="28"/>
          <w:szCs w:val="28"/>
        </w:rPr>
        <w:t>τ</w:t>
      </w:r>
      <w:r w:rsidR="00194D26" w:rsidRPr="00194D26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 xml:space="preserve">3 = </w:t>
      </w:r>
      <w:r w:rsidR="00194D26" w:rsidRPr="00194D26">
        <w:rPr>
          <w:rFonts w:ascii="Times New Roman" w:hAnsi="Times New Roman" w:cs="Times New Roman"/>
          <w:spacing w:val="3"/>
          <w:sz w:val="28"/>
          <w:szCs w:val="28"/>
        </w:rPr>
        <w:t>1)</w:t>
      </w:r>
      <w:r w:rsidR="00194D26" w:rsidRPr="00194D26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>;</w:t>
      </w:r>
    </w:p>
    <w:p w:rsidR="00194D26" w:rsidRPr="00194D26" w:rsidRDefault="001C1D29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EEC">
        <w:rPr>
          <w:noProof/>
          <w:position w:val="-10"/>
        </w:rPr>
        <w:object w:dxaOrig="260" w:dyaOrig="340" w14:anchorId="296D6A68">
          <v:shape id="_x0000_i1029" type="#_x0000_t75" alt="" style="width:13.5pt;height:17.25pt;mso-width-percent:0;mso-height-percent:0;mso-width-percent:0;mso-height-percent:0" o:ole="" fillcolor="window">
            <v:imagedata r:id="rId16" o:title=""/>
          </v:shape>
          <o:OLEObject Type="Embed" ProgID="Equation.3" ShapeID="_x0000_i1029" DrawAspect="Content" ObjectID="_1615135543" r:id="rId17"/>
        </w:object>
      </w:r>
      <w:r w:rsidR="00194D26" w:rsidRPr="00194D26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71623C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spacing w:val="2"/>
          <w:sz w:val="28"/>
          <w:szCs w:val="28"/>
        </w:rPr>
        <w:t>коефіцієнт, що враховує втрати світла в сонцезахисних пристроях і визначається за</w:t>
      </w:r>
      <w:r w:rsidR="00194D26" w:rsidRPr="00194D26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94D26">
        <w:rPr>
          <w:rFonts w:ascii="Times New Roman" w:hAnsi="Times New Roman" w:cs="Times New Roman"/>
          <w:spacing w:val="3"/>
          <w:sz w:val="28"/>
          <w:szCs w:val="28"/>
        </w:rPr>
        <w:t>таблицею Л.4;</w:t>
      </w:r>
    </w:p>
    <w:p w:rsidR="00194D26" w:rsidRPr="00194D26" w:rsidRDefault="001C1D29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EEC">
        <w:rPr>
          <w:noProof/>
          <w:position w:val="-12"/>
        </w:rPr>
        <w:object w:dxaOrig="260" w:dyaOrig="360" w14:anchorId="0CF5A24A">
          <v:shape id="_x0000_i1030" type="#_x0000_t75" alt="" style="width:13.5pt;height:18pt;mso-width-percent:0;mso-height-percent:0;mso-width-percent:0;mso-height-percent:0" o:ole="" fillcolor="window">
            <v:imagedata r:id="rId18" o:title=""/>
          </v:shape>
          <o:OLEObject Type="Embed" ProgID="Equation.3" ShapeID="_x0000_i1030" DrawAspect="Content" ObjectID="_1615135544" r:id="rId19"/>
        </w:object>
      </w:r>
      <w:r w:rsidR="007162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23C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spacing w:val="3"/>
          <w:sz w:val="28"/>
          <w:szCs w:val="28"/>
        </w:rPr>
        <w:t>коефіцієнт, що враховує втрати світла в захисній сітці, яка встановлюється під</w:t>
      </w:r>
      <w:r w:rsidR="00194D26" w:rsidRPr="00194D26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94D26">
        <w:rPr>
          <w:rFonts w:ascii="Times New Roman" w:hAnsi="Times New Roman" w:cs="Times New Roman"/>
          <w:spacing w:val="4"/>
          <w:sz w:val="28"/>
          <w:szCs w:val="28"/>
        </w:rPr>
        <w:t>ліхтарями, приймається рівним 0,9;</w:t>
      </w:r>
    </w:p>
    <w:p w:rsidR="005824A5" w:rsidRPr="005824A5" w:rsidRDefault="00582E55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</m:oMath>
      <w:r w:rsidR="0071623C">
        <w:rPr>
          <w:rFonts w:ascii="Times New Roman" w:eastAsiaTheme="minorEastAsia" w:hAnsi="Times New Roman" w:cs="Times New Roman"/>
          <w:i/>
          <w:sz w:val="28"/>
          <w:lang w:val="en-US"/>
        </w:rPr>
        <w:t xml:space="preserve"> </w:t>
      </w:r>
      <w:r w:rsidR="0071623C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94D26">
        <w:rPr>
          <w:rFonts w:ascii="Times New Roman" w:hAnsi="Times New Roman" w:cs="Times New Roman"/>
          <w:spacing w:val="3"/>
          <w:sz w:val="28"/>
          <w:szCs w:val="28"/>
        </w:rPr>
        <w:t>коефіцієнт, що враховує підвищення КПО при бічному освітленні завдяки світлу,</w:t>
      </w:r>
      <w:r w:rsidR="00194D26" w:rsidRPr="00194D26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94D26">
        <w:rPr>
          <w:rFonts w:ascii="Times New Roman" w:hAnsi="Times New Roman" w:cs="Times New Roman"/>
          <w:spacing w:val="4"/>
          <w:sz w:val="28"/>
          <w:szCs w:val="28"/>
        </w:rPr>
        <w:t>відбитому від поверхонь приміщення  приймається за таблицею;</w:t>
      </w:r>
    </w:p>
    <w:p w:rsidR="0071623C" w:rsidRDefault="00582E55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буд</m:t>
            </m:r>
          </m:sub>
        </m:sSub>
      </m:oMath>
      <w:r w:rsidR="00194D26" w:rsidRPr="005824A5">
        <w:rPr>
          <w:rFonts w:ascii="Times New Roman" w:hAnsi="Times New Roman" w:cs="Times New Roman"/>
          <w:sz w:val="28"/>
          <w:szCs w:val="28"/>
        </w:rPr>
        <w:t xml:space="preserve"> </w:t>
      </w:r>
      <w:r w:rsidR="0071623C" w:rsidRPr="00194D26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5824A5">
        <w:rPr>
          <w:rFonts w:ascii="Times New Roman" w:hAnsi="Times New Roman" w:cs="Times New Roman"/>
          <w:sz w:val="28"/>
          <w:szCs w:val="28"/>
        </w:rPr>
        <w:t xml:space="preserve">коефіцієнт, що враховує затінювання вікон супротивними будівлями, визначається за </w:t>
      </w:r>
      <w:r w:rsidR="00194D26" w:rsidRPr="005824A5">
        <w:rPr>
          <w:rFonts w:ascii="Times New Roman" w:hAnsi="Times New Roman" w:cs="Times New Roman"/>
          <w:spacing w:val="3"/>
          <w:sz w:val="28"/>
          <w:szCs w:val="28"/>
        </w:rPr>
        <w:t>таблицею Л.2</w:t>
      </w:r>
      <w:r w:rsidR="005F00E7">
        <w:rPr>
          <w:rFonts w:ascii="Times New Roman" w:hAnsi="Times New Roman" w:cs="Times New Roman"/>
          <w:spacing w:val="3"/>
          <w:sz w:val="28"/>
          <w:szCs w:val="28"/>
          <w:lang w:val="en-US"/>
        </w:rPr>
        <w:t>.</w:t>
      </w:r>
    </w:p>
    <w:p w:rsidR="0071623C" w:rsidRPr="0071623C" w:rsidRDefault="0071623C" w:rsidP="0071623C">
      <w:pPr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00E7" w:rsidRPr="0071623C" w:rsidRDefault="00582E55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=8*6=48</m:t>
          </m:r>
        </m:oMath>
      </m:oMathPara>
    </w:p>
    <w:p w:rsidR="0071623C" w:rsidRPr="0071623C" w:rsidRDefault="00582E55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=1.5</m:t>
          </m:r>
        </m:oMath>
      </m:oMathPara>
    </w:p>
    <w:p w:rsidR="0071623C" w:rsidRPr="0071623C" w:rsidRDefault="00582E55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i/>
          <w:spacing w:val="4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 1.2</m:t>
          </m:r>
        </m:oMath>
      </m:oMathPara>
    </w:p>
    <w:p w:rsidR="0071623C" w:rsidRDefault="00582E55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i/>
          <w:spacing w:val="4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о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  10.5</m:t>
        </m:r>
      </m:oMath>
      <w:r w:rsidR="0071623C">
        <w:rPr>
          <w:rFonts w:ascii="Times New Roman" w:hAnsi="Times New Roman" w:cs="Times New Roman"/>
          <w:i/>
          <w:spacing w:val="4"/>
          <w:sz w:val="28"/>
          <w:szCs w:val="28"/>
          <w:lang w:val="en-US"/>
        </w:rPr>
        <w:t xml:space="preserve"> </w:t>
      </w:r>
    </w:p>
    <w:p w:rsidR="0071623C" w:rsidRPr="0071623C" w:rsidRDefault="00582E55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=0.8 * 0.7 * 0.8 * 1 * 0.9 =0.4 </m:t>
          </m:r>
        </m:oMath>
      </m:oMathPara>
    </w:p>
    <w:p w:rsidR="0071623C" w:rsidRPr="0071623C" w:rsidRDefault="00582E55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  1.3</m:t>
          </m:r>
        </m:oMath>
      </m:oMathPara>
    </w:p>
    <w:p w:rsidR="0071623C" w:rsidRPr="00D42F97" w:rsidRDefault="00582E55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буд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=0.9</m:t>
          </m:r>
        </m:oMath>
      </m:oMathPara>
    </w:p>
    <w:p w:rsidR="00D42F97" w:rsidRDefault="00D42F97" w:rsidP="00D42F97">
      <w:pPr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Розрахунок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F97" w:rsidRPr="00D42F97" w:rsidRDefault="00D42F97" w:rsidP="00D42F97">
      <w:pPr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100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1.5* 1.2* 10.5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0.4* 1.3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* 0.9</m:t>
          </m:r>
        </m:oMath>
      </m:oMathPara>
    </w:p>
    <w:p w:rsidR="00D42F97" w:rsidRPr="00D42F97" w:rsidRDefault="00582E55" w:rsidP="00D42F97">
      <w:pPr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48*32.7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=15.7 ≈16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</m:oMath>
      </m:oMathPara>
    </w:p>
    <w:p w:rsidR="005824A5" w:rsidRDefault="0071623C" w:rsidP="001B01A1">
      <w:p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>З</w:t>
      </w:r>
      <w:r w:rsidRPr="00194D26">
        <w:rPr>
          <w:rFonts w:ascii="Times New Roman" w:hAnsi="Times New Roman" w:cs="Times New Roman"/>
          <w:spacing w:val="3"/>
          <w:sz w:val="28"/>
          <w:szCs w:val="28"/>
        </w:rPr>
        <w:t>агальний коефіцієнт світлопроникності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взято для вікон з подвійних склом, дерев’яною спареною рамою і залізобетонною фермою, зі шторами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 xml:space="preserve">. </w:t>
      </w:r>
    </w:p>
    <w:p w:rsidR="00D42F97" w:rsidRPr="00D42F97" w:rsidRDefault="00D42F97" w:rsidP="00D42F97">
      <w:pPr>
        <w:pStyle w:val="a3"/>
        <w:numPr>
          <w:ilvl w:val="0"/>
          <w:numId w:val="3"/>
        </w:numPr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D5BBA">
        <w:rPr>
          <w:rFonts w:ascii="Times New Roman" w:hAnsi="Times New Roman" w:cs="Times New Roman"/>
          <w:sz w:val="28"/>
          <w:szCs w:val="28"/>
        </w:rPr>
        <w:t>ідповіді на питання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23203D" w:rsidRDefault="00D42F97" w:rsidP="0023203D">
      <w:pPr>
        <w:pStyle w:val="a3"/>
        <w:numPr>
          <w:ilvl w:val="1"/>
          <w:numId w:val="3"/>
        </w:numPr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BBA">
        <w:rPr>
          <w:rFonts w:ascii="Times New Roman" w:hAnsi="Times New Roman" w:cs="Times New Roman"/>
          <w:noProof/>
          <w:sz w:val="28"/>
          <w:szCs w:val="28"/>
        </w:rPr>
        <w:t>Вібрація, дія на організм людини, нормування</w:t>
      </w:r>
    </w:p>
    <w:p w:rsidR="001B01A1" w:rsidRDefault="00061B94" w:rsidP="001B01A1">
      <w:pPr>
        <w:pStyle w:val="a3"/>
        <w:spacing w:before="100" w:beforeAutospacing="1" w:after="0" w:line="36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B01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Вібрація</w:t>
      </w:r>
      <w:r w:rsidRPr="00061B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механічні коливання механізмів, машин або відповідно до ДСТУ 12.1.012:2008 вібрацію класифікують наступним чином.</w:t>
      </w:r>
      <w:r w:rsidR="001B01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61B94" w:rsidRPr="001B01A1" w:rsidRDefault="00061B94" w:rsidP="001B01A1">
      <w:pPr>
        <w:pStyle w:val="a3"/>
        <w:spacing w:before="100" w:beforeAutospacing="1" w:after="0" w:line="36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1A1">
        <w:rPr>
          <w:rFonts w:ascii="Times New Roman" w:eastAsia="Times New Roman" w:hAnsi="Times New Roman" w:cs="Times New Roman"/>
          <w:color w:val="000000"/>
          <w:sz w:val="28"/>
          <w:szCs w:val="27"/>
        </w:rPr>
        <w:t>При роботі в умовах вібрацій продуктивність праці знижується, зростає кількість травм. На деяких робочих місцях у сільськогосподарському виробництві вібрації перевищують допустимі значення, а в деяких випадках вони близькі до граничних. Не завжди відповідають нормам рівні вібрацій на органах управління. Зазвичай у спектрі вібрації переважають низькочастотні вібрації негативно діють на організм. Деякі види вібрації несприятливо впливають на нервову і серцево-судинну системи, вестибулярний апарат. Найбільш шкідливий вплив на організм людини надає вібрація, частота якої збігається з частотою власних коливань окремих органів.</w:t>
      </w:r>
    </w:p>
    <w:p w:rsidR="001B01A1" w:rsidRDefault="00061B94" w:rsidP="001B01A1">
      <w:pPr>
        <w:pStyle w:val="a3"/>
        <w:spacing w:before="100" w:beforeAutospacing="1" w:after="0" w:line="360" w:lineRule="atLeast"/>
        <w:ind w:left="0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1B01A1">
        <w:rPr>
          <w:rFonts w:ascii="Times" w:eastAsia="Times New Roman" w:hAnsi="Times" w:cs="Times New Roman"/>
          <w:b/>
          <w:color w:val="000000"/>
          <w:sz w:val="28"/>
          <w:szCs w:val="27"/>
        </w:rPr>
        <w:lastRenderedPageBreak/>
        <w:t>Основні параметри вібрації</w:t>
      </w:r>
      <w:r w:rsidRPr="001B01A1">
        <w:rPr>
          <w:rFonts w:ascii="Times" w:eastAsia="Times New Roman" w:hAnsi="Times" w:cs="Times New Roman"/>
          <w:color w:val="000000"/>
          <w:sz w:val="28"/>
          <w:szCs w:val="27"/>
        </w:rPr>
        <w:t xml:space="preserve">: </w:t>
      </w:r>
    </w:p>
    <w:p w:rsidR="001B01A1" w:rsidRPr="001B01A1" w:rsidRDefault="001B01A1" w:rsidP="001B01A1">
      <w:pPr>
        <w:pStyle w:val="a3"/>
        <w:numPr>
          <w:ilvl w:val="0"/>
          <w:numId w:val="15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1B01A1">
        <w:rPr>
          <w:rFonts w:ascii="Times" w:eastAsia="Times New Roman" w:hAnsi="Times" w:cs="Times New Roman"/>
          <w:color w:val="000000"/>
          <w:sz w:val="28"/>
          <w:szCs w:val="27"/>
        </w:rPr>
        <w:t>Ч</w:t>
      </w:r>
      <w:r w:rsidR="00061B94" w:rsidRPr="001B01A1">
        <w:rPr>
          <w:rFonts w:ascii="Times" w:eastAsia="Times New Roman" w:hAnsi="Times" w:cs="Times New Roman"/>
          <w:color w:val="000000"/>
          <w:sz w:val="28"/>
          <w:szCs w:val="27"/>
        </w:rPr>
        <w:t>астота</w:t>
      </w:r>
      <w:r>
        <w:rPr>
          <w:rFonts w:ascii="Times" w:eastAsia="Times New Roman" w:hAnsi="Times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" w:eastAsia="Times New Roman" w:hAnsi="Times" w:cs="Times New Roman"/>
          <w:color w:val="000000"/>
          <w:sz w:val="28"/>
          <w:szCs w:val="27"/>
        </w:rPr>
        <w:t>коливань</w:t>
      </w:r>
      <w:r>
        <w:rPr>
          <w:rFonts w:ascii="Times" w:eastAsia="Times New Roman" w:hAnsi="Times" w:cs="Times New Roman"/>
          <w:color w:val="000000"/>
          <w:sz w:val="28"/>
          <w:szCs w:val="27"/>
          <w:lang w:val="en-US"/>
        </w:rPr>
        <w:t>;</w:t>
      </w:r>
    </w:p>
    <w:p w:rsidR="001B01A1" w:rsidRDefault="001B01A1" w:rsidP="001B01A1">
      <w:pPr>
        <w:pStyle w:val="a3"/>
        <w:numPr>
          <w:ilvl w:val="0"/>
          <w:numId w:val="15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1B01A1">
        <w:rPr>
          <w:rFonts w:ascii="Times" w:eastAsia="Times New Roman" w:hAnsi="Times" w:cs="Times New Roman"/>
          <w:color w:val="000000"/>
          <w:sz w:val="28"/>
          <w:szCs w:val="27"/>
        </w:rPr>
        <w:t>А</w:t>
      </w:r>
      <w:r w:rsidR="00061B94" w:rsidRPr="001B01A1">
        <w:rPr>
          <w:rFonts w:ascii="Times" w:eastAsia="Times New Roman" w:hAnsi="Times" w:cs="Times New Roman"/>
          <w:color w:val="000000"/>
          <w:sz w:val="28"/>
          <w:szCs w:val="27"/>
        </w:rPr>
        <w:t>мплітуда</w:t>
      </w:r>
      <w:r>
        <w:rPr>
          <w:rFonts w:ascii="Times" w:eastAsia="Times New Roman" w:hAnsi="Times" w:cs="Times New Roman"/>
          <w:color w:val="000000"/>
          <w:sz w:val="28"/>
          <w:szCs w:val="27"/>
        </w:rPr>
        <w:t xml:space="preserve"> коливань</w:t>
      </w:r>
      <w:r w:rsidR="00061B94" w:rsidRPr="001B01A1">
        <w:rPr>
          <w:rFonts w:ascii="Times" w:eastAsia="Times New Roman" w:hAnsi="Times" w:cs="Times New Roman"/>
          <w:color w:val="000000"/>
          <w:sz w:val="28"/>
          <w:szCs w:val="27"/>
        </w:rPr>
        <w:t xml:space="preserve">. </w:t>
      </w:r>
    </w:p>
    <w:p w:rsidR="00061B94" w:rsidRPr="001B01A1" w:rsidRDefault="00061B94" w:rsidP="001B01A1">
      <w:pPr>
        <w:pStyle w:val="a3"/>
        <w:spacing w:before="100" w:beforeAutospacing="1" w:after="0" w:line="360" w:lineRule="atLeast"/>
        <w:ind w:left="0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1B01A1">
        <w:rPr>
          <w:rFonts w:ascii="Times" w:eastAsia="Times New Roman" w:hAnsi="Times" w:cs="Times New Roman"/>
          <w:color w:val="000000"/>
          <w:sz w:val="28"/>
          <w:szCs w:val="27"/>
        </w:rPr>
        <w:t>Коливається з певною частотою і амплітудою точка рухається з безперервно мінливими швидкістю і прискоренням: вони максимальні у момент її проходження через вихідне положення спокою і знижуються до нуля в крайніх позиціях. Тому коливальний рух характеризується також швидкістю і прискоренням, що представляють собою похідні від амплітуди і частоти. Причому органи чуття людини сприймають не миттєве значення параметрів вібрації, а чинне.</w:t>
      </w:r>
    </w:p>
    <w:p w:rsidR="00061B94" w:rsidRPr="00061B94" w:rsidRDefault="001B01A1" w:rsidP="001B01A1">
      <w:pPr>
        <w:pStyle w:val="a3"/>
        <w:spacing w:after="0" w:line="240" w:lineRule="auto"/>
        <w:ind w:left="0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1B01A1">
        <w:rPr>
          <w:rFonts w:ascii="Times" w:eastAsia="Times New Roman" w:hAnsi="Times" w:cs="Times New Roman"/>
          <w:b/>
          <w:color w:val="000000"/>
          <w:sz w:val="28"/>
          <w:szCs w:val="27"/>
        </w:rPr>
        <w:t>Н</w:t>
      </w:r>
      <w:r w:rsidR="00061B94" w:rsidRPr="001B01A1">
        <w:rPr>
          <w:rFonts w:ascii="Times" w:eastAsia="Times New Roman" w:hAnsi="Times" w:cs="Times New Roman"/>
          <w:b/>
          <w:color w:val="000000"/>
          <w:sz w:val="28"/>
          <w:szCs w:val="27"/>
        </w:rPr>
        <w:t>ормування вібрацій</w:t>
      </w:r>
      <w:r w:rsidR="00061B94" w:rsidRPr="00061B94">
        <w:rPr>
          <w:rFonts w:ascii="Times" w:eastAsia="Times New Roman" w:hAnsi="Times" w:cs="Times New Roman"/>
          <w:color w:val="000000"/>
          <w:sz w:val="28"/>
          <w:szCs w:val="27"/>
        </w:rPr>
        <w:t xml:space="preserve"> - запобігання функціональних розладів і захворювань, надмірного втоми і зниження працездатності. В основі гігієнічного нормування лежать медичні показання. Нормуванням встановлюють допустиму добову або тижневу дози, що попереджають в умовах трудової діяльності функціональні розлади або захворювання працюючих.</w:t>
      </w:r>
    </w:p>
    <w:p w:rsidR="00061B94" w:rsidRPr="00061B94" w:rsidRDefault="00061B94" w:rsidP="001B01A1">
      <w:pPr>
        <w:pStyle w:val="a3"/>
        <w:spacing w:before="100" w:beforeAutospacing="1" w:after="0" w:line="360" w:lineRule="atLeast"/>
        <w:ind w:left="0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 xml:space="preserve">Для нормування впливу вібрації встановлені чотири критерії: </w:t>
      </w:r>
    </w:p>
    <w:p w:rsidR="00061B94" w:rsidRPr="00061B94" w:rsidRDefault="00061B94" w:rsidP="001B01A1">
      <w:pPr>
        <w:pStyle w:val="a3"/>
        <w:numPr>
          <w:ilvl w:val="0"/>
          <w:numId w:val="12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забезпечення комфорту;</w:t>
      </w:r>
    </w:p>
    <w:p w:rsidR="00061B94" w:rsidRPr="00061B94" w:rsidRDefault="00061B94" w:rsidP="001B01A1">
      <w:pPr>
        <w:pStyle w:val="a3"/>
        <w:numPr>
          <w:ilvl w:val="0"/>
          <w:numId w:val="12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збереження працездатності;</w:t>
      </w:r>
    </w:p>
    <w:p w:rsidR="00061B94" w:rsidRPr="00061B94" w:rsidRDefault="00061B94" w:rsidP="001B01A1">
      <w:pPr>
        <w:pStyle w:val="a3"/>
        <w:numPr>
          <w:ilvl w:val="0"/>
          <w:numId w:val="12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збереження здоров'я;</w:t>
      </w:r>
    </w:p>
    <w:p w:rsidR="00061B94" w:rsidRPr="00061B94" w:rsidRDefault="00061B94" w:rsidP="001B01A1">
      <w:pPr>
        <w:pStyle w:val="a3"/>
        <w:numPr>
          <w:ilvl w:val="0"/>
          <w:numId w:val="12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 xml:space="preserve">забезпечення безпеки. </w:t>
      </w:r>
    </w:p>
    <w:p w:rsidR="00061B94" w:rsidRPr="00061B94" w:rsidRDefault="00061B94" w:rsidP="001B01A1">
      <w:pPr>
        <w:pStyle w:val="a3"/>
        <w:spacing w:before="100" w:beforeAutospacing="1" w:after="0" w:line="360" w:lineRule="atLeast"/>
        <w:ind w:left="0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У останньому випадку використовуються гранично допустимі рівні для робочих місць.</w:t>
      </w:r>
    </w:p>
    <w:p w:rsidR="00061B94" w:rsidRPr="00061B94" w:rsidRDefault="00061B94" w:rsidP="001B01A1">
      <w:pPr>
        <w:pStyle w:val="a3"/>
        <w:spacing w:before="100" w:beforeAutospacing="1" w:after="0" w:line="360" w:lineRule="atLeast"/>
        <w:ind w:left="0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 xml:space="preserve">Вібрацію класифікують за такими ознаками: </w:t>
      </w:r>
    </w:p>
    <w:p w:rsidR="00061B94" w:rsidRPr="00061B94" w:rsidRDefault="00061B94" w:rsidP="001B01A1">
      <w:pPr>
        <w:pStyle w:val="a3"/>
        <w:numPr>
          <w:ilvl w:val="0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За способом впливу на людину:</w:t>
      </w:r>
    </w:p>
    <w:p w:rsidR="00061B94" w:rsidRPr="00061B94" w:rsidRDefault="00061B94" w:rsidP="001B01A1">
      <w:pPr>
        <w:pStyle w:val="a3"/>
        <w:numPr>
          <w:ilvl w:val="1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загальна;</w:t>
      </w:r>
    </w:p>
    <w:p w:rsidR="00061B94" w:rsidRPr="00061B94" w:rsidRDefault="00061B94" w:rsidP="001B01A1">
      <w:pPr>
        <w:pStyle w:val="a3"/>
        <w:numPr>
          <w:ilvl w:val="1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локальна;</w:t>
      </w:r>
    </w:p>
    <w:p w:rsidR="00061B94" w:rsidRPr="00061B94" w:rsidRDefault="00061B94" w:rsidP="001B01A1">
      <w:pPr>
        <w:pStyle w:val="a3"/>
        <w:numPr>
          <w:ilvl w:val="0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За джерелом виникнення:</w:t>
      </w:r>
    </w:p>
    <w:p w:rsidR="00061B94" w:rsidRPr="00061B94" w:rsidRDefault="00061B94" w:rsidP="001B01A1">
      <w:pPr>
        <w:pStyle w:val="a3"/>
        <w:numPr>
          <w:ilvl w:val="1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транспортна (при русі машин);</w:t>
      </w:r>
    </w:p>
    <w:p w:rsidR="00061B94" w:rsidRPr="00061B94" w:rsidRDefault="00061B94" w:rsidP="001B01A1">
      <w:pPr>
        <w:pStyle w:val="a3"/>
        <w:numPr>
          <w:ilvl w:val="1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транспортно-технологічна (при поєднанні руху з технологічним процесом, наприклад при косовиці або обмолоті самохідним комбайном, риття траншей екскаватором і т. п.);</w:t>
      </w:r>
    </w:p>
    <w:p w:rsidR="00061B94" w:rsidRPr="00061B94" w:rsidRDefault="00061B94" w:rsidP="001B01A1">
      <w:pPr>
        <w:pStyle w:val="a3"/>
        <w:numPr>
          <w:ilvl w:val="1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технологічна (при роботі стаціонарних машин, наприклад насосних агрегатів);</w:t>
      </w:r>
    </w:p>
    <w:p w:rsidR="00061B94" w:rsidRPr="00061B94" w:rsidRDefault="00061B94" w:rsidP="001B01A1">
      <w:pPr>
        <w:pStyle w:val="a3"/>
        <w:numPr>
          <w:ilvl w:val="0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За частотою коливань:</w:t>
      </w:r>
    </w:p>
    <w:p w:rsidR="00061B94" w:rsidRPr="00061B94" w:rsidRDefault="00061B94" w:rsidP="001B01A1">
      <w:pPr>
        <w:pStyle w:val="a3"/>
        <w:numPr>
          <w:ilvl w:val="1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низькочастотна (менше 22</w:t>
      </w:r>
      <w:r>
        <w:rPr>
          <w:rFonts w:ascii="Times" w:eastAsia="Times New Roman" w:hAnsi="Times" w:cs="Times New Roman"/>
          <w:color w:val="000000"/>
          <w:sz w:val="28"/>
          <w:szCs w:val="27"/>
          <w:lang w:val="en-US"/>
        </w:rPr>
        <w:t>.</w:t>
      </w: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6</w:t>
      </w:r>
      <w:r>
        <w:rPr>
          <w:rFonts w:ascii="Times" w:eastAsia="Times New Roman" w:hAnsi="Times" w:cs="Times New Roman"/>
          <w:color w:val="000000"/>
          <w:sz w:val="28"/>
          <w:szCs w:val="27"/>
          <w:lang w:val="en-US"/>
        </w:rPr>
        <w:t xml:space="preserve"> </w:t>
      </w:r>
      <w:proofErr w:type="spellStart"/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Гц</w:t>
      </w:r>
      <w:proofErr w:type="spellEnd"/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);</w:t>
      </w:r>
    </w:p>
    <w:p w:rsidR="00061B94" w:rsidRPr="00061B94" w:rsidRDefault="00061B94" w:rsidP="001B01A1">
      <w:pPr>
        <w:pStyle w:val="a3"/>
        <w:numPr>
          <w:ilvl w:val="1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середньочастотна (22</w:t>
      </w:r>
      <w:r>
        <w:rPr>
          <w:rFonts w:ascii="Times" w:eastAsia="Times New Roman" w:hAnsi="Times" w:cs="Times New Roman"/>
          <w:color w:val="000000"/>
          <w:sz w:val="28"/>
          <w:szCs w:val="27"/>
          <w:lang w:val="en-US"/>
        </w:rPr>
        <w:t>.</w:t>
      </w: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 xml:space="preserve">6 </w:t>
      </w:r>
      <w:r>
        <w:rPr>
          <w:rFonts w:ascii="Times" w:eastAsia="Times New Roman" w:hAnsi="Times" w:cs="Times New Roman"/>
          <w:color w:val="000000"/>
          <w:sz w:val="28"/>
          <w:szCs w:val="27"/>
          <w:lang w:val="en-US"/>
        </w:rPr>
        <w:t>-</w:t>
      </w: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 xml:space="preserve"> 90 </w:t>
      </w:r>
      <w:proofErr w:type="spellStart"/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Гц</w:t>
      </w:r>
      <w:proofErr w:type="spellEnd"/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);</w:t>
      </w:r>
    </w:p>
    <w:p w:rsidR="00061B94" w:rsidRDefault="00061B94" w:rsidP="001B01A1">
      <w:pPr>
        <w:pStyle w:val="a3"/>
        <w:numPr>
          <w:ilvl w:val="1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 xml:space="preserve">високочастотна (більше 90 </w:t>
      </w:r>
      <w:proofErr w:type="spellStart"/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Гц</w:t>
      </w:r>
      <w:proofErr w:type="spellEnd"/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 xml:space="preserve">); </w:t>
      </w:r>
    </w:p>
    <w:p w:rsidR="00061B94" w:rsidRPr="00061B94" w:rsidRDefault="00061B94" w:rsidP="001B01A1">
      <w:pPr>
        <w:pStyle w:val="a3"/>
        <w:numPr>
          <w:ilvl w:val="0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>
        <w:rPr>
          <w:rFonts w:ascii="Times" w:eastAsia="Times New Roman" w:hAnsi="Times" w:cs="Times New Roman"/>
          <w:color w:val="000000"/>
          <w:sz w:val="28"/>
          <w:szCs w:val="27"/>
        </w:rPr>
        <w:t xml:space="preserve">За </w:t>
      </w: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характером спектра</w:t>
      </w:r>
      <w:r>
        <w:rPr>
          <w:rFonts w:ascii="Times" w:eastAsia="Times New Roman" w:hAnsi="Times" w:cs="Times New Roman"/>
          <w:color w:val="000000"/>
          <w:sz w:val="28"/>
          <w:szCs w:val="27"/>
          <w:lang w:val="en-US"/>
        </w:rPr>
        <w:t>:</w:t>
      </w:r>
    </w:p>
    <w:p w:rsidR="00061B94" w:rsidRPr="00061B94" w:rsidRDefault="00061B94" w:rsidP="001B01A1">
      <w:pPr>
        <w:pStyle w:val="a3"/>
        <w:numPr>
          <w:ilvl w:val="1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>
        <w:rPr>
          <w:rFonts w:ascii="Times" w:eastAsia="Times New Roman" w:hAnsi="Times" w:cs="Times New Roman"/>
          <w:color w:val="000000"/>
          <w:sz w:val="28"/>
          <w:szCs w:val="27"/>
        </w:rPr>
        <w:lastRenderedPageBreak/>
        <w:t>в</w:t>
      </w: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узькосмугова</w:t>
      </w:r>
      <w:r>
        <w:rPr>
          <w:rFonts w:ascii="Times" w:eastAsia="Times New Roman" w:hAnsi="Times" w:cs="Times New Roman"/>
          <w:color w:val="000000"/>
          <w:sz w:val="28"/>
          <w:szCs w:val="27"/>
          <w:lang w:val="en-US"/>
        </w:rPr>
        <w:t xml:space="preserve">; </w:t>
      </w:r>
    </w:p>
    <w:p w:rsidR="00061B94" w:rsidRPr="00061B94" w:rsidRDefault="00061B94" w:rsidP="001B01A1">
      <w:pPr>
        <w:pStyle w:val="a3"/>
        <w:numPr>
          <w:ilvl w:val="1"/>
          <w:numId w:val="13"/>
        </w:numPr>
        <w:spacing w:before="100" w:beforeAutospacing="1" w:after="0" w:line="360" w:lineRule="atLeast"/>
        <w:jc w:val="both"/>
        <w:rPr>
          <w:rFonts w:ascii="Times" w:eastAsia="Times New Roman" w:hAnsi="Times" w:cs="Times New Roman"/>
          <w:color w:val="000000"/>
          <w:sz w:val="28"/>
          <w:szCs w:val="27"/>
        </w:rPr>
      </w:pPr>
      <w:r w:rsidRPr="00061B94">
        <w:rPr>
          <w:rFonts w:ascii="Times" w:eastAsia="Times New Roman" w:hAnsi="Times" w:cs="Times New Roman"/>
          <w:color w:val="000000"/>
          <w:sz w:val="28"/>
          <w:szCs w:val="27"/>
        </w:rPr>
        <w:t>широкосмугова; часу дії - постійна і непостійна; останню, в свою чергу, ділять на коливну в часі, переривчасту та імпульсну.</w:t>
      </w:r>
    </w:p>
    <w:p w:rsidR="005824A5" w:rsidRPr="00CE1303" w:rsidRDefault="00D42F97" w:rsidP="00CE1303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5BBA">
        <w:rPr>
          <w:rFonts w:ascii="Times New Roman" w:hAnsi="Times New Roman" w:cs="Times New Roman"/>
          <w:noProof/>
          <w:sz w:val="28"/>
          <w:szCs w:val="28"/>
        </w:rPr>
        <w:t>Самозаймання, його види.</w:t>
      </w:r>
    </w:p>
    <w:p w:rsidR="00CE1303" w:rsidRPr="00CE1303" w:rsidRDefault="00CE1303" w:rsidP="00061B94">
      <w:pPr>
        <w:shd w:val="clear" w:color="auto" w:fill="FFFFFF"/>
        <w:tabs>
          <w:tab w:val="left" w:pos="978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E1303">
        <w:rPr>
          <w:rFonts w:ascii="Times New Roman" w:hAnsi="Times New Roman" w:cs="Times New Roman"/>
          <w:sz w:val="28"/>
          <w:szCs w:val="28"/>
        </w:rPr>
        <w:t>Самозаймання — загоряння займистого матеріалу внаслідок окиснення його киснем повітря або за рахунок інших механізмів незалежно від припливу тепла ззовні. З гірських порід та корисних копалин самозаймаються буре й кам'яне вугілля, торф, сульфідні руди, вуглисті аргіліти, бітумінозні породи і т. ін. (найчастіше у вугільних шахтах).</w:t>
      </w:r>
    </w:p>
    <w:p w:rsidR="00061B94" w:rsidRPr="00061B94" w:rsidRDefault="00061B94" w:rsidP="00061B94">
      <w:pPr>
        <w:shd w:val="clear" w:color="auto" w:fill="FFFFFF"/>
        <w:tabs>
          <w:tab w:val="left" w:pos="978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61B94">
        <w:rPr>
          <w:rFonts w:ascii="Times New Roman" w:hAnsi="Times New Roman" w:cs="Times New Roman"/>
          <w:sz w:val="28"/>
          <w:szCs w:val="28"/>
        </w:rPr>
        <w:t>В залежності від причин самозаймання буває хімічним, тепловим, мікробіологічним.</w:t>
      </w:r>
    </w:p>
    <w:p w:rsidR="00061B94" w:rsidRDefault="00061B94" w:rsidP="00061B94">
      <w:pPr>
        <w:pStyle w:val="a3"/>
        <w:numPr>
          <w:ilvl w:val="0"/>
          <w:numId w:val="10"/>
        </w:numPr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1B94">
        <w:rPr>
          <w:rFonts w:ascii="Times New Roman" w:hAnsi="Times New Roman" w:cs="Times New Roman"/>
          <w:sz w:val="28"/>
          <w:szCs w:val="28"/>
        </w:rPr>
        <w:t>Хімічне самозаймання виникає в результаті дії на речовину кисню повітря, води або взаємодії речовин. Наприклад, самозаймання забрудненого оливою ганчір'я, через окиснення олив повітрям з виділенням тепла, або під дією води на лужні метали займається водень.</w:t>
      </w:r>
    </w:p>
    <w:p w:rsidR="00061B94" w:rsidRDefault="00061B94" w:rsidP="00061B94">
      <w:pPr>
        <w:pStyle w:val="a3"/>
        <w:numPr>
          <w:ilvl w:val="0"/>
          <w:numId w:val="10"/>
        </w:numPr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1B94">
        <w:rPr>
          <w:rFonts w:ascii="Times New Roman" w:hAnsi="Times New Roman" w:cs="Times New Roman"/>
          <w:sz w:val="28"/>
          <w:szCs w:val="28"/>
        </w:rPr>
        <w:t xml:space="preserve">Теплове </w:t>
      </w:r>
      <w:r w:rsidR="001B01A1" w:rsidRPr="00061B94">
        <w:rPr>
          <w:rFonts w:ascii="Times New Roman" w:hAnsi="Times New Roman" w:cs="Times New Roman"/>
          <w:sz w:val="28"/>
          <w:szCs w:val="28"/>
        </w:rPr>
        <w:t xml:space="preserve">самозаймання </w:t>
      </w:r>
      <w:r w:rsidRPr="00061B94">
        <w:rPr>
          <w:rFonts w:ascii="Times New Roman" w:hAnsi="Times New Roman" w:cs="Times New Roman"/>
          <w:sz w:val="28"/>
          <w:szCs w:val="28"/>
        </w:rPr>
        <w:t xml:space="preserve">виникає внаслідок самонагрівання, яке </w:t>
      </w:r>
      <w:proofErr w:type="spellStart"/>
      <w:r w:rsidRPr="00061B94"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 w:rsidRPr="00061B94">
        <w:rPr>
          <w:rFonts w:ascii="Times New Roman" w:hAnsi="Times New Roman" w:cs="Times New Roman"/>
          <w:sz w:val="28"/>
          <w:szCs w:val="28"/>
        </w:rPr>
        <w:t xml:space="preserve"> під дією зовнішнього нагріву речовини вище температури самонагрівання.</w:t>
      </w:r>
    </w:p>
    <w:p w:rsidR="00CE1303" w:rsidRPr="00061B94" w:rsidRDefault="00061B94" w:rsidP="00061B94">
      <w:pPr>
        <w:pStyle w:val="a3"/>
        <w:numPr>
          <w:ilvl w:val="0"/>
          <w:numId w:val="10"/>
        </w:numPr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1B94">
        <w:rPr>
          <w:rFonts w:ascii="Times New Roman" w:hAnsi="Times New Roman" w:cs="Times New Roman"/>
          <w:sz w:val="28"/>
          <w:szCs w:val="28"/>
        </w:rPr>
        <w:t xml:space="preserve">Мікробіологічне самозаймання виникає в органічних речовинах. При певній вологості і температурі в органічних речовинах, торфі, </w:t>
      </w:r>
      <w:proofErr w:type="spellStart"/>
      <w:r w:rsidRPr="00061B94">
        <w:rPr>
          <w:rFonts w:ascii="Times New Roman" w:hAnsi="Times New Roman" w:cs="Times New Roman"/>
          <w:sz w:val="28"/>
          <w:szCs w:val="28"/>
        </w:rPr>
        <w:t>ініціюється</w:t>
      </w:r>
      <w:proofErr w:type="spellEnd"/>
      <w:r w:rsidRPr="00061B94">
        <w:rPr>
          <w:rFonts w:ascii="Times New Roman" w:hAnsi="Times New Roman" w:cs="Times New Roman"/>
          <w:sz w:val="28"/>
          <w:szCs w:val="28"/>
        </w:rPr>
        <w:t xml:space="preserve"> життєдіяльність мікроорганізмів і утворюється павутинний </w:t>
      </w:r>
      <w:proofErr w:type="spellStart"/>
      <w:r w:rsidRPr="00061B94">
        <w:rPr>
          <w:rFonts w:ascii="Times New Roman" w:hAnsi="Times New Roman" w:cs="Times New Roman"/>
          <w:sz w:val="28"/>
          <w:szCs w:val="28"/>
        </w:rPr>
        <w:t>гліт</w:t>
      </w:r>
      <w:proofErr w:type="spellEnd"/>
      <w:r w:rsidRPr="00061B94">
        <w:rPr>
          <w:rFonts w:ascii="Times New Roman" w:hAnsi="Times New Roman" w:cs="Times New Roman"/>
          <w:sz w:val="28"/>
          <w:szCs w:val="28"/>
        </w:rPr>
        <w:t xml:space="preserve"> (грибок). При цьому підвищується температура і міняються форми мікроорганізмів, а при температурі 75 °C гинуть. Але при 60—70 °C проходить окиснення і </w:t>
      </w:r>
      <w:proofErr w:type="spellStart"/>
      <w:r w:rsidRPr="00061B94">
        <w:rPr>
          <w:rFonts w:ascii="Times New Roman" w:hAnsi="Times New Roman" w:cs="Times New Roman"/>
          <w:sz w:val="28"/>
          <w:szCs w:val="28"/>
        </w:rPr>
        <w:t>обвуглення</w:t>
      </w:r>
      <w:proofErr w:type="spellEnd"/>
      <w:r w:rsidRPr="00061B94">
        <w:rPr>
          <w:rFonts w:ascii="Times New Roman" w:hAnsi="Times New Roman" w:cs="Times New Roman"/>
          <w:sz w:val="28"/>
          <w:szCs w:val="28"/>
        </w:rPr>
        <w:t xml:space="preserve"> деяких легкозаймистих органічних </w:t>
      </w:r>
      <w:proofErr w:type="spellStart"/>
      <w:r w:rsidRPr="00061B94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061B94">
        <w:rPr>
          <w:rFonts w:ascii="Times New Roman" w:hAnsi="Times New Roman" w:cs="Times New Roman"/>
          <w:sz w:val="28"/>
          <w:szCs w:val="28"/>
        </w:rPr>
        <w:t xml:space="preserve"> з утворенням дрібнопористого вугілля. Адсорбуючи кисень повітря це вугілля нагрівається до температури розпаду і активного окиснення органічних речовин, що і призводить до займання.</w:t>
      </w:r>
    </w:p>
    <w:p w:rsidR="00D42F97" w:rsidRPr="00D42F97" w:rsidRDefault="00D42F97" w:rsidP="00D42F97">
      <w:pPr>
        <w:pStyle w:val="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</w:t>
      </w:r>
    </w:p>
    <w:p w:rsidR="001B01A1" w:rsidRPr="00B62C38" w:rsidRDefault="00B62C38" w:rsidP="001B01A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01A1">
        <w:rPr>
          <w:rFonts w:ascii="Times New Roman" w:hAnsi="Times New Roman" w:cs="Times New Roman"/>
          <w:sz w:val="28"/>
          <w:szCs w:val="28"/>
        </w:rPr>
        <w:t xml:space="preserve">У даній розрахунковій роботі було проведено </w:t>
      </w:r>
      <w:r w:rsidR="001B01A1" w:rsidRPr="000D5BBA">
        <w:rPr>
          <w:rFonts w:ascii="Times New Roman" w:hAnsi="Times New Roman" w:cs="Times New Roman"/>
          <w:sz w:val="28"/>
          <w:szCs w:val="28"/>
        </w:rPr>
        <w:t>аналіз виробничого травматизму на підприємстві</w:t>
      </w:r>
      <w:r w:rsidR="001B01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B01A1" w:rsidRPr="000D5BBA">
        <w:rPr>
          <w:rFonts w:ascii="Times New Roman" w:hAnsi="Times New Roman" w:cs="Times New Roman"/>
          <w:sz w:val="28"/>
          <w:szCs w:val="28"/>
        </w:rPr>
        <w:t>розрахова</w:t>
      </w:r>
      <w:r w:rsidR="001B01A1">
        <w:rPr>
          <w:rFonts w:ascii="Times New Roman" w:hAnsi="Times New Roman" w:cs="Times New Roman"/>
          <w:sz w:val="28"/>
          <w:szCs w:val="28"/>
        </w:rPr>
        <w:t>но</w:t>
      </w:r>
      <w:r w:rsidR="001B01A1" w:rsidRPr="000D5BBA">
        <w:rPr>
          <w:rFonts w:ascii="Times New Roman" w:hAnsi="Times New Roman" w:cs="Times New Roman"/>
          <w:sz w:val="28"/>
          <w:szCs w:val="28"/>
        </w:rPr>
        <w:t xml:space="preserve"> коефіцієнти частоти, важкості та загального травматизму</w:t>
      </w:r>
      <w:r w:rsidR="001B01A1">
        <w:rPr>
          <w:rFonts w:ascii="Times New Roman" w:hAnsi="Times New Roman" w:cs="Times New Roman"/>
          <w:sz w:val="28"/>
          <w:szCs w:val="28"/>
        </w:rPr>
        <w:t xml:space="preserve"> та п</w:t>
      </w:r>
      <w:r w:rsidR="001B01A1" w:rsidRPr="000D5BBA">
        <w:rPr>
          <w:rFonts w:ascii="Times New Roman" w:hAnsi="Times New Roman" w:cs="Times New Roman"/>
          <w:sz w:val="28"/>
          <w:szCs w:val="28"/>
        </w:rPr>
        <w:t>обудова</w:t>
      </w:r>
      <w:r w:rsidR="001B01A1">
        <w:rPr>
          <w:rFonts w:ascii="Times New Roman" w:hAnsi="Times New Roman" w:cs="Times New Roman"/>
          <w:sz w:val="28"/>
          <w:szCs w:val="28"/>
        </w:rPr>
        <w:t>но</w:t>
      </w:r>
      <w:r w:rsidR="001B01A1" w:rsidRPr="000D5BBA">
        <w:rPr>
          <w:rFonts w:ascii="Times New Roman" w:hAnsi="Times New Roman" w:cs="Times New Roman"/>
          <w:sz w:val="28"/>
          <w:szCs w:val="28"/>
        </w:rPr>
        <w:t xml:space="preserve"> графіки показників.</w:t>
      </w:r>
      <w:r w:rsidR="001B01A1">
        <w:rPr>
          <w:rFonts w:ascii="Times New Roman" w:hAnsi="Times New Roman" w:cs="Times New Roman"/>
          <w:sz w:val="28"/>
          <w:szCs w:val="28"/>
        </w:rPr>
        <w:t xml:space="preserve"> </w:t>
      </w:r>
      <w:r w:rsidR="007D3363" w:rsidRPr="000D5BBA">
        <w:rPr>
          <w:rFonts w:ascii="Times New Roman" w:hAnsi="Times New Roman" w:cs="Times New Roman"/>
          <w:sz w:val="28"/>
          <w:szCs w:val="28"/>
        </w:rPr>
        <w:t>Розрах</w:t>
      </w:r>
      <w:r w:rsidR="007D3363">
        <w:rPr>
          <w:rFonts w:ascii="Times New Roman" w:hAnsi="Times New Roman" w:cs="Times New Roman"/>
          <w:sz w:val="28"/>
          <w:szCs w:val="28"/>
        </w:rPr>
        <w:t xml:space="preserve">овано </w:t>
      </w:r>
      <w:r w:rsidRPr="0085662E">
        <w:rPr>
          <w:rFonts w:ascii="Times New Roman" w:hAnsi="Times New Roman" w:cs="Times New Roman"/>
          <w:sz w:val="28"/>
          <w:szCs w:val="28"/>
        </w:rPr>
        <w:t>площу світлових прорізів</w:t>
      </w:r>
      <w:r w:rsidRPr="000D5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 основі </w:t>
      </w:r>
      <w:r w:rsidR="007D3363" w:rsidRPr="000D5BBA">
        <w:rPr>
          <w:rFonts w:ascii="Times New Roman" w:hAnsi="Times New Roman" w:cs="Times New Roman"/>
          <w:sz w:val="28"/>
          <w:szCs w:val="28"/>
        </w:rPr>
        <w:t>боков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7D3363" w:rsidRPr="000D5BBA">
        <w:rPr>
          <w:rFonts w:ascii="Times New Roman" w:hAnsi="Times New Roman" w:cs="Times New Roman"/>
          <w:sz w:val="28"/>
          <w:szCs w:val="28"/>
        </w:rPr>
        <w:t xml:space="preserve"> природного освітлення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Описано, два теоретичні запитання про вібрацію, дію вібрації на організм людини та критерії нормування вібрацій, а також про самозаймання і види самозаймань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B01A1" w:rsidRPr="00B62C38" w:rsidSect="005469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26FDF"/>
    <w:multiLevelType w:val="hybridMultilevel"/>
    <w:tmpl w:val="368637F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1E47D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02D11"/>
    <w:multiLevelType w:val="hybridMultilevel"/>
    <w:tmpl w:val="2152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42D25"/>
    <w:multiLevelType w:val="hybridMultilevel"/>
    <w:tmpl w:val="479A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71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990180"/>
    <w:multiLevelType w:val="hybridMultilevel"/>
    <w:tmpl w:val="32B0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76BB6"/>
    <w:multiLevelType w:val="hybridMultilevel"/>
    <w:tmpl w:val="03F63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750B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0C1CA1"/>
    <w:multiLevelType w:val="hybridMultilevel"/>
    <w:tmpl w:val="28A2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E0B8C"/>
    <w:multiLevelType w:val="hybridMultilevel"/>
    <w:tmpl w:val="3E3E2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1E5065"/>
    <w:multiLevelType w:val="hybridMultilevel"/>
    <w:tmpl w:val="DA2ED9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362AD1"/>
    <w:multiLevelType w:val="hybridMultilevel"/>
    <w:tmpl w:val="9B3E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85750"/>
    <w:multiLevelType w:val="hybridMultilevel"/>
    <w:tmpl w:val="ED86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1480D"/>
    <w:multiLevelType w:val="hybridMultilevel"/>
    <w:tmpl w:val="C348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D560A"/>
    <w:multiLevelType w:val="hybridMultilevel"/>
    <w:tmpl w:val="0658A88E"/>
    <w:lvl w:ilvl="0" w:tplc="A438836A">
      <w:start w:val="1"/>
      <w:numFmt w:val="bullet"/>
      <w:pStyle w:val="Style1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0"/>
  </w:num>
  <w:num w:numId="12">
    <w:abstractNumId w:val="8"/>
  </w:num>
  <w:num w:numId="13">
    <w:abstractNumId w:val="12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BA"/>
    <w:rsid w:val="00032741"/>
    <w:rsid w:val="00061B94"/>
    <w:rsid w:val="000D5BBA"/>
    <w:rsid w:val="00194D26"/>
    <w:rsid w:val="001B01A1"/>
    <w:rsid w:val="001C1D29"/>
    <w:rsid w:val="0023203D"/>
    <w:rsid w:val="002D7E8D"/>
    <w:rsid w:val="003B6C2B"/>
    <w:rsid w:val="003D69C8"/>
    <w:rsid w:val="00450D8A"/>
    <w:rsid w:val="00524947"/>
    <w:rsid w:val="0054696F"/>
    <w:rsid w:val="005824A5"/>
    <w:rsid w:val="00582E55"/>
    <w:rsid w:val="00596780"/>
    <w:rsid w:val="005F00E7"/>
    <w:rsid w:val="006148CD"/>
    <w:rsid w:val="006A568A"/>
    <w:rsid w:val="006B32C9"/>
    <w:rsid w:val="0071623C"/>
    <w:rsid w:val="007D3363"/>
    <w:rsid w:val="0085662E"/>
    <w:rsid w:val="00A43609"/>
    <w:rsid w:val="00AB23DA"/>
    <w:rsid w:val="00AE2DDB"/>
    <w:rsid w:val="00B22E04"/>
    <w:rsid w:val="00B62C38"/>
    <w:rsid w:val="00B90295"/>
    <w:rsid w:val="00C7236C"/>
    <w:rsid w:val="00CE1303"/>
    <w:rsid w:val="00D265F9"/>
    <w:rsid w:val="00D42F97"/>
    <w:rsid w:val="00FC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0B96F-8AA1-034E-85DE-0599BC45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BBA"/>
    <w:pPr>
      <w:spacing w:after="160" w:line="254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D5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B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Style1">
    <w:name w:val="Style1"/>
    <w:basedOn w:val="a"/>
    <w:rsid w:val="000D5BBA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3OsnText">
    <w:name w:val="3_OsnText"/>
    <w:basedOn w:val="a"/>
    <w:rsid w:val="000D5BBA"/>
    <w:pPr>
      <w:spacing w:after="0" w:line="312" w:lineRule="auto"/>
      <w:ind w:firstLine="288"/>
      <w:jc w:val="both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paragraph" w:styleId="a3">
    <w:name w:val="List Paragraph"/>
    <w:basedOn w:val="a"/>
    <w:uiPriority w:val="34"/>
    <w:qFormat/>
    <w:rsid w:val="000D5B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3609"/>
    <w:rPr>
      <w:color w:val="808080"/>
    </w:rPr>
  </w:style>
  <w:style w:type="paragraph" w:customStyle="1" w:styleId="western">
    <w:name w:val="western"/>
    <w:basedOn w:val="a"/>
    <w:rsid w:val="0006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061B94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061B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ідзаголовок Знак"/>
    <w:basedOn w:val="a0"/>
    <w:link w:val="a6"/>
    <w:uiPriority w:val="11"/>
    <w:rsid w:val="00061B94"/>
    <w:rPr>
      <w:rFonts w:eastAsiaTheme="minorEastAsia"/>
      <w:color w:val="5A5A5A" w:themeColor="text1" w:themeTint="A5"/>
      <w:spacing w:val="15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oleObject" Target="embeddings/oleObject2.bin"/><Relationship Id="rId5" Type="http://schemas.openxmlformats.org/officeDocument/2006/relationships/chart" Target="charts/chart1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Коефіцієнт частоти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Коефіцієнт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Sheet1!$G$1:$G$9</c:f>
              <c:numCache>
                <c:formatCode>General</c:formatCode>
                <c:ptCount val="9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</c:numCache>
            </c:numRef>
          </c:cat>
          <c:val>
            <c:numRef>
              <c:f>Sheet1!$H$1:$H$9</c:f>
              <c:numCache>
                <c:formatCode>General</c:formatCode>
                <c:ptCount val="9"/>
                <c:pt idx="0">
                  <c:v>1.6</c:v>
                </c:pt>
                <c:pt idx="1">
                  <c:v>2.4</c:v>
                </c:pt>
                <c:pt idx="2">
                  <c:v>2.35</c:v>
                </c:pt>
                <c:pt idx="3">
                  <c:v>2.2000000000000002</c:v>
                </c:pt>
                <c:pt idx="4">
                  <c:v>1.1000000000000001</c:v>
                </c:pt>
                <c:pt idx="5">
                  <c:v>1.5</c:v>
                </c:pt>
                <c:pt idx="6">
                  <c:v>2.2999999999999998</c:v>
                </c:pt>
                <c:pt idx="7">
                  <c:v>2.2999999999999998</c:v>
                </c:pt>
                <c:pt idx="8">
                  <c:v>3.4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CB4-4B47-8E85-31A25C1CE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96976"/>
        <c:axId val="11495888"/>
      </c:lineChart>
      <c:catAx>
        <c:axId val="1149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95888"/>
        <c:crosses val="autoZero"/>
        <c:auto val="1"/>
        <c:lblAlgn val="ctr"/>
        <c:lblOffset val="100"/>
        <c:noMultiLvlLbl val="0"/>
      </c:catAx>
      <c:valAx>
        <c:axId val="1149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9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Коефіцієнт важкості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Коефіцієнт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Sheet1!$A$1:$A$9</c:f>
              <c:numCache>
                <c:formatCode>General</c:formatCode>
                <c:ptCount val="9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</c:numCache>
            </c:numRef>
          </c:cat>
          <c:val>
            <c:numRef>
              <c:f>Sheet1!$B$1:$B$9</c:f>
              <c:numCache>
                <c:formatCode>General</c:formatCode>
                <c:ptCount val="9"/>
                <c:pt idx="0">
                  <c:v>55</c:v>
                </c:pt>
                <c:pt idx="1">
                  <c:v>40</c:v>
                </c:pt>
                <c:pt idx="2">
                  <c:v>11</c:v>
                </c:pt>
                <c:pt idx="3">
                  <c:v>18</c:v>
                </c:pt>
                <c:pt idx="4">
                  <c:v>44</c:v>
                </c:pt>
                <c:pt idx="5">
                  <c:v>18</c:v>
                </c:pt>
                <c:pt idx="6">
                  <c:v>12</c:v>
                </c:pt>
                <c:pt idx="7">
                  <c:v>17</c:v>
                </c:pt>
                <c:pt idx="8">
                  <c:v>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FE1-DB48-BE4C-111BB1082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92080"/>
        <c:axId val="11497520"/>
      </c:lineChart>
      <c:catAx>
        <c:axId val="1149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97520"/>
        <c:crosses val="autoZero"/>
        <c:auto val="1"/>
        <c:lblAlgn val="ctr"/>
        <c:lblOffset val="100"/>
        <c:noMultiLvlLbl val="0"/>
      </c:catAx>
      <c:valAx>
        <c:axId val="114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9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Коефіцієнт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Sheet1!$M$1:$M$9</c:f>
              <c:numCache>
                <c:formatCode>General</c:formatCode>
                <c:ptCount val="9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</c:numCache>
            </c:numRef>
          </c:cat>
          <c:val>
            <c:numRef>
              <c:f>Sheet1!$N$1:$N$9</c:f>
              <c:numCache>
                <c:formatCode>General</c:formatCode>
                <c:ptCount val="9"/>
                <c:pt idx="0">
                  <c:v>88</c:v>
                </c:pt>
                <c:pt idx="1">
                  <c:v>96</c:v>
                </c:pt>
                <c:pt idx="2">
                  <c:v>26</c:v>
                </c:pt>
                <c:pt idx="3">
                  <c:v>39</c:v>
                </c:pt>
                <c:pt idx="4">
                  <c:v>50</c:v>
                </c:pt>
                <c:pt idx="5">
                  <c:v>26</c:v>
                </c:pt>
                <c:pt idx="6">
                  <c:v>26</c:v>
                </c:pt>
                <c:pt idx="7">
                  <c:v>39</c:v>
                </c:pt>
                <c:pt idx="8">
                  <c:v>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58D-A946-BD9B-802FE76089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98064"/>
        <c:axId val="11494256"/>
      </c:lineChart>
      <c:catAx>
        <c:axId val="1149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94256"/>
        <c:crosses val="autoZero"/>
        <c:auto val="1"/>
        <c:lblAlgn val="ctr"/>
        <c:lblOffset val="100"/>
        <c:noMultiLvlLbl val="0"/>
      </c:catAx>
      <c:valAx>
        <c:axId val="1149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9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5284</Words>
  <Characters>3013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Олег Шандра</cp:lastModifiedBy>
  <cp:revision>2</cp:revision>
  <dcterms:created xsi:type="dcterms:W3CDTF">2019-03-26T17:59:00Z</dcterms:created>
  <dcterms:modified xsi:type="dcterms:W3CDTF">2019-03-26T17:59:00Z</dcterms:modified>
</cp:coreProperties>
</file>